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0602E" w14:textId="4026E00A" w:rsidR="000E2CE7" w:rsidRDefault="00561EEC" w:rsidP="00561EEC">
      <w:pPr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b/>
        </w:rPr>
        <w:t xml:space="preserve">Table </w:t>
      </w:r>
      <w:r w:rsidR="00D6279B">
        <w:rPr>
          <w:rFonts w:ascii="Times New Roman" w:eastAsia="MS Mincho" w:hAnsi="Times New Roman" w:cs="Times New Roman"/>
          <w:b/>
        </w:rPr>
        <w:t>S</w:t>
      </w:r>
      <w:r w:rsidR="000E2CE7">
        <w:rPr>
          <w:rFonts w:ascii="Times New Roman" w:eastAsia="MS Mincho" w:hAnsi="Times New Roman" w:cs="Times New Roman"/>
          <w:b/>
        </w:rPr>
        <w:t>10</w:t>
      </w:r>
      <w:r>
        <w:rPr>
          <w:rFonts w:ascii="Times New Roman" w:eastAsia="MS Mincho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Genes </w:t>
      </w:r>
      <w:r w:rsidR="00CB4AFD">
        <w:rPr>
          <w:rFonts w:ascii="Times New Roman" w:hAnsi="Times New Roman" w:cs="Times New Roman"/>
        </w:rPr>
        <w:t xml:space="preserve">annotated for disease or stress response and </w:t>
      </w:r>
      <w:r>
        <w:rPr>
          <w:rFonts w:ascii="Times New Roman" w:hAnsi="Times New Roman" w:cs="Times New Roman"/>
        </w:rPr>
        <w:t xml:space="preserve">upregulated in ‘high isoflavonoid’ cultivars. This was performed using </w:t>
      </w:r>
      <w:r>
        <w:rPr>
          <w:rFonts w:ascii="Times New Roman" w:eastAsia="MS Mincho" w:hAnsi="Times New Roman" w:cs="Times New Roman"/>
        </w:rPr>
        <w:t>the</w:t>
      </w:r>
      <w:r w:rsidR="000E2CE7">
        <w:rPr>
          <w:rFonts w:ascii="Times New Roman" w:eastAsia="MS Mincho" w:hAnsi="Times New Roman" w:cs="Times New Roman"/>
        </w:rPr>
        <w:t xml:space="preserve"> </w:t>
      </w:r>
      <w:r w:rsidR="000E2CE7" w:rsidRPr="00721C27">
        <w:rPr>
          <w:rFonts w:ascii="Times New Roman" w:hAnsi="Times New Roman" w:cs="Times New Roman"/>
        </w:rPr>
        <w:t>TAIR (The Arabidopsis Information Resource, http://arabidopsis.org</w:t>
      </w:r>
      <w:r w:rsidR="000E2CE7">
        <w:rPr>
          <w:rFonts w:ascii="Times New Roman" w:hAnsi="Times New Roman" w:cs="Times New Roman"/>
        </w:rPr>
        <w:t>; accessed 2016-10-01</w:t>
      </w:r>
      <w:r w:rsidR="000E2CE7" w:rsidRPr="00721C27">
        <w:rPr>
          <w:rFonts w:ascii="Times New Roman" w:hAnsi="Times New Roman" w:cs="Times New Roman"/>
        </w:rPr>
        <w:t>)</w:t>
      </w:r>
      <w:r>
        <w:rPr>
          <w:rFonts w:ascii="Times New Roman" w:eastAsia="MS Mincho" w:hAnsi="Times New Roman" w:cs="Times New Roman"/>
        </w:rPr>
        <w:t xml:space="preserve">. The columns indicate: </w:t>
      </w:r>
      <w:proofErr w:type="spellStart"/>
      <w:r w:rsidR="000E2CE7">
        <w:rPr>
          <w:rFonts w:ascii="Times New Roman" w:eastAsia="MS Mincho" w:hAnsi="Times New Roman" w:cs="Times New Roman"/>
        </w:rPr>
        <w:t>Glyma</w:t>
      </w:r>
      <w:proofErr w:type="spellEnd"/>
      <w:r w:rsidR="000E2CE7">
        <w:rPr>
          <w:rFonts w:ascii="Times New Roman" w:eastAsia="MS Mincho" w:hAnsi="Times New Roman" w:cs="Times New Roman"/>
        </w:rPr>
        <w:t xml:space="preserve"> identifiers and the corresponding transcript description. </w:t>
      </w:r>
    </w:p>
    <w:p w14:paraId="2CC2D476" w14:textId="77777777" w:rsidR="000650B2" w:rsidRDefault="000650B2" w:rsidP="000650B2">
      <w:pPr>
        <w:jc w:val="both"/>
        <w:rPr>
          <w:rFonts w:ascii="Times New Roman" w:eastAsia="MS Mincho" w:hAnsi="Times New Roman" w:cs="Times New Roman"/>
        </w:rPr>
      </w:pPr>
    </w:p>
    <w:tbl>
      <w:tblPr>
        <w:tblStyle w:val="TableGrid"/>
        <w:tblW w:w="6562" w:type="dxa"/>
        <w:jc w:val="center"/>
        <w:tblInd w:w="-273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5045"/>
      </w:tblGrid>
      <w:tr w:rsidR="001411C3" w:rsidRPr="001411C3" w14:paraId="2415F471" w14:textId="77777777" w:rsidTr="001411C3">
        <w:trPr>
          <w:trHeight w:val="391"/>
          <w:jc w:val="center"/>
        </w:trPr>
        <w:tc>
          <w:tcPr>
            <w:tcW w:w="1517" w:type="dxa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  <w:hideMark/>
          </w:tcPr>
          <w:p w14:paraId="3226ECCD" w14:textId="61E56DF6" w:rsidR="000E2CE7" w:rsidRPr="001411C3" w:rsidRDefault="000E2CE7" w:rsidP="001411C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 w:rsidRPr="001411C3">
              <w:rPr>
                <w:rFonts w:ascii="Calibri" w:hAnsi="Calibri"/>
                <w:b/>
                <w:bCs/>
                <w:sz w:val="16"/>
                <w:szCs w:val="16"/>
              </w:rPr>
              <w:t>Glyma</w:t>
            </w:r>
            <w:proofErr w:type="spellEnd"/>
            <w:r w:rsidRPr="001411C3">
              <w:rPr>
                <w:rFonts w:ascii="Calibri" w:hAnsi="Calibri"/>
                <w:b/>
                <w:bCs/>
                <w:sz w:val="16"/>
                <w:szCs w:val="16"/>
              </w:rPr>
              <w:t xml:space="preserve"> identifier</w:t>
            </w:r>
          </w:p>
        </w:tc>
        <w:tc>
          <w:tcPr>
            <w:tcW w:w="504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F6D3546" w14:textId="729B8860" w:rsidR="000E2CE7" w:rsidRPr="001411C3" w:rsidRDefault="000E2CE7" w:rsidP="001411C3">
            <w:pPr>
              <w:ind w:right="-651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1411C3">
              <w:rPr>
                <w:rFonts w:ascii="Calibri" w:hAnsi="Calibri"/>
                <w:b/>
                <w:bCs/>
                <w:sz w:val="16"/>
                <w:szCs w:val="16"/>
              </w:rPr>
              <w:t>Transcript description</w:t>
            </w:r>
          </w:p>
        </w:tc>
      </w:tr>
      <w:tr w:rsidR="001411C3" w:rsidRPr="001411C3" w14:paraId="3171956B" w14:textId="77777777" w:rsidTr="001411C3">
        <w:trPr>
          <w:trHeight w:val="391"/>
          <w:jc w:val="center"/>
        </w:trPr>
        <w:tc>
          <w:tcPr>
            <w:tcW w:w="1517" w:type="dxa"/>
            <w:tcBorders>
              <w:top w:val="single" w:sz="2" w:space="0" w:color="auto"/>
            </w:tcBorders>
            <w:noWrap/>
            <w:vAlign w:val="center"/>
          </w:tcPr>
          <w:p w14:paraId="794F4CE4" w14:textId="658BA21B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Glyma.14G127800</w:t>
            </w:r>
          </w:p>
        </w:tc>
        <w:tc>
          <w:tcPr>
            <w:tcW w:w="5045" w:type="dxa"/>
            <w:tcBorders>
              <w:top w:val="single" w:sz="2" w:space="0" w:color="auto"/>
            </w:tcBorders>
            <w:vAlign w:val="center"/>
          </w:tcPr>
          <w:p w14:paraId="3C1A1D43" w14:textId="53F105D3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ABC Transporter; ABA transport and lead resistance</w:t>
            </w:r>
          </w:p>
        </w:tc>
      </w:tr>
      <w:tr w:rsidR="001411C3" w:rsidRPr="001411C3" w14:paraId="65423429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D7E001C" w14:textId="38D6E257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Glyma.10G264100</w:t>
            </w:r>
          </w:p>
        </w:tc>
        <w:tc>
          <w:tcPr>
            <w:tcW w:w="5045" w:type="dxa"/>
            <w:vAlign w:val="center"/>
          </w:tcPr>
          <w:p w14:paraId="74A77E0D" w14:textId="6079467E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Heavy metal transport/detoxification</w:t>
            </w:r>
          </w:p>
        </w:tc>
      </w:tr>
      <w:tr w:rsidR="001411C3" w:rsidRPr="001411C3" w14:paraId="3DE05F52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37D80281" w14:textId="26B5F91A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Glyma.17G177800</w:t>
            </w:r>
          </w:p>
        </w:tc>
        <w:tc>
          <w:tcPr>
            <w:tcW w:w="5045" w:type="dxa"/>
            <w:vAlign w:val="center"/>
          </w:tcPr>
          <w:p w14:paraId="66BC48BE" w14:textId="27923D9F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Peroxidase superfamily protein</w:t>
            </w:r>
          </w:p>
        </w:tc>
      </w:tr>
      <w:tr w:rsidR="001411C3" w:rsidRPr="001411C3" w14:paraId="60350997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3B5A281" w14:textId="2E221797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Glyma.11G044200</w:t>
            </w:r>
          </w:p>
        </w:tc>
        <w:tc>
          <w:tcPr>
            <w:tcW w:w="5045" w:type="dxa"/>
            <w:vAlign w:val="center"/>
          </w:tcPr>
          <w:p w14:paraId="014D3FF3" w14:textId="3052BB2E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Alpha-2</w:t>
            </w:r>
            <w:proofErr w:type="gram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,4</w:t>
            </w:r>
            <w:proofErr w:type="gram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Tubulin</w:t>
            </w:r>
          </w:p>
        </w:tc>
      </w:tr>
      <w:tr w:rsidR="001411C3" w:rsidRPr="001411C3" w14:paraId="7779AA1C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DBDD9D8" w14:textId="6CEFB7B9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Glyma.01G127400</w:t>
            </w:r>
          </w:p>
        </w:tc>
        <w:tc>
          <w:tcPr>
            <w:tcW w:w="5045" w:type="dxa"/>
            <w:vAlign w:val="center"/>
          </w:tcPr>
          <w:p w14:paraId="52F4AF3F" w14:textId="70E392F3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Disease resistance-responsive (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dirigent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-like protein)</w:t>
            </w:r>
          </w:p>
        </w:tc>
      </w:tr>
      <w:tr w:rsidR="001411C3" w:rsidRPr="001411C3" w14:paraId="1C4D7540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117FF7F9" w14:textId="43681311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Glyma.14G216200</w:t>
            </w:r>
          </w:p>
        </w:tc>
        <w:tc>
          <w:tcPr>
            <w:tcW w:w="5045" w:type="dxa"/>
            <w:vAlign w:val="center"/>
          </w:tcPr>
          <w:p w14:paraId="1858F81C" w14:textId="658959CE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Plant drug/metabolite exporter</w:t>
            </w:r>
          </w:p>
        </w:tc>
      </w:tr>
      <w:tr w:rsidR="001411C3" w:rsidRPr="001411C3" w14:paraId="746C04C2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297E2CD" w14:textId="0AB04B85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Glyma.15G252200</w:t>
            </w:r>
          </w:p>
        </w:tc>
        <w:tc>
          <w:tcPr>
            <w:tcW w:w="5045" w:type="dxa"/>
            <w:vAlign w:val="center"/>
          </w:tcPr>
          <w:p w14:paraId="49C8FD7D" w14:textId="61471278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Glutathione transferase</w:t>
            </w:r>
          </w:p>
        </w:tc>
      </w:tr>
      <w:tr w:rsidR="001411C3" w:rsidRPr="001411C3" w14:paraId="44C20D38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EFF7511" w14:textId="284DE6B7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Glyma.14G104400</w:t>
            </w:r>
          </w:p>
        </w:tc>
        <w:tc>
          <w:tcPr>
            <w:tcW w:w="5045" w:type="dxa"/>
            <w:vAlign w:val="center"/>
          </w:tcPr>
          <w:p w14:paraId="3D1F4E13" w14:textId="7E9C6F3D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Peroxidase superfamily protein</w:t>
            </w:r>
          </w:p>
        </w:tc>
      </w:tr>
      <w:tr w:rsidR="001411C3" w:rsidRPr="001411C3" w14:paraId="657871A8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381FAED" w14:textId="4F98B333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Glyma.13G238600</w:t>
            </w:r>
          </w:p>
        </w:tc>
        <w:tc>
          <w:tcPr>
            <w:tcW w:w="5045" w:type="dxa"/>
            <w:vAlign w:val="center"/>
          </w:tcPr>
          <w:p w14:paraId="0EBE465B" w14:textId="52647BB5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3-Ketoacyl-COA synthase 10</w:t>
            </w:r>
          </w:p>
        </w:tc>
      </w:tr>
      <w:tr w:rsidR="001411C3" w:rsidRPr="001411C3" w14:paraId="6670BB6B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58AD1584" w14:textId="301F98A0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Glyma.08G087100</w:t>
            </w:r>
          </w:p>
        </w:tc>
        <w:tc>
          <w:tcPr>
            <w:tcW w:w="5045" w:type="dxa"/>
            <w:vAlign w:val="center"/>
          </w:tcPr>
          <w:p w14:paraId="2560F83C" w14:textId="73EAB507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Thioredoxin</w:t>
            </w:r>
            <w:proofErr w:type="spellEnd"/>
          </w:p>
        </w:tc>
      </w:tr>
      <w:tr w:rsidR="001411C3" w:rsidRPr="001411C3" w14:paraId="17A1AA69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0DD2D9E1" w14:textId="472EF795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Glyma.03G069100</w:t>
            </w:r>
          </w:p>
        </w:tc>
        <w:tc>
          <w:tcPr>
            <w:tcW w:w="5045" w:type="dxa"/>
            <w:vAlign w:val="center"/>
          </w:tcPr>
          <w:p w14:paraId="249B7B88" w14:textId="0E2FCB6D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Cupin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superfamily; resistance to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Ralstonia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solanaceae</w:t>
            </w:r>
            <w:proofErr w:type="spellEnd"/>
          </w:p>
        </w:tc>
      </w:tr>
      <w:tr w:rsidR="001411C3" w:rsidRPr="001411C3" w14:paraId="0EE0DAB2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3013313F" w14:textId="6FDCF794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Glyma.03G047000</w:t>
            </w:r>
          </w:p>
        </w:tc>
        <w:tc>
          <w:tcPr>
            <w:tcW w:w="5045" w:type="dxa"/>
            <w:vAlign w:val="center"/>
          </w:tcPr>
          <w:p w14:paraId="2F60607F" w14:textId="5A9BCE11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LRR and NB-ARC domains-containing disease resistance protein</w:t>
            </w:r>
          </w:p>
        </w:tc>
      </w:tr>
      <w:tr w:rsidR="001411C3" w:rsidRPr="001411C3" w14:paraId="0704EFD6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33295A9" w14:textId="0B12CA8D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Glyma.01G118900</w:t>
            </w:r>
          </w:p>
        </w:tc>
        <w:tc>
          <w:tcPr>
            <w:tcW w:w="5045" w:type="dxa"/>
            <w:vAlign w:val="center"/>
          </w:tcPr>
          <w:p w14:paraId="26181AC7" w14:textId="263D483B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LRR-RLK protein disease resistance protein</w:t>
            </w:r>
          </w:p>
        </w:tc>
      </w:tr>
      <w:tr w:rsidR="001411C3" w:rsidRPr="001411C3" w14:paraId="361005BF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371A46E" w14:textId="6AF13858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Glyma.06G268700</w:t>
            </w:r>
          </w:p>
        </w:tc>
        <w:tc>
          <w:tcPr>
            <w:tcW w:w="5045" w:type="dxa"/>
            <w:vAlign w:val="center"/>
          </w:tcPr>
          <w:p w14:paraId="64E341F1" w14:textId="1808C20C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Disease resistance protein (TIR-NBS-LRR class)</w:t>
            </w:r>
          </w:p>
        </w:tc>
      </w:tr>
      <w:tr w:rsidR="001411C3" w:rsidRPr="001411C3" w14:paraId="6F360C76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1FB93D91" w14:textId="430B7FDB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Glyma.16G056300</w:t>
            </w:r>
          </w:p>
        </w:tc>
        <w:tc>
          <w:tcPr>
            <w:tcW w:w="5045" w:type="dxa"/>
            <w:vAlign w:val="center"/>
          </w:tcPr>
          <w:p w14:paraId="3F9573FF" w14:textId="23090C32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Ribonucleotide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reductase (RNR) small subunit; DNA damage repair</w:t>
            </w:r>
          </w:p>
        </w:tc>
      </w:tr>
      <w:tr w:rsidR="001411C3" w:rsidRPr="001411C3" w14:paraId="583ED5F0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078910B1" w14:textId="2B34C003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Glyma.10G108200</w:t>
            </w:r>
          </w:p>
        </w:tc>
        <w:tc>
          <w:tcPr>
            <w:tcW w:w="5045" w:type="dxa"/>
            <w:vAlign w:val="center"/>
          </w:tcPr>
          <w:p w14:paraId="20B1B057" w14:textId="2D2598BB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DNA helicase homolog PIF1</w:t>
            </w:r>
          </w:p>
        </w:tc>
      </w:tr>
      <w:tr w:rsidR="001411C3" w:rsidRPr="001411C3" w14:paraId="215CAD4C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7DA24F78" w14:textId="21B7098F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Glyma.17G139700</w:t>
            </w:r>
          </w:p>
        </w:tc>
        <w:tc>
          <w:tcPr>
            <w:tcW w:w="5045" w:type="dxa"/>
            <w:vAlign w:val="center"/>
          </w:tcPr>
          <w:p w14:paraId="709D0848" w14:textId="16610B1D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AZI family of lipid transfer proteins</w:t>
            </w:r>
          </w:p>
        </w:tc>
      </w:tr>
      <w:tr w:rsidR="001411C3" w:rsidRPr="001411C3" w14:paraId="62438AD0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7B710177" w14:textId="05F67DF5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Glyma.14G087400</w:t>
            </w:r>
          </w:p>
        </w:tc>
        <w:tc>
          <w:tcPr>
            <w:tcW w:w="5045" w:type="dxa"/>
            <w:vAlign w:val="center"/>
          </w:tcPr>
          <w:p w14:paraId="491171A8" w14:textId="23F40E76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Progesterone-5beta-reductase-like protein</w:t>
            </w:r>
          </w:p>
        </w:tc>
      </w:tr>
      <w:tr w:rsidR="001411C3" w:rsidRPr="001411C3" w14:paraId="7C4BE541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54312C0C" w14:textId="5C4ACCA9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Glyma.06G134900</w:t>
            </w:r>
          </w:p>
        </w:tc>
        <w:tc>
          <w:tcPr>
            <w:tcW w:w="5045" w:type="dxa"/>
            <w:vAlign w:val="center"/>
          </w:tcPr>
          <w:p w14:paraId="2BB63B8A" w14:textId="64DB7DD0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Hsp21; chloroplast located small heat shock protein</w:t>
            </w:r>
          </w:p>
        </w:tc>
      </w:tr>
      <w:tr w:rsidR="001411C3" w:rsidRPr="001411C3" w14:paraId="309ABE3D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06A6F38A" w14:textId="3C9A5320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Glyma.17G172400</w:t>
            </w:r>
          </w:p>
        </w:tc>
        <w:tc>
          <w:tcPr>
            <w:tcW w:w="5045" w:type="dxa"/>
            <w:vAlign w:val="center"/>
          </w:tcPr>
          <w:p w14:paraId="4C9293BB" w14:textId="53767033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bHLH</w:t>
            </w:r>
            <w:proofErr w:type="spellEnd"/>
            <w:proofErr w:type="gram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transcription factor; seed development and response</w:t>
            </w:r>
          </w:p>
        </w:tc>
      </w:tr>
      <w:tr w:rsidR="001411C3" w:rsidRPr="001411C3" w14:paraId="39D95204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3B80FEFB" w14:textId="0773C367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Glyma.16G126300</w:t>
            </w:r>
          </w:p>
        </w:tc>
        <w:tc>
          <w:tcPr>
            <w:tcW w:w="5045" w:type="dxa"/>
            <w:vAlign w:val="center"/>
          </w:tcPr>
          <w:p w14:paraId="0BDC9590" w14:textId="01BB33FD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Regulatory particle non-ATPase subunit of 26S proteasome</w:t>
            </w:r>
          </w:p>
        </w:tc>
      </w:tr>
      <w:tr w:rsidR="001411C3" w:rsidRPr="001411C3" w14:paraId="69F38FD5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612C350C" w14:textId="7F1BF28C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Glyma.15G209200</w:t>
            </w:r>
          </w:p>
        </w:tc>
        <w:tc>
          <w:tcPr>
            <w:tcW w:w="5045" w:type="dxa"/>
            <w:vAlign w:val="center"/>
          </w:tcPr>
          <w:p w14:paraId="63D92DDA" w14:textId="05C63420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Polygalacturonase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inhibiting protein; defense response</w:t>
            </w:r>
          </w:p>
        </w:tc>
      </w:tr>
      <w:tr w:rsidR="001411C3" w:rsidRPr="001411C3" w14:paraId="67DFE362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3FE1DB36" w14:textId="6E34E489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Glyma.06G313600</w:t>
            </w:r>
          </w:p>
        </w:tc>
        <w:tc>
          <w:tcPr>
            <w:tcW w:w="5045" w:type="dxa"/>
            <w:vAlign w:val="center"/>
          </w:tcPr>
          <w:p w14:paraId="0F1AC284" w14:textId="6318D7B7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Zinc induced facilit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ator-like 1; </w:t>
            </w:r>
            <w:bookmarkStart w:id="0" w:name="_GoBack"/>
            <w:bookmarkEnd w:id="0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tetracycline</w:t>
            </w:r>
            <w:proofErr w:type="gram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:hydrogen</w:t>
            </w:r>
            <w:proofErr w:type="gram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antiporter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activity</w:t>
            </w:r>
          </w:p>
        </w:tc>
      </w:tr>
      <w:tr w:rsidR="001411C3" w:rsidRPr="001411C3" w14:paraId="40E60517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13231DBE" w14:textId="7E304963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Glyma.06G268600</w:t>
            </w:r>
          </w:p>
        </w:tc>
        <w:tc>
          <w:tcPr>
            <w:tcW w:w="5045" w:type="dxa"/>
            <w:vAlign w:val="center"/>
          </w:tcPr>
          <w:p w14:paraId="25D81292" w14:textId="31E429A3" w:rsidR="001411C3" w:rsidRPr="001411C3" w:rsidRDefault="001411C3" w:rsidP="001411C3">
            <w:pP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Disease resistance protein (TIR-NBS-LRR class)</w:t>
            </w:r>
          </w:p>
        </w:tc>
      </w:tr>
      <w:tr w:rsidR="001411C3" w:rsidRPr="001411C3" w14:paraId="222FAF48" w14:textId="77777777" w:rsidTr="001411C3">
        <w:trPr>
          <w:trHeight w:val="391"/>
          <w:jc w:val="center"/>
        </w:trPr>
        <w:tc>
          <w:tcPr>
            <w:tcW w:w="1517" w:type="dxa"/>
            <w:noWrap/>
            <w:vAlign w:val="center"/>
          </w:tcPr>
          <w:p w14:paraId="2C94AC79" w14:textId="1D7C5147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Glyma.13G160100</w:t>
            </w:r>
          </w:p>
        </w:tc>
        <w:tc>
          <w:tcPr>
            <w:tcW w:w="5045" w:type="dxa"/>
            <w:vAlign w:val="center"/>
          </w:tcPr>
          <w:p w14:paraId="5EA95BB2" w14:textId="1A641B0D" w:rsidR="001411C3" w:rsidRPr="001411C3" w:rsidRDefault="001411C3" w:rsidP="001411C3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Glycosyl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hydrolase family 36; light stress</w:t>
            </w:r>
          </w:p>
        </w:tc>
      </w:tr>
      <w:tr w:rsidR="001411C3" w:rsidRPr="001411C3" w14:paraId="07D8A6FB" w14:textId="77777777" w:rsidTr="001411C3">
        <w:trPr>
          <w:trHeight w:val="391"/>
          <w:jc w:val="center"/>
        </w:trPr>
        <w:tc>
          <w:tcPr>
            <w:tcW w:w="1517" w:type="dxa"/>
            <w:tcBorders>
              <w:bottom w:val="nil"/>
            </w:tcBorders>
            <w:noWrap/>
            <w:vAlign w:val="center"/>
          </w:tcPr>
          <w:p w14:paraId="1F15AAF3" w14:textId="4546E370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Glyma.12G017100</w:t>
            </w:r>
          </w:p>
        </w:tc>
        <w:tc>
          <w:tcPr>
            <w:tcW w:w="5045" w:type="dxa"/>
            <w:tcBorders>
              <w:bottom w:val="nil"/>
            </w:tcBorders>
            <w:vAlign w:val="center"/>
          </w:tcPr>
          <w:p w14:paraId="1D4C0140" w14:textId="1D8A9D8A" w:rsidR="001411C3" w:rsidRPr="001411C3" w:rsidRDefault="001411C3" w:rsidP="001411C3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Polyketide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cyclase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dehydrase</w:t>
            </w:r>
            <w:proofErr w:type="spellEnd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and lipid transport </w:t>
            </w:r>
          </w:p>
        </w:tc>
      </w:tr>
      <w:tr w:rsidR="001411C3" w:rsidRPr="001411C3" w14:paraId="051507DE" w14:textId="77777777" w:rsidTr="001411C3">
        <w:trPr>
          <w:trHeight w:val="391"/>
          <w:jc w:val="center"/>
        </w:trPr>
        <w:tc>
          <w:tcPr>
            <w:tcW w:w="1517" w:type="dxa"/>
            <w:tcBorders>
              <w:top w:val="nil"/>
              <w:bottom w:val="single" w:sz="2" w:space="0" w:color="auto"/>
            </w:tcBorders>
            <w:noWrap/>
            <w:vAlign w:val="center"/>
          </w:tcPr>
          <w:p w14:paraId="35A8A9DC" w14:textId="4B9026F0" w:rsidR="001411C3" w:rsidRPr="001411C3" w:rsidRDefault="001411C3" w:rsidP="001411C3">
            <w:pPr>
              <w:rPr>
                <w:rFonts w:ascii="Calibri" w:hAnsi="Calibri" w:cs="Arial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Glyma.08G062800</w:t>
            </w:r>
          </w:p>
        </w:tc>
        <w:tc>
          <w:tcPr>
            <w:tcW w:w="5045" w:type="dxa"/>
            <w:tcBorders>
              <w:top w:val="nil"/>
              <w:bottom w:val="single" w:sz="2" w:space="0" w:color="auto"/>
            </w:tcBorders>
            <w:vAlign w:val="center"/>
          </w:tcPr>
          <w:p w14:paraId="22893723" w14:textId="12DB9470" w:rsidR="001411C3" w:rsidRPr="001411C3" w:rsidRDefault="001411C3" w:rsidP="001411C3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BAK1-interacting receptor-like kinase; disease resistance </w:t>
            </w:r>
            <w:proofErr w:type="spellStart"/>
            <w:r w:rsidRPr="001411C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signalling</w:t>
            </w:r>
            <w:proofErr w:type="spellEnd"/>
          </w:p>
        </w:tc>
      </w:tr>
    </w:tbl>
    <w:p w14:paraId="495D8510" w14:textId="77777777" w:rsidR="000650B2" w:rsidRDefault="000650B2" w:rsidP="000650B2">
      <w:pPr>
        <w:jc w:val="both"/>
      </w:pPr>
    </w:p>
    <w:p w14:paraId="46C176D1" w14:textId="77777777" w:rsidR="004E25D3" w:rsidRDefault="004E25D3"/>
    <w:sectPr w:rsidR="004E25D3" w:rsidSect="0091109D">
      <w:pgSz w:w="12240" w:h="15840"/>
      <w:pgMar w:top="1418" w:right="1418" w:bottom="1418" w:left="215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A4"/>
    <w:rsid w:val="000604BC"/>
    <w:rsid w:val="000638E3"/>
    <w:rsid w:val="000650B2"/>
    <w:rsid w:val="000C2E20"/>
    <w:rsid w:val="000E2CE7"/>
    <w:rsid w:val="001232EE"/>
    <w:rsid w:val="001411C3"/>
    <w:rsid w:val="001B650D"/>
    <w:rsid w:val="003C37D0"/>
    <w:rsid w:val="003F31CC"/>
    <w:rsid w:val="0041133E"/>
    <w:rsid w:val="00412C98"/>
    <w:rsid w:val="00454ABC"/>
    <w:rsid w:val="004E22E9"/>
    <w:rsid w:val="004E25D3"/>
    <w:rsid w:val="00561EEC"/>
    <w:rsid w:val="005F3505"/>
    <w:rsid w:val="006009FC"/>
    <w:rsid w:val="006869A4"/>
    <w:rsid w:val="007357CE"/>
    <w:rsid w:val="0079771D"/>
    <w:rsid w:val="0084545E"/>
    <w:rsid w:val="00893524"/>
    <w:rsid w:val="008B59A3"/>
    <w:rsid w:val="0091109D"/>
    <w:rsid w:val="009818E1"/>
    <w:rsid w:val="00A50714"/>
    <w:rsid w:val="00A54BFB"/>
    <w:rsid w:val="00A87CDE"/>
    <w:rsid w:val="00AC1C88"/>
    <w:rsid w:val="00C371ED"/>
    <w:rsid w:val="00C61526"/>
    <w:rsid w:val="00C61D99"/>
    <w:rsid w:val="00CB4AFD"/>
    <w:rsid w:val="00CD380E"/>
    <w:rsid w:val="00CD5A77"/>
    <w:rsid w:val="00D6279B"/>
    <w:rsid w:val="00D81820"/>
    <w:rsid w:val="00D908C6"/>
    <w:rsid w:val="00D97A6E"/>
    <w:rsid w:val="00DD71F9"/>
    <w:rsid w:val="00E407AC"/>
    <w:rsid w:val="00EB225C"/>
    <w:rsid w:val="00EC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405FC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07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A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07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1734</Characters>
  <Application>Microsoft Macintosh Word</Application>
  <DocSecurity>0</DocSecurity>
  <Lines>44</Lines>
  <Paragraphs>18</Paragraphs>
  <ScaleCrop>false</ScaleCrop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Marlowe</dc:creator>
  <cp:keywords/>
  <dc:description/>
  <cp:lastModifiedBy>Mehran D</cp:lastModifiedBy>
  <cp:revision>3</cp:revision>
  <dcterms:created xsi:type="dcterms:W3CDTF">2016-10-17T07:23:00Z</dcterms:created>
  <dcterms:modified xsi:type="dcterms:W3CDTF">2016-10-17T07:33:00Z</dcterms:modified>
</cp:coreProperties>
</file>