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68C" w:rsidRPr="00022DE6" w:rsidRDefault="00D3568C" w:rsidP="00D3568C">
      <w:pPr>
        <w:pStyle w:val="Normal1"/>
        <w:jc w:val="both"/>
        <w:rPr>
          <w:lang w:val="en-US"/>
        </w:rPr>
      </w:pPr>
      <w:r>
        <w:rPr>
          <w:noProof/>
          <w:lang w:val="en-US" w:eastAsia="en-US"/>
        </w:rPr>
        <w:drawing>
          <wp:anchor distT="0" distB="0" distL="114300" distR="114300" simplePos="0" relativeHeight="251658240" behindDoc="0" locked="0" layoutInCell="1" allowOverlap="1">
            <wp:simplePos x="0" y="0"/>
            <wp:positionH relativeFrom="column">
              <wp:posOffset>300990</wp:posOffset>
            </wp:positionH>
            <wp:positionV relativeFrom="paragraph">
              <wp:posOffset>951230</wp:posOffset>
            </wp:positionV>
            <wp:extent cx="6240780" cy="5400040"/>
            <wp:effectExtent l="0" t="0" r="7620" b="0"/>
            <wp:wrapTopAndBottom/>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le 2.pn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240780" cy="5400040"/>
                    </a:xfrm>
                    <a:prstGeom prst="rect">
                      <a:avLst/>
                    </a:prstGeom>
                  </pic:spPr>
                </pic:pic>
              </a:graphicData>
            </a:graphic>
          </wp:anchor>
        </w:drawing>
      </w:r>
      <w:proofErr w:type="spellStart"/>
      <w:r w:rsidR="00294C9C">
        <w:t>Additional</w:t>
      </w:r>
      <w:proofErr w:type="spellEnd"/>
      <w:r w:rsidR="00294C9C">
        <w:t xml:space="preserve"> </w:t>
      </w:r>
      <w:proofErr w:type="spellStart"/>
      <w:r w:rsidR="00294C9C">
        <w:t>file</w:t>
      </w:r>
      <w:proofErr w:type="spellEnd"/>
      <w:r>
        <w:t xml:space="preserve"> 2. </w:t>
      </w:r>
      <w:r w:rsidRPr="00022DE6">
        <w:rPr>
          <w:sz w:val="16"/>
          <w:szCs w:val="16"/>
          <w:lang w:val="en-US"/>
        </w:rPr>
        <w:t xml:space="preserve">Distribution of the </w:t>
      </w:r>
      <w:r>
        <w:rPr>
          <w:sz w:val="16"/>
          <w:szCs w:val="16"/>
          <w:lang w:val="en-US"/>
        </w:rPr>
        <w:t>seven</w:t>
      </w:r>
      <w:r w:rsidRPr="00022DE6">
        <w:rPr>
          <w:sz w:val="16"/>
          <w:szCs w:val="16"/>
          <w:lang w:val="en-US"/>
        </w:rPr>
        <w:t xml:space="preserve"> phenotypes</w:t>
      </w:r>
      <w:r w:rsidRPr="00D3568C">
        <w:rPr>
          <w:sz w:val="16"/>
          <w:szCs w:val="16"/>
          <w:lang w:val="en-US"/>
        </w:rPr>
        <w:t xml:space="preserve"> </w:t>
      </w:r>
      <w:r w:rsidRPr="00022DE6">
        <w:rPr>
          <w:sz w:val="16"/>
          <w:szCs w:val="16"/>
          <w:lang w:val="en-US"/>
        </w:rPr>
        <w:t>analyzed</w:t>
      </w:r>
      <w:r>
        <w:rPr>
          <w:sz w:val="16"/>
          <w:szCs w:val="16"/>
          <w:lang w:val="en-US"/>
        </w:rPr>
        <w:t>:</w:t>
      </w:r>
      <w:r w:rsidRPr="00022DE6">
        <w:rPr>
          <w:sz w:val="16"/>
          <w:szCs w:val="16"/>
          <w:lang w:val="en-US"/>
        </w:rPr>
        <w:t xml:space="preserve"> Beginning of flowering time (day of year)</w:t>
      </w:r>
      <w:r>
        <w:rPr>
          <w:sz w:val="16"/>
          <w:szCs w:val="16"/>
          <w:lang w:val="en-US"/>
        </w:rPr>
        <w:t xml:space="preserve">; </w:t>
      </w:r>
      <w:r w:rsidRPr="00022DE6">
        <w:rPr>
          <w:sz w:val="16"/>
          <w:szCs w:val="16"/>
          <w:lang w:val="en-US"/>
        </w:rPr>
        <w:t>Beginning</w:t>
      </w:r>
      <w:r>
        <w:rPr>
          <w:sz w:val="16"/>
          <w:szCs w:val="16"/>
          <w:lang w:val="en-US"/>
        </w:rPr>
        <w:t xml:space="preserve"> of ripening time (day of year);</w:t>
      </w:r>
      <w:r w:rsidRPr="00022DE6">
        <w:rPr>
          <w:sz w:val="16"/>
          <w:szCs w:val="16"/>
          <w:lang w:val="en-US"/>
        </w:rPr>
        <w:t xml:space="preserve"> F</w:t>
      </w:r>
      <w:r>
        <w:rPr>
          <w:sz w:val="16"/>
          <w:szCs w:val="16"/>
          <w:lang w:val="en-US"/>
        </w:rPr>
        <w:t xml:space="preserve">ruit development period (days); </w:t>
      </w:r>
      <w:r w:rsidRPr="00022DE6">
        <w:rPr>
          <w:sz w:val="16"/>
          <w:szCs w:val="16"/>
          <w:lang w:val="en-US"/>
        </w:rPr>
        <w:t xml:space="preserve">Percentage of red </w:t>
      </w:r>
      <w:proofErr w:type="spellStart"/>
      <w:r w:rsidRPr="00022DE6">
        <w:rPr>
          <w:sz w:val="16"/>
          <w:szCs w:val="16"/>
          <w:lang w:val="en-US"/>
        </w:rPr>
        <w:t>overcolor</w:t>
      </w:r>
      <w:proofErr w:type="spellEnd"/>
      <w:r w:rsidRPr="00022DE6">
        <w:rPr>
          <w:sz w:val="16"/>
          <w:szCs w:val="16"/>
          <w:lang w:val="en-US"/>
        </w:rPr>
        <w:t xml:space="preserve"> on the f</w:t>
      </w:r>
      <w:r>
        <w:rPr>
          <w:sz w:val="16"/>
          <w:szCs w:val="16"/>
          <w:lang w:val="en-US"/>
        </w:rPr>
        <w:t xml:space="preserve">ruit skin (surface percentage); </w:t>
      </w:r>
      <w:proofErr w:type="spellStart"/>
      <w:r>
        <w:rPr>
          <w:sz w:val="16"/>
          <w:szCs w:val="16"/>
          <w:lang w:val="en-US"/>
        </w:rPr>
        <w:t>Titrable</w:t>
      </w:r>
      <w:proofErr w:type="spellEnd"/>
      <w:r>
        <w:rPr>
          <w:sz w:val="16"/>
          <w:szCs w:val="16"/>
          <w:lang w:val="en-US"/>
        </w:rPr>
        <w:t xml:space="preserve"> acidity (</w:t>
      </w:r>
      <w:proofErr w:type="spellStart"/>
      <w:r>
        <w:rPr>
          <w:sz w:val="16"/>
          <w:szCs w:val="16"/>
          <w:lang w:val="en-US"/>
        </w:rPr>
        <w:t>meq</w:t>
      </w:r>
      <w:proofErr w:type="spellEnd"/>
      <w:r>
        <w:rPr>
          <w:sz w:val="16"/>
          <w:szCs w:val="16"/>
          <w:lang w:val="en-US"/>
        </w:rPr>
        <w:t>/</w:t>
      </w:r>
      <w:proofErr w:type="spellStart"/>
      <w:r>
        <w:rPr>
          <w:sz w:val="16"/>
          <w:szCs w:val="16"/>
          <w:lang w:val="en-US"/>
        </w:rPr>
        <w:t>100ml</w:t>
      </w:r>
      <w:proofErr w:type="spellEnd"/>
      <w:r>
        <w:rPr>
          <w:sz w:val="16"/>
          <w:szCs w:val="16"/>
          <w:lang w:val="en-US"/>
        </w:rPr>
        <w:t xml:space="preserve">); </w:t>
      </w:r>
      <w:r w:rsidRPr="00022DE6">
        <w:rPr>
          <w:sz w:val="16"/>
          <w:szCs w:val="16"/>
          <w:lang w:val="en-US"/>
        </w:rPr>
        <w:t>Soluble solid content</w:t>
      </w:r>
      <w:r>
        <w:rPr>
          <w:sz w:val="16"/>
          <w:szCs w:val="16"/>
          <w:lang w:val="en-US"/>
        </w:rPr>
        <w:t xml:space="preserve"> (brix degrees);</w:t>
      </w:r>
      <w:r w:rsidRPr="00022DE6">
        <w:rPr>
          <w:sz w:val="16"/>
          <w:szCs w:val="16"/>
          <w:lang w:val="en-US"/>
        </w:rPr>
        <w:t xml:space="preserve"> Weight of the whole fruit (grams). The number of individuals (N), means (m), medians (</w:t>
      </w:r>
      <w:proofErr w:type="spellStart"/>
      <w:r w:rsidRPr="00022DE6">
        <w:rPr>
          <w:sz w:val="16"/>
          <w:szCs w:val="16"/>
          <w:lang w:val="en-US"/>
        </w:rPr>
        <w:t>mdn</w:t>
      </w:r>
      <w:proofErr w:type="spellEnd"/>
      <w:r w:rsidRPr="00022DE6">
        <w:rPr>
          <w:sz w:val="16"/>
          <w:szCs w:val="16"/>
          <w:lang w:val="en-US"/>
        </w:rPr>
        <w:t>), standard deviations (</w:t>
      </w:r>
      <w:proofErr w:type="spellStart"/>
      <w:proofErr w:type="gramStart"/>
      <w:r w:rsidRPr="00022DE6">
        <w:rPr>
          <w:sz w:val="16"/>
          <w:szCs w:val="16"/>
          <w:lang w:val="en-US"/>
        </w:rPr>
        <w:t>sd</w:t>
      </w:r>
      <w:proofErr w:type="spellEnd"/>
      <w:proofErr w:type="gramEnd"/>
      <w:r w:rsidRPr="00022DE6">
        <w:rPr>
          <w:sz w:val="16"/>
          <w:szCs w:val="16"/>
          <w:lang w:val="en-US"/>
        </w:rPr>
        <w:t>), coefficients of variation (</w:t>
      </w:r>
      <w:proofErr w:type="spellStart"/>
      <w:r w:rsidRPr="00022DE6">
        <w:rPr>
          <w:sz w:val="16"/>
          <w:szCs w:val="16"/>
          <w:lang w:val="en-US"/>
        </w:rPr>
        <w:t>cv</w:t>
      </w:r>
      <w:proofErr w:type="spellEnd"/>
      <w:r w:rsidRPr="00022DE6">
        <w:rPr>
          <w:sz w:val="16"/>
          <w:szCs w:val="16"/>
          <w:lang w:val="en-US"/>
        </w:rPr>
        <w:t xml:space="preserve">), </w:t>
      </w:r>
      <w:proofErr w:type="spellStart"/>
      <w:r w:rsidRPr="00022DE6">
        <w:rPr>
          <w:sz w:val="16"/>
          <w:szCs w:val="16"/>
          <w:lang w:val="en-US"/>
        </w:rPr>
        <w:t>skewness</w:t>
      </w:r>
      <w:proofErr w:type="spellEnd"/>
      <w:r w:rsidRPr="00022DE6">
        <w:rPr>
          <w:sz w:val="16"/>
          <w:szCs w:val="16"/>
          <w:lang w:val="en-US"/>
        </w:rPr>
        <w:t xml:space="preserve"> (</w:t>
      </w:r>
      <w:proofErr w:type="spellStart"/>
      <w:r w:rsidRPr="00022DE6">
        <w:rPr>
          <w:sz w:val="16"/>
          <w:szCs w:val="16"/>
          <w:lang w:val="en-US"/>
        </w:rPr>
        <w:t>sk</w:t>
      </w:r>
      <w:proofErr w:type="spellEnd"/>
      <w:r w:rsidRPr="00022DE6">
        <w:rPr>
          <w:sz w:val="16"/>
          <w:szCs w:val="16"/>
          <w:lang w:val="en-US"/>
        </w:rPr>
        <w:t>) and kurtosis (</w:t>
      </w:r>
      <w:proofErr w:type="spellStart"/>
      <w:r w:rsidRPr="00022DE6">
        <w:rPr>
          <w:sz w:val="16"/>
          <w:szCs w:val="16"/>
          <w:lang w:val="en-US"/>
        </w:rPr>
        <w:t>rku</w:t>
      </w:r>
      <w:proofErr w:type="spellEnd"/>
      <w:r w:rsidRPr="00022DE6">
        <w:rPr>
          <w:sz w:val="16"/>
          <w:szCs w:val="16"/>
          <w:lang w:val="en-US"/>
        </w:rPr>
        <w:t xml:space="preserve">) of the distributions are indicated </w:t>
      </w:r>
      <w:r>
        <w:rPr>
          <w:sz w:val="16"/>
          <w:szCs w:val="16"/>
          <w:lang w:val="en-US"/>
        </w:rPr>
        <w:t xml:space="preserve">underneath each </w:t>
      </w:r>
      <w:r w:rsidRPr="00022DE6">
        <w:rPr>
          <w:sz w:val="16"/>
          <w:szCs w:val="16"/>
          <w:lang w:val="en-US"/>
        </w:rPr>
        <w:t>trait</w:t>
      </w:r>
      <w:r>
        <w:rPr>
          <w:sz w:val="16"/>
          <w:szCs w:val="16"/>
          <w:lang w:val="en-US"/>
        </w:rPr>
        <w:t xml:space="preserve"> name</w:t>
      </w:r>
      <w:r w:rsidRPr="00022DE6">
        <w:rPr>
          <w:sz w:val="16"/>
          <w:szCs w:val="16"/>
          <w:lang w:val="en-US"/>
        </w:rPr>
        <w:t>. Histograms show the distribution for all the individuals from the different progenies. The blue lines correspond to the normal distributions with the same mean and standard deviation obtained for each phenotype. The distribution of the phenotype values for each progeny is also shown on the boxplots below histograms.</w:t>
      </w:r>
      <w:bookmarkStart w:id="0" w:name="_GoBack"/>
      <w:bookmarkEnd w:id="0"/>
    </w:p>
    <w:p w:rsidR="00A23C29" w:rsidRPr="00D3568C" w:rsidRDefault="00A23C29">
      <w:pPr>
        <w:rPr>
          <w:lang w:val="en-US"/>
        </w:rPr>
      </w:pPr>
    </w:p>
    <w:sectPr w:rsidR="00A23C29" w:rsidRPr="00D3568C" w:rsidSect="00D3568C">
      <w:pgSz w:w="16838" w:h="11906" w:orient="landscape"/>
      <w:pgMar w:top="993"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docVars>
    <w:docVar w:name="Total_Editing_Time" w:val="7"/>
  </w:docVars>
  <w:rsids>
    <w:rsidRoot w:val="00D3568C"/>
    <w:rsid w:val="00294C9C"/>
    <w:rsid w:val="00A23C29"/>
    <w:rsid w:val="00CD5671"/>
    <w:rsid w:val="00D3568C"/>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6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56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68C"/>
    <w:rPr>
      <w:rFonts w:ascii="Tahoma" w:hAnsi="Tahoma" w:cs="Tahoma"/>
      <w:sz w:val="16"/>
      <w:szCs w:val="16"/>
    </w:rPr>
  </w:style>
  <w:style w:type="paragraph" w:customStyle="1" w:styleId="Normal1">
    <w:name w:val="Normal1"/>
    <w:rsid w:val="00D3568C"/>
    <w:pPr>
      <w:spacing w:after="0"/>
    </w:pPr>
    <w:rPr>
      <w:rFonts w:ascii="Arial" w:eastAsia="Arial" w:hAnsi="Arial" w:cs="Arial"/>
      <w:color w:val="00000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3568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3568C"/>
    <w:rPr>
      <w:rFonts w:ascii="Tahoma" w:hAnsi="Tahoma" w:cs="Tahoma"/>
      <w:sz w:val="16"/>
      <w:szCs w:val="16"/>
    </w:rPr>
  </w:style>
  <w:style w:type="paragraph" w:customStyle="1" w:styleId="Normal1">
    <w:name w:val="Normal1"/>
    <w:rsid w:val="00D3568C"/>
    <w:pPr>
      <w:spacing w:after="0"/>
    </w:pPr>
    <w:rPr>
      <w:rFonts w:ascii="Arial" w:eastAsia="Arial" w:hAnsi="Arial" w:cs="Arial"/>
      <w:color w:val="000000"/>
      <w:lang w:val="es-ES" w:eastAsia="es-E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128</Words>
  <Characters>758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Txosse Aranzana Civit</dc:creator>
  <cp:lastModifiedBy>CBAYLON</cp:lastModifiedBy>
  <cp:revision>2</cp:revision>
  <dcterms:created xsi:type="dcterms:W3CDTF">2017-01-25T10:25:00Z</dcterms:created>
  <dcterms:modified xsi:type="dcterms:W3CDTF">2017-05-15T08:01:00Z</dcterms:modified>
</cp:coreProperties>
</file>