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7A2" w:rsidRDefault="005711BD" w:rsidP="003607A2">
      <w:pPr>
        <w:widowControl w:val="0"/>
        <w:autoSpaceDE w:val="0"/>
        <w:autoSpaceDN w:val="0"/>
        <w:adjustRightInd w:val="0"/>
        <w:spacing w:line="360" w:lineRule="auto"/>
        <w:jc w:val="both"/>
        <w:rPr>
          <w:rFonts w:asciiTheme="majorHAnsi" w:hAnsiTheme="majorHAnsi" w:cstheme="majorHAnsi"/>
          <w:iCs/>
        </w:rPr>
      </w:pPr>
      <w:proofErr w:type="gramStart"/>
      <w:r>
        <w:rPr>
          <w:rFonts w:asciiTheme="majorHAnsi" w:hAnsiTheme="majorHAnsi" w:cstheme="majorHAnsi"/>
          <w:b/>
          <w:iCs/>
        </w:rPr>
        <w:t xml:space="preserve">Additional file </w:t>
      </w:r>
      <w:r w:rsidR="003607A2">
        <w:rPr>
          <w:rFonts w:asciiTheme="majorHAnsi" w:hAnsiTheme="majorHAnsi" w:cstheme="majorHAnsi"/>
          <w:b/>
          <w:iCs/>
        </w:rPr>
        <w:t>1</w:t>
      </w:r>
      <w:r w:rsidR="003607A2">
        <w:rPr>
          <w:rFonts w:asciiTheme="majorHAnsi" w:hAnsiTheme="majorHAnsi" w:cstheme="majorHAnsi"/>
          <w:iCs/>
        </w:rPr>
        <w:t>.</w:t>
      </w:r>
      <w:proofErr w:type="gramEnd"/>
      <w:r w:rsidR="003607A2">
        <w:rPr>
          <w:rFonts w:asciiTheme="majorHAnsi" w:hAnsiTheme="majorHAnsi" w:cstheme="majorHAnsi"/>
          <w:iCs/>
        </w:rPr>
        <w:t xml:space="preserve"> Description of the Bayesian methods used for genomic predictions.</w:t>
      </w:r>
    </w:p>
    <w:p w:rsidR="003607A2" w:rsidRDefault="003607A2" w:rsidP="00816E3B">
      <w:pPr>
        <w:pStyle w:val="NormalWeb"/>
        <w:spacing w:before="0" w:beforeAutospacing="0" w:after="0" w:afterAutospacing="0" w:line="480" w:lineRule="auto"/>
        <w:jc w:val="both"/>
        <w:rPr>
          <w:rFonts w:asciiTheme="majorHAnsi" w:hAnsiTheme="majorHAnsi" w:cstheme="majorHAnsi"/>
          <w:sz w:val="24"/>
          <w:szCs w:val="24"/>
        </w:rPr>
      </w:pPr>
      <w:bookmarkStart w:id="0" w:name="_GoBack"/>
      <w:bookmarkEnd w:id="0"/>
    </w:p>
    <w:p w:rsidR="00816E3B" w:rsidRPr="004701D5" w:rsidRDefault="00816E3B" w:rsidP="00816E3B">
      <w:pPr>
        <w:pStyle w:val="NormalWeb"/>
        <w:spacing w:before="0" w:beforeAutospacing="0" w:after="0" w:afterAutospacing="0" w:line="480" w:lineRule="auto"/>
        <w:jc w:val="both"/>
        <w:rPr>
          <w:rFonts w:asciiTheme="majorHAnsi" w:hAnsiTheme="majorHAnsi" w:cstheme="majorHAnsi"/>
          <w:sz w:val="24"/>
          <w:szCs w:val="24"/>
        </w:rPr>
      </w:pPr>
      <w:r w:rsidRPr="004701D5">
        <w:rPr>
          <w:rFonts w:asciiTheme="majorHAnsi" w:hAnsiTheme="majorHAnsi" w:cstheme="majorHAnsi"/>
          <w:sz w:val="24"/>
          <w:szCs w:val="24"/>
        </w:rPr>
        <w:t>The</w:t>
      </w:r>
      <w:r w:rsidRPr="004701D5">
        <w:rPr>
          <w:rFonts w:asciiTheme="majorHAnsi" w:hAnsiTheme="majorHAnsi" w:cstheme="majorHAnsi"/>
          <w:i/>
          <w:sz w:val="24"/>
          <w:szCs w:val="24"/>
        </w:rPr>
        <w:t xml:space="preserve"> Bayesian Ridge-Regression </w:t>
      </w:r>
      <w:r w:rsidRPr="004701D5">
        <w:rPr>
          <w:rFonts w:asciiTheme="majorHAnsi" w:hAnsiTheme="majorHAnsi" w:cstheme="majorHAnsi"/>
          <w:sz w:val="24"/>
          <w:szCs w:val="24"/>
        </w:rPr>
        <w:t xml:space="preserve">(BRR) is the Bayesian version of GBLUP </w:t>
      </w:r>
      <w:r w:rsidR="007C6D9D" w:rsidRPr="004701D5">
        <w:rPr>
          <w:rFonts w:asciiTheme="majorHAnsi" w:hAnsiTheme="majorHAnsi" w:cstheme="majorHAnsi"/>
          <w:sz w:val="24"/>
          <w:szCs w:val="24"/>
        </w:rPr>
        <w:fldChar w:fldCharType="begin" w:fldLock="1"/>
      </w:r>
      <w:r w:rsidRPr="004701D5">
        <w:rPr>
          <w:rFonts w:asciiTheme="majorHAnsi" w:hAnsiTheme="majorHAnsi" w:cstheme="majorHAnsi"/>
          <w:sz w:val="24"/>
          <w:szCs w:val="24"/>
        </w:rPr>
        <w:instrText>ADDIN CSL_CITATION { "citationItems" : [ { "id" : "ITEM-1", "itemData" : { "DOI" : "11290733", "ISBN" : "0016-6731 (Print)\\r0016-6731 (Linking)", "ISSN" : "00166731", "PMID" : "11290733", "abstract" : "Recent advances in molecular genetic techniques will make dense marker maps available and genotyping many individuals for these markers feasible. Here we attempted to estimate the effects of approximately 50,000 marker haplotypes simultaneously from a limited number of phenotypic records. A genome of 1000 cM was simulated with a marker spacing of 1 cM. The markers surrounding every 1-cM region were combined into marker haplotypes. Due to finite population size N(e) = 100, the marker haplotypes were in linkage disequilibrium with the QTL located between the markers. Using least squares, all haplotype effects could not be estimated simultaneously. When only the biggest effects were included, they were overestimated and the accuracy of predicting genetic values of the offspring of the recorded animals was only 0.32. Best linear unbiased prediction of haplotype effects assumed equal variances associated to each 1-cM chromosomal segment, which yielded an accuracy of 0.73, although this assumption was far from true. Bayesian methods that assumed a prior distribution of the variance associated with each chromosome segment increased this accuracy to 0.85, even when the prior was not correct. It was concluded that selection on genetic values predicted from markers could substantially increase the rate of genetic gain in animals and plants, especially if combined with reproductive techniques to shorten the generation interval.", "author" : [ { "dropping-particle" : "", "family" : "Meuwissen", "given" : "T. H E", "non-dropping-particle" : "", "parse-names" : false, "suffix" : "" }, { "dropping-particle" : "", "family" : "Hayes", "given" : "B. J.", "non-dropping-particle" : "", "parse-names" : false, "suffix" : "" }, { "dropping-particle" : "", "family" : "Goddard", "given" : "M. E.", "non-dropping-particle" : "", "parse-names" : false, "suffix" : "" } ], "container-title" : "Genetics", "id" : "ITEM-1", "issue" : "4", "issued" : { "date-parts" : [ [ "2001" ] ] }, "page" : "1819-1829", "title" : "Prediction of total genetic value using genome-wide dense marker maps", "type" : "article-journal", "volume" : "157" }, "uris" : [ "http://www.mendeley.com/documents/?uuid=e43eb263-8955-480c-a7b2-b472fb8733fa" ] } ], "mendeley" : { "formattedCitation" : "[1]", "plainTextFormattedCitation" : "[1]", "previouslyFormattedCitation" : "[18]" }, "properties" : { "noteIndex" : 0 }, "schema" : "https://github.com/citation-style-language/schema/raw/master/csl-citation.json" }</w:instrText>
      </w:r>
      <w:r w:rsidR="007C6D9D" w:rsidRPr="004701D5">
        <w:rPr>
          <w:rFonts w:asciiTheme="majorHAnsi" w:hAnsiTheme="majorHAnsi" w:cstheme="majorHAnsi"/>
          <w:sz w:val="24"/>
          <w:szCs w:val="24"/>
        </w:rPr>
        <w:fldChar w:fldCharType="separate"/>
      </w:r>
      <w:r w:rsidRPr="004701D5">
        <w:rPr>
          <w:rFonts w:asciiTheme="majorHAnsi" w:hAnsiTheme="majorHAnsi" w:cstheme="majorHAnsi"/>
          <w:noProof/>
          <w:sz w:val="24"/>
          <w:szCs w:val="24"/>
        </w:rPr>
        <w:t>[1]</w:t>
      </w:r>
      <w:r w:rsidR="007C6D9D" w:rsidRPr="004701D5">
        <w:rPr>
          <w:rFonts w:asciiTheme="majorHAnsi" w:hAnsiTheme="majorHAnsi" w:cstheme="majorHAnsi"/>
          <w:sz w:val="24"/>
          <w:szCs w:val="24"/>
        </w:rPr>
        <w:fldChar w:fldCharType="end"/>
      </w:r>
      <w:r w:rsidRPr="004701D5">
        <w:rPr>
          <w:rFonts w:asciiTheme="majorHAnsi" w:hAnsiTheme="majorHAnsi" w:cstheme="majorHAnsi"/>
          <w:sz w:val="24"/>
          <w:szCs w:val="24"/>
        </w:rPr>
        <w:t xml:space="preserve"> and assumes that all marker effects have the same variance component. Consequently, markers with the same allele frequency contribute equally to the genetic variance. For the BRR model it was assumed that:</w:t>
      </w:r>
    </w:p>
    <w:p w:rsidR="00816E3B" w:rsidRPr="004701D5" w:rsidRDefault="00816E3B" w:rsidP="00816E3B">
      <w:pPr>
        <w:pStyle w:val="NormalWeb"/>
        <w:spacing w:before="0" w:beforeAutospacing="0" w:after="0" w:afterAutospacing="0" w:line="480" w:lineRule="auto"/>
        <w:jc w:val="both"/>
        <w:rPr>
          <w:rFonts w:asciiTheme="majorHAnsi" w:hAnsiTheme="majorHAnsi" w:cstheme="majorHAnsi"/>
          <w:sz w:val="24"/>
          <w:szCs w:val="24"/>
        </w:rPr>
      </w:pPr>
    </w:p>
    <w:p w:rsidR="00816E3B" w:rsidRPr="004701D5" w:rsidRDefault="007C6D9D" w:rsidP="00816E3B">
      <w:pPr>
        <w:spacing w:line="480" w:lineRule="auto"/>
        <w:jc w:val="both"/>
        <w:rPr>
          <w:rFonts w:asciiTheme="majorHAnsi" w:hAnsiTheme="majorHAnsi" w:cstheme="majorHAnsi"/>
        </w:rPr>
      </w:pPr>
      <m:oMathPara>
        <m:oMath>
          <m:sSub>
            <m:sSubPr>
              <m:ctrlPr>
                <w:rPr>
                  <w:rFonts w:ascii="Cambria Math" w:hAnsi="Cambria Math" w:cstheme="majorHAnsi"/>
                  <w:i/>
                </w:rPr>
              </m:ctrlPr>
            </m:sSubPr>
            <m:e>
              <m:r>
                <w:rPr>
                  <w:rFonts w:ascii="Cambria Math" w:hAnsi="Cambria Math" w:cstheme="majorHAnsi"/>
                </w:rPr>
                <m:t>m</m:t>
              </m:r>
            </m:e>
            <m:sub>
              <m:r>
                <w:rPr>
                  <w:rFonts w:ascii="Cambria Math" w:hAnsi="Cambria Math" w:cstheme="majorHAnsi"/>
                </w:rPr>
                <m:t>i</m:t>
              </m:r>
            </m:sub>
          </m:sSub>
          <m:r>
            <w:rPr>
              <w:rFonts w:ascii="Cambria Math" w:hAnsi="Cambria Math" w:cstheme="majorHAnsi"/>
            </w:rPr>
            <m:t>|</m:t>
          </m:r>
          <m:sSubSup>
            <m:sSubSupPr>
              <m:ctrlPr>
                <w:rPr>
                  <w:rFonts w:ascii="Cambria Math" w:hAnsi="Cambria Math" w:cstheme="majorHAnsi"/>
                  <w:i/>
                </w:rPr>
              </m:ctrlPr>
            </m:sSubSupPr>
            <m:e>
              <m:r>
                <w:rPr>
                  <w:rFonts w:ascii="Cambria Math" w:hAnsi="Cambria Math" w:cstheme="majorHAnsi"/>
                </w:rPr>
                <m:t>σ</m:t>
              </m:r>
            </m:e>
            <m:sub>
              <m:r>
                <w:rPr>
                  <w:rFonts w:ascii="Cambria Math" w:hAnsi="Cambria Math" w:cstheme="majorHAnsi"/>
                </w:rPr>
                <m:t>m</m:t>
              </m:r>
            </m:sub>
            <m:sup>
              <m:r>
                <w:rPr>
                  <w:rFonts w:ascii="Cambria Math" w:hAnsi="Cambria Math" w:cstheme="majorHAnsi"/>
                </w:rPr>
                <m:t>2</m:t>
              </m:r>
            </m:sup>
          </m:sSubSup>
          <m:r>
            <w:rPr>
              <w:rFonts w:ascii="Cambria Math" w:hAnsi="Cambria Math" w:cstheme="majorHAnsi"/>
            </w:rPr>
            <m:t>~N(0,</m:t>
          </m:r>
          <m:sSubSup>
            <m:sSubSupPr>
              <m:ctrlPr>
                <w:rPr>
                  <w:rFonts w:ascii="Cambria Math" w:hAnsi="Cambria Math" w:cstheme="majorHAnsi"/>
                  <w:i/>
                </w:rPr>
              </m:ctrlPr>
            </m:sSubSupPr>
            <m:e>
              <m:r>
                <w:rPr>
                  <w:rFonts w:ascii="Cambria Math" w:hAnsi="Cambria Math" w:cstheme="majorHAnsi"/>
                </w:rPr>
                <m:t>σ</m:t>
              </m:r>
            </m:e>
            <m:sub>
              <m:r>
                <w:rPr>
                  <w:rFonts w:ascii="Cambria Math" w:hAnsi="Cambria Math" w:cstheme="majorHAnsi"/>
                </w:rPr>
                <m:t>m</m:t>
              </m:r>
            </m:sub>
            <m:sup>
              <m:r>
                <w:rPr>
                  <w:rFonts w:ascii="Cambria Math" w:hAnsi="Cambria Math" w:cstheme="majorHAnsi"/>
                </w:rPr>
                <m:t>2</m:t>
              </m:r>
            </m:sup>
          </m:sSubSup>
          <m:r>
            <w:rPr>
              <w:rFonts w:ascii="Cambria Math" w:hAnsi="Cambria Math" w:cstheme="majorHAnsi"/>
            </w:rPr>
            <m:t>)</m:t>
          </m:r>
        </m:oMath>
      </m:oMathPara>
    </w:p>
    <w:p w:rsidR="00816E3B" w:rsidRPr="004701D5" w:rsidRDefault="007C6D9D" w:rsidP="00816E3B">
      <w:pPr>
        <w:spacing w:line="480" w:lineRule="auto"/>
        <w:jc w:val="both"/>
        <w:rPr>
          <w:rFonts w:asciiTheme="majorHAnsi" w:hAnsiTheme="majorHAnsi" w:cstheme="majorHAnsi"/>
        </w:rPr>
      </w:pPr>
      <m:oMathPara>
        <m:oMath>
          <m:sSubSup>
            <m:sSubSupPr>
              <m:ctrlPr>
                <w:rPr>
                  <w:rFonts w:ascii="Cambria Math" w:hAnsi="Cambria Math" w:cstheme="majorHAnsi"/>
                  <w:i/>
                </w:rPr>
              </m:ctrlPr>
            </m:sSubSupPr>
            <m:e>
              <m:r>
                <w:rPr>
                  <w:rFonts w:ascii="Cambria Math" w:hAnsi="Cambria Math" w:cstheme="majorHAnsi"/>
                </w:rPr>
                <m:t>σ</m:t>
              </m:r>
            </m:e>
            <m:sub>
              <m:r>
                <w:rPr>
                  <w:rFonts w:ascii="Cambria Math" w:hAnsi="Cambria Math" w:cstheme="majorHAnsi"/>
                </w:rPr>
                <m:t>m</m:t>
              </m:r>
            </m:sub>
            <m:sup>
              <m:r>
                <w:rPr>
                  <w:rFonts w:ascii="Cambria Math" w:hAnsi="Cambria Math" w:cstheme="majorHAnsi"/>
                </w:rPr>
                <m:t>2</m:t>
              </m:r>
            </m:sup>
          </m:sSubSup>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S</m:t>
              </m:r>
            </m:e>
            <m:sub>
              <m:r>
                <w:rPr>
                  <w:rFonts w:ascii="Cambria Math" w:hAnsi="Cambria Math" w:cstheme="majorHAnsi"/>
                </w:rPr>
                <m:t>m</m:t>
              </m:r>
            </m:sub>
          </m:sSub>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ν</m:t>
              </m:r>
            </m:e>
            <m:sub>
              <m:r>
                <w:rPr>
                  <w:rFonts w:ascii="Cambria Math" w:hAnsi="Cambria Math" w:cstheme="majorHAnsi"/>
                </w:rPr>
                <m:t>m</m:t>
              </m:r>
            </m:sub>
          </m:sSub>
          <m:r>
            <w:rPr>
              <w:rFonts w:ascii="Cambria Math" w:hAnsi="Cambria Math" w:cstheme="majorHAnsi"/>
            </w:rPr>
            <m:t>~</m:t>
          </m:r>
          <m:sSup>
            <m:sSupPr>
              <m:ctrlPr>
                <w:rPr>
                  <w:rFonts w:ascii="Cambria Math" w:hAnsi="Cambria Math" w:cstheme="majorHAnsi"/>
                  <w:i/>
                </w:rPr>
              </m:ctrlPr>
            </m:sSupPr>
            <m:e>
              <m:r>
                <w:rPr>
                  <w:rFonts w:ascii="Cambria Math" w:hAnsi="Cambria Math" w:cstheme="majorHAnsi"/>
                </w:rPr>
                <m:t>χ</m:t>
              </m:r>
            </m:e>
            <m:sup>
              <m:r>
                <w:rPr>
                  <w:rFonts w:ascii="Cambria Math" w:hAnsi="Cambria Math" w:cstheme="majorHAnsi"/>
                </w:rPr>
                <m:t>-2</m:t>
              </m:r>
            </m:sup>
          </m:sSup>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S</m:t>
              </m:r>
            </m:e>
            <m:sub>
              <m:r>
                <w:rPr>
                  <w:rFonts w:ascii="Cambria Math" w:hAnsi="Cambria Math" w:cstheme="majorHAnsi"/>
                </w:rPr>
                <m:t>m</m:t>
              </m:r>
            </m:sub>
          </m:sSub>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ν</m:t>
              </m:r>
            </m:e>
            <m:sub>
              <m:r>
                <w:rPr>
                  <w:rFonts w:ascii="Cambria Math" w:hAnsi="Cambria Math" w:cstheme="majorHAnsi"/>
                </w:rPr>
                <m:t>m</m:t>
              </m:r>
            </m:sub>
          </m:sSub>
          <m:r>
            <w:rPr>
              <w:rFonts w:ascii="Cambria Math" w:hAnsi="Cambria Math" w:cstheme="majorHAnsi"/>
            </w:rPr>
            <m:t>)</m:t>
          </m:r>
        </m:oMath>
      </m:oMathPara>
    </w:p>
    <w:p w:rsidR="00816E3B" w:rsidRPr="004701D5" w:rsidRDefault="00816E3B" w:rsidP="00816E3B">
      <w:pPr>
        <w:spacing w:line="480" w:lineRule="auto"/>
        <w:jc w:val="both"/>
        <w:rPr>
          <w:rFonts w:asciiTheme="majorHAnsi" w:hAnsiTheme="majorHAnsi" w:cstheme="majorHAnsi"/>
        </w:rPr>
      </w:pPr>
    </w:p>
    <w:p w:rsidR="00816E3B" w:rsidRPr="004701D5" w:rsidRDefault="00816E3B" w:rsidP="00816E3B">
      <w:pPr>
        <w:spacing w:line="480" w:lineRule="auto"/>
        <w:jc w:val="both"/>
        <w:rPr>
          <w:rFonts w:asciiTheme="majorHAnsi" w:hAnsiTheme="majorHAnsi" w:cstheme="majorHAnsi"/>
        </w:rPr>
      </w:pPr>
      <w:r w:rsidRPr="004701D5">
        <w:rPr>
          <w:rFonts w:asciiTheme="majorHAnsi" w:hAnsiTheme="majorHAnsi" w:cstheme="majorHAnsi"/>
        </w:rPr>
        <w:t xml:space="preserve">The </w:t>
      </w:r>
      <w:r w:rsidRPr="004701D5">
        <w:rPr>
          <w:rFonts w:asciiTheme="majorHAnsi" w:hAnsiTheme="majorHAnsi" w:cstheme="majorHAnsi"/>
          <w:i/>
        </w:rPr>
        <w:t>Bayes A</w:t>
      </w:r>
      <w:r w:rsidRPr="004701D5">
        <w:rPr>
          <w:rFonts w:asciiTheme="majorHAnsi" w:hAnsiTheme="majorHAnsi" w:cstheme="majorHAnsi"/>
        </w:rPr>
        <w:t xml:space="preserve"> method was proposed by </w:t>
      </w:r>
      <w:proofErr w:type="spellStart"/>
      <w:r w:rsidRPr="004701D5">
        <w:rPr>
          <w:rFonts w:asciiTheme="majorHAnsi" w:hAnsiTheme="majorHAnsi" w:cstheme="majorHAnsi"/>
        </w:rPr>
        <w:t>Meuwissen</w:t>
      </w:r>
      <w:proofErr w:type="spellEnd"/>
      <w:r w:rsidRPr="004701D5">
        <w:rPr>
          <w:rFonts w:asciiTheme="majorHAnsi" w:hAnsiTheme="majorHAnsi" w:cstheme="majorHAnsi"/>
        </w:rPr>
        <w:t xml:space="preserve"> et al. </w:t>
      </w:r>
      <w:r w:rsidR="007C6D9D" w:rsidRPr="004701D5">
        <w:rPr>
          <w:rFonts w:asciiTheme="majorHAnsi" w:hAnsiTheme="majorHAnsi" w:cstheme="majorHAnsi"/>
        </w:rPr>
        <w:fldChar w:fldCharType="begin" w:fldLock="1"/>
      </w:r>
      <w:r w:rsidRPr="004701D5">
        <w:rPr>
          <w:rFonts w:asciiTheme="majorHAnsi" w:hAnsiTheme="majorHAnsi" w:cstheme="majorHAnsi"/>
        </w:rPr>
        <w:instrText>ADDIN CSL_CITATION { "citationItems" : [ { "id" : "ITEM-1", "itemData" : { "DOI" : "11290733", "ISBN" : "0016-6731 (Print)\\r0016-6731 (Linking)", "ISSN" : "00166731", "PMID" : "11290733", "abstract" : "Recent advances in molecular genetic techniques will make dense marker maps available and genotyping many individuals for these markers feasible. Here we attempted to estimate the effects of approximately 50,000 marker haplotypes simultaneously from a limited number of phenotypic records. A genome of 1000 cM was simulated with a marker spacing of 1 cM. The markers surrounding every 1-cM region were combined into marker haplotypes. Due to finite population size N(e) = 100, the marker haplotypes were in linkage disequilibrium with the QTL located between the markers. Using least squares, all haplotype effects could not be estimated simultaneously. When only the biggest effects were included, they were overestimated and the accuracy of predicting genetic values of the offspring of the recorded animals was only 0.32. Best linear unbiased prediction of haplotype effects assumed equal variances associated to each 1-cM chromosomal segment, which yielded an accuracy of 0.73, although this assumption was far from true. Bayesian methods that assumed a prior distribution of the variance associated with each chromosome segment increased this accuracy to 0.85, even when the prior was not correct. It was concluded that selection on genetic values predicted from markers could substantially increase the rate of genetic gain in animals and plants, especially if combined with reproductive techniques to shorten the generation interval.", "author" : [ { "dropping-particle" : "", "family" : "Meuwissen", "given" : "T. H E", "non-dropping-particle" : "", "parse-names" : false, "suffix" : "" }, { "dropping-particle" : "", "family" : "Hayes", "given" : "B. J.", "non-dropping-particle" : "", "parse-names" : false, "suffix" : "" }, { "dropping-particle" : "", "family" : "Goddard", "given" : "M. E.", "non-dropping-particle" : "", "parse-names" : false, "suffix" : "" } ], "container-title" : "Genetics", "id" : "ITEM-1", "issue" : "4", "issued" : { "date-parts" : [ [ "2001" ] ] }, "page" : "1819-1829", "title" : "Prediction of total genetic value using genome-wide dense marker maps", "type" : "article-journal", "volume" : "157" }, "uris" : [ "http://www.mendeley.com/documents/?uuid=e43eb263-8955-480c-a7b2-b472fb8733fa" ] } ], "mendeley" : { "formattedCitation" : "[1]", "plainTextFormattedCitation" : "[1]", "previouslyFormattedCitation" : "[18]" }, "properties" : { "noteIndex" : 0 }, "schema" : "https://github.com/citation-style-language/schema/raw/master/csl-citation.json" }</w:instrText>
      </w:r>
      <w:r w:rsidR="007C6D9D" w:rsidRPr="004701D5">
        <w:rPr>
          <w:rFonts w:asciiTheme="majorHAnsi" w:hAnsiTheme="majorHAnsi" w:cstheme="majorHAnsi"/>
        </w:rPr>
        <w:fldChar w:fldCharType="separate"/>
      </w:r>
      <w:r w:rsidRPr="004701D5">
        <w:rPr>
          <w:rFonts w:asciiTheme="majorHAnsi" w:hAnsiTheme="majorHAnsi" w:cstheme="majorHAnsi"/>
          <w:noProof/>
        </w:rPr>
        <w:t>[1]</w:t>
      </w:r>
      <w:r w:rsidR="007C6D9D" w:rsidRPr="004701D5">
        <w:rPr>
          <w:rFonts w:asciiTheme="majorHAnsi" w:hAnsiTheme="majorHAnsi" w:cstheme="majorHAnsi"/>
        </w:rPr>
        <w:fldChar w:fldCharType="end"/>
      </w:r>
      <w:r w:rsidRPr="004701D5">
        <w:rPr>
          <w:rFonts w:asciiTheme="majorHAnsi" w:hAnsiTheme="majorHAnsi" w:cstheme="majorHAnsi"/>
        </w:rPr>
        <w:t xml:space="preserve"> and later modified by Pérez and de los Campos </w:t>
      </w:r>
      <w:r w:rsidR="007C6D9D" w:rsidRPr="004701D5">
        <w:rPr>
          <w:rFonts w:asciiTheme="majorHAnsi" w:hAnsiTheme="majorHAnsi" w:cstheme="majorHAnsi"/>
        </w:rPr>
        <w:fldChar w:fldCharType="begin" w:fldLock="1"/>
      </w:r>
      <w:r w:rsidRPr="004701D5">
        <w:rPr>
          <w:rFonts w:asciiTheme="majorHAnsi" w:hAnsiTheme="majorHAnsi" w:cstheme="majorHAnsi"/>
        </w:rPr>
        <w:instrText>ADDIN CSL_CITATION { "citationItems" : [ { "id" : "ITEM-1", "itemData" : { "DOI" : "10.1534/genetics.114.164442", "ISSN" : "0016-6731", "author" : [ { "dropping-particle" : "", "family" : "P\u00e9rez", "given" : "P.", "non-dropping-particle" : "", "parse-names" : false, "suffix" : "" }, { "dropping-particle" : "", "family" : "los Campos", "given" : "G.", "non-dropping-particle" : "de", "parse-names" : false, "suffix" : "" } ], "container-title" : "Genetics", "id" : "ITEM-1", "issue" : "2", "issued" : { "date-parts" : [ [ "2014" ] ] }, "page" : "483-495", "title" : "Genome-wide regression and prediction with the BGLR statistical package", "type" : "article-journal", "volume" : "198" }, "uris" : [ "http://www.mendeley.com/documents/?uuid=d176b5ce-5df7-412c-a950-ba5880884315" ] } ], "mendeley" : { "formattedCitation" : "[2]", "plainTextFormattedCitation" : "[2]", "previouslyFormattedCitation" : "[78]" }, "properties" : { "noteIndex" : 0 }, "schema" : "https://github.com/citation-style-language/schema/raw/master/csl-citation.json" }</w:instrText>
      </w:r>
      <w:r w:rsidR="007C6D9D" w:rsidRPr="004701D5">
        <w:rPr>
          <w:rFonts w:asciiTheme="majorHAnsi" w:hAnsiTheme="majorHAnsi" w:cstheme="majorHAnsi"/>
        </w:rPr>
        <w:fldChar w:fldCharType="separate"/>
      </w:r>
      <w:r w:rsidRPr="004701D5">
        <w:rPr>
          <w:rFonts w:asciiTheme="majorHAnsi" w:hAnsiTheme="majorHAnsi" w:cstheme="majorHAnsi"/>
          <w:noProof/>
        </w:rPr>
        <w:t>[2]</w:t>
      </w:r>
      <w:r w:rsidR="007C6D9D" w:rsidRPr="004701D5">
        <w:rPr>
          <w:rFonts w:asciiTheme="majorHAnsi" w:hAnsiTheme="majorHAnsi" w:cstheme="majorHAnsi"/>
        </w:rPr>
        <w:fldChar w:fldCharType="end"/>
      </w:r>
      <w:r w:rsidRPr="004701D5">
        <w:rPr>
          <w:rFonts w:asciiTheme="majorHAnsi" w:hAnsiTheme="majorHAnsi" w:cstheme="majorHAnsi"/>
        </w:rPr>
        <w:t xml:space="preserve"> to reduce the influence of the </w:t>
      </w:r>
      <w:proofErr w:type="spellStart"/>
      <w:r w:rsidRPr="004701D5">
        <w:rPr>
          <w:rFonts w:asciiTheme="majorHAnsi" w:hAnsiTheme="majorHAnsi" w:cstheme="majorHAnsi"/>
        </w:rPr>
        <w:t>hyperparameters</w:t>
      </w:r>
      <w:proofErr w:type="spellEnd"/>
      <w:r w:rsidRPr="004701D5">
        <w:rPr>
          <w:rFonts w:asciiTheme="majorHAnsi" w:hAnsiTheme="majorHAnsi" w:cstheme="majorHAnsi"/>
        </w:rPr>
        <w:t xml:space="preserve"> and achieve</w:t>
      </w:r>
      <w:r w:rsidR="003607A2">
        <w:rPr>
          <w:rFonts w:asciiTheme="majorHAnsi" w:hAnsiTheme="majorHAnsi" w:cstheme="majorHAnsi"/>
        </w:rPr>
        <w:t>s</w:t>
      </w:r>
      <w:r w:rsidRPr="004701D5">
        <w:rPr>
          <w:rFonts w:asciiTheme="majorHAnsi" w:hAnsiTheme="majorHAnsi" w:cstheme="majorHAnsi"/>
        </w:rPr>
        <w:t xml:space="preserve"> better Bayesian learning. The Bayes A model assumes that marker effects have heterogeneous variances. In the Bayes A model it was assumed that:</w:t>
      </w:r>
    </w:p>
    <w:p w:rsidR="00816E3B" w:rsidRPr="004701D5" w:rsidRDefault="00816E3B" w:rsidP="00816E3B">
      <w:pPr>
        <w:spacing w:line="480" w:lineRule="auto"/>
        <w:jc w:val="both"/>
        <w:rPr>
          <w:rFonts w:asciiTheme="majorHAnsi" w:hAnsiTheme="majorHAnsi" w:cstheme="majorHAnsi"/>
        </w:rPr>
      </w:pPr>
    </w:p>
    <w:p w:rsidR="00816E3B" w:rsidRPr="004701D5" w:rsidRDefault="007C6D9D" w:rsidP="00816E3B">
      <w:pPr>
        <w:spacing w:line="480" w:lineRule="auto"/>
        <w:jc w:val="both"/>
        <w:rPr>
          <w:rFonts w:asciiTheme="majorHAnsi" w:hAnsiTheme="majorHAnsi" w:cstheme="majorHAnsi"/>
        </w:rPr>
      </w:pPr>
      <m:oMathPara>
        <m:oMathParaPr>
          <m:jc m:val="center"/>
        </m:oMathParaPr>
        <m:oMath>
          <m:sSub>
            <m:sSubPr>
              <m:ctrlPr>
                <w:rPr>
                  <w:rFonts w:ascii="Cambria Math" w:hAnsi="Cambria Math" w:cstheme="majorHAnsi"/>
                  <w:i/>
                </w:rPr>
              </m:ctrlPr>
            </m:sSubPr>
            <m:e>
              <m:r>
                <w:rPr>
                  <w:rFonts w:ascii="Cambria Math" w:hAnsi="Cambria Math" w:cstheme="majorHAnsi"/>
                </w:rPr>
                <m:t>m</m:t>
              </m:r>
            </m:e>
            <m:sub>
              <m:r>
                <w:rPr>
                  <w:rFonts w:ascii="Cambria Math" w:hAnsi="Cambria Math" w:cstheme="majorHAnsi"/>
                </w:rPr>
                <m:t>i</m:t>
              </m:r>
            </m:sub>
          </m:sSub>
          <m:r>
            <w:rPr>
              <w:rFonts w:ascii="Cambria Math" w:hAnsi="Cambria Math" w:cstheme="majorHAnsi"/>
            </w:rPr>
            <m:t>|</m:t>
          </m:r>
          <m:sSubSup>
            <m:sSubSupPr>
              <m:ctrlPr>
                <w:rPr>
                  <w:rFonts w:ascii="Cambria Math" w:hAnsi="Cambria Math" w:cstheme="majorHAnsi"/>
                  <w:i/>
                </w:rPr>
              </m:ctrlPr>
            </m:sSubSupPr>
            <m:e>
              <m:r>
                <w:rPr>
                  <w:rFonts w:ascii="Cambria Math" w:hAnsi="Cambria Math" w:cstheme="majorHAnsi"/>
                </w:rPr>
                <m:t>σ</m:t>
              </m:r>
            </m:e>
            <m:sub>
              <m:sSub>
                <m:sSubPr>
                  <m:ctrlPr>
                    <w:rPr>
                      <w:rFonts w:ascii="Cambria Math" w:hAnsi="Cambria Math" w:cstheme="majorHAnsi"/>
                      <w:i/>
                    </w:rPr>
                  </m:ctrlPr>
                </m:sSubPr>
                <m:e>
                  <m:r>
                    <w:rPr>
                      <w:rFonts w:ascii="Cambria Math" w:hAnsi="Cambria Math" w:cstheme="majorHAnsi"/>
                    </w:rPr>
                    <m:t>m</m:t>
                  </m:r>
                </m:e>
                <m:sub>
                  <m:r>
                    <w:rPr>
                      <w:rFonts w:ascii="Cambria Math" w:hAnsi="Cambria Math" w:cstheme="majorHAnsi"/>
                    </w:rPr>
                    <m:t>i</m:t>
                  </m:r>
                </m:sub>
              </m:sSub>
            </m:sub>
            <m:sup>
              <m:r>
                <w:rPr>
                  <w:rFonts w:ascii="Cambria Math" w:hAnsi="Cambria Math" w:cstheme="majorHAnsi"/>
                </w:rPr>
                <m:t>2</m:t>
              </m:r>
            </m:sup>
          </m:sSubSup>
          <m:r>
            <w:rPr>
              <w:rFonts w:ascii="Cambria Math" w:hAnsi="Cambria Math" w:cstheme="majorHAnsi"/>
            </w:rPr>
            <m:t>~N(0,</m:t>
          </m:r>
          <m:sSubSup>
            <m:sSubSupPr>
              <m:ctrlPr>
                <w:rPr>
                  <w:rFonts w:ascii="Cambria Math" w:hAnsi="Cambria Math" w:cstheme="majorHAnsi"/>
                  <w:i/>
                </w:rPr>
              </m:ctrlPr>
            </m:sSubSupPr>
            <m:e>
              <m:r>
                <w:rPr>
                  <w:rFonts w:ascii="Cambria Math" w:hAnsi="Cambria Math" w:cstheme="majorHAnsi"/>
                </w:rPr>
                <m:t>σ</m:t>
              </m:r>
            </m:e>
            <m:sub>
              <m:sSub>
                <m:sSubPr>
                  <m:ctrlPr>
                    <w:rPr>
                      <w:rFonts w:ascii="Cambria Math" w:hAnsi="Cambria Math" w:cstheme="majorHAnsi"/>
                      <w:i/>
                    </w:rPr>
                  </m:ctrlPr>
                </m:sSubPr>
                <m:e>
                  <m:r>
                    <w:rPr>
                      <w:rFonts w:ascii="Cambria Math" w:hAnsi="Cambria Math" w:cstheme="majorHAnsi"/>
                    </w:rPr>
                    <m:t>m</m:t>
                  </m:r>
                </m:e>
                <m:sub>
                  <m:r>
                    <w:rPr>
                      <w:rFonts w:ascii="Cambria Math" w:hAnsi="Cambria Math" w:cstheme="majorHAnsi"/>
                    </w:rPr>
                    <m:t>i</m:t>
                  </m:r>
                </m:sub>
              </m:sSub>
            </m:sub>
            <m:sup>
              <m:r>
                <w:rPr>
                  <w:rFonts w:ascii="Cambria Math" w:hAnsi="Cambria Math" w:cstheme="majorHAnsi"/>
                </w:rPr>
                <m:t>2</m:t>
              </m:r>
            </m:sup>
          </m:sSubSup>
          <m:r>
            <w:rPr>
              <w:rFonts w:ascii="Cambria Math" w:hAnsi="Cambria Math" w:cstheme="majorHAnsi"/>
            </w:rPr>
            <m:t>)</m:t>
          </m:r>
        </m:oMath>
      </m:oMathPara>
    </w:p>
    <w:p w:rsidR="00816E3B" w:rsidRPr="004701D5" w:rsidRDefault="007C6D9D" w:rsidP="00816E3B">
      <w:pPr>
        <w:spacing w:line="480" w:lineRule="auto"/>
        <w:jc w:val="both"/>
        <w:rPr>
          <w:rFonts w:asciiTheme="majorHAnsi" w:hAnsiTheme="majorHAnsi" w:cstheme="majorHAnsi"/>
        </w:rPr>
      </w:pPr>
      <m:oMathPara>
        <m:oMathParaPr>
          <m:jc m:val="center"/>
        </m:oMathParaPr>
        <m:oMath>
          <m:sSubSup>
            <m:sSubSupPr>
              <m:ctrlPr>
                <w:rPr>
                  <w:rFonts w:ascii="Cambria Math" w:hAnsi="Cambria Math" w:cstheme="majorHAnsi"/>
                  <w:i/>
                </w:rPr>
              </m:ctrlPr>
            </m:sSubSupPr>
            <m:e>
              <m:r>
                <w:rPr>
                  <w:rFonts w:ascii="Cambria Math" w:hAnsi="Cambria Math" w:cstheme="majorHAnsi"/>
                </w:rPr>
                <m:t>σ</m:t>
              </m:r>
            </m:e>
            <m:sub>
              <m:sSub>
                <m:sSubPr>
                  <m:ctrlPr>
                    <w:rPr>
                      <w:rFonts w:ascii="Cambria Math" w:hAnsi="Cambria Math" w:cstheme="majorHAnsi"/>
                      <w:i/>
                    </w:rPr>
                  </m:ctrlPr>
                </m:sSubPr>
                <m:e>
                  <m:r>
                    <w:rPr>
                      <w:rFonts w:ascii="Cambria Math" w:hAnsi="Cambria Math" w:cstheme="majorHAnsi"/>
                    </w:rPr>
                    <m:t>m</m:t>
                  </m:r>
                </m:e>
                <m:sub>
                  <m:r>
                    <w:rPr>
                      <w:rFonts w:ascii="Cambria Math" w:hAnsi="Cambria Math" w:cstheme="majorHAnsi"/>
                    </w:rPr>
                    <m:t>i</m:t>
                  </m:r>
                </m:sub>
              </m:sSub>
            </m:sub>
            <m:sup>
              <m:r>
                <w:rPr>
                  <w:rFonts w:ascii="Cambria Math" w:hAnsi="Cambria Math" w:cstheme="majorHAnsi"/>
                </w:rPr>
                <m:t>2</m:t>
              </m:r>
            </m:sup>
          </m:sSubSup>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S</m:t>
              </m:r>
            </m:e>
            <m:sub>
              <m:r>
                <w:rPr>
                  <w:rFonts w:ascii="Cambria Math" w:hAnsi="Cambria Math" w:cstheme="majorHAnsi"/>
                </w:rPr>
                <m:t>m</m:t>
              </m:r>
            </m:sub>
          </m:sSub>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ν</m:t>
              </m:r>
            </m:e>
            <m:sub>
              <m:r>
                <w:rPr>
                  <w:rFonts w:ascii="Cambria Math" w:hAnsi="Cambria Math" w:cstheme="majorHAnsi"/>
                </w:rPr>
                <m:t>m</m:t>
              </m:r>
            </m:sub>
          </m:sSub>
          <m:r>
            <w:rPr>
              <w:rFonts w:ascii="Cambria Math" w:hAnsi="Cambria Math" w:cstheme="majorHAnsi"/>
            </w:rPr>
            <m:t>~</m:t>
          </m:r>
          <m:sSup>
            <m:sSupPr>
              <m:ctrlPr>
                <w:rPr>
                  <w:rFonts w:ascii="Cambria Math" w:hAnsi="Cambria Math" w:cstheme="majorHAnsi"/>
                  <w:i/>
                </w:rPr>
              </m:ctrlPr>
            </m:sSupPr>
            <m:e>
              <m:r>
                <w:rPr>
                  <w:rFonts w:ascii="Cambria Math" w:hAnsi="Cambria Math" w:cstheme="majorHAnsi"/>
                </w:rPr>
                <m:t>χ</m:t>
              </m:r>
            </m:e>
            <m:sup>
              <m:r>
                <w:rPr>
                  <w:rFonts w:ascii="Cambria Math" w:hAnsi="Cambria Math" w:cstheme="majorHAnsi"/>
                </w:rPr>
                <m:t>-2</m:t>
              </m:r>
            </m:sup>
          </m:sSup>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S</m:t>
              </m:r>
            </m:e>
            <m:sub>
              <m:r>
                <w:rPr>
                  <w:rFonts w:ascii="Cambria Math" w:hAnsi="Cambria Math" w:cstheme="majorHAnsi"/>
                </w:rPr>
                <m:t>m</m:t>
              </m:r>
            </m:sub>
          </m:sSub>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ν</m:t>
              </m:r>
            </m:e>
            <m:sub>
              <m:r>
                <w:rPr>
                  <w:rFonts w:ascii="Cambria Math" w:hAnsi="Cambria Math" w:cstheme="majorHAnsi"/>
                </w:rPr>
                <m:t>m</m:t>
              </m:r>
            </m:sub>
          </m:sSub>
          <m:r>
            <w:rPr>
              <w:rFonts w:ascii="Cambria Math" w:hAnsi="Cambria Math" w:cstheme="majorHAnsi"/>
            </w:rPr>
            <m:t>)</m:t>
          </m:r>
        </m:oMath>
      </m:oMathPara>
    </w:p>
    <w:p w:rsidR="00816E3B" w:rsidRPr="004701D5" w:rsidRDefault="007C6D9D" w:rsidP="00816E3B">
      <w:pPr>
        <w:spacing w:line="480" w:lineRule="auto"/>
        <w:jc w:val="both"/>
        <w:rPr>
          <w:rFonts w:asciiTheme="majorHAnsi" w:hAnsiTheme="majorHAnsi" w:cstheme="majorHAnsi"/>
        </w:rPr>
      </w:pPr>
      <m:oMathPara>
        <m:oMathParaPr>
          <m:jc m:val="center"/>
        </m:oMathParaPr>
        <m:oMath>
          <m:sSub>
            <m:sSubPr>
              <m:ctrlPr>
                <w:rPr>
                  <w:rFonts w:ascii="Cambria Math" w:hAnsi="Cambria Math" w:cstheme="majorHAnsi"/>
                  <w:i/>
                </w:rPr>
              </m:ctrlPr>
            </m:sSubPr>
            <m:e>
              <m:r>
                <w:rPr>
                  <w:rFonts w:ascii="Cambria Math" w:hAnsi="Cambria Math" w:cstheme="majorHAnsi"/>
                </w:rPr>
                <m:t>S</m:t>
              </m:r>
            </m:e>
            <m:sub>
              <m:r>
                <w:rPr>
                  <w:rFonts w:ascii="Cambria Math" w:hAnsi="Cambria Math" w:cstheme="majorHAnsi"/>
                </w:rPr>
                <m:t>m</m:t>
              </m:r>
            </m:sub>
          </m:sSub>
          <m:r>
            <w:rPr>
              <w:rFonts w:ascii="Cambria Math" w:hAnsi="Cambria Math" w:cstheme="majorHAnsi"/>
            </w:rPr>
            <m:t>|r,s~G(r,s)</m:t>
          </m:r>
        </m:oMath>
      </m:oMathPara>
    </w:p>
    <w:p w:rsidR="00816E3B" w:rsidRPr="004701D5" w:rsidRDefault="00816E3B" w:rsidP="00816E3B">
      <w:pPr>
        <w:spacing w:line="480" w:lineRule="auto"/>
        <w:jc w:val="both"/>
        <w:rPr>
          <w:rFonts w:asciiTheme="majorHAnsi" w:hAnsiTheme="majorHAnsi" w:cstheme="majorHAnsi"/>
        </w:rPr>
      </w:pPr>
    </w:p>
    <w:p w:rsidR="00816E3B" w:rsidRPr="004701D5" w:rsidRDefault="00816E3B" w:rsidP="00816E3B">
      <w:pPr>
        <w:spacing w:line="480" w:lineRule="auto"/>
        <w:jc w:val="both"/>
        <w:rPr>
          <w:rFonts w:asciiTheme="majorHAnsi" w:hAnsiTheme="majorHAnsi" w:cstheme="majorHAnsi"/>
        </w:rPr>
      </w:pPr>
      <w:r w:rsidRPr="004701D5">
        <w:rPr>
          <w:rFonts w:asciiTheme="majorHAnsi" w:hAnsiTheme="majorHAnsi" w:cstheme="majorHAnsi"/>
        </w:rPr>
        <w:t xml:space="preserve">The </w:t>
      </w:r>
      <w:r w:rsidRPr="004701D5">
        <w:rPr>
          <w:rFonts w:asciiTheme="majorHAnsi" w:hAnsiTheme="majorHAnsi" w:cstheme="majorHAnsi"/>
          <w:i/>
        </w:rPr>
        <w:t>Bayes B</w:t>
      </w:r>
      <w:r w:rsidRPr="004701D5">
        <w:rPr>
          <w:rFonts w:asciiTheme="majorHAnsi" w:hAnsiTheme="majorHAnsi" w:cstheme="majorHAnsi"/>
        </w:rPr>
        <w:t xml:space="preserve"> method was also proposed by </w:t>
      </w:r>
      <w:proofErr w:type="spellStart"/>
      <w:r w:rsidRPr="004701D5">
        <w:rPr>
          <w:rFonts w:asciiTheme="majorHAnsi" w:hAnsiTheme="majorHAnsi" w:cstheme="majorHAnsi"/>
        </w:rPr>
        <w:t>Meuwissen</w:t>
      </w:r>
      <w:proofErr w:type="spellEnd"/>
      <w:r w:rsidRPr="004701D5">
        <w:rPr>
          <w:rFonts w:asciiTheme="majorHAnsi" w:hAnsiTheme="majorHAnsi" w:cstheme="majorHAnsi"/>
        </w:rPr>
        <w:t xml:space="preserve"> et al. </w:t>
      </w:r>
      <w:r w:rsidR="007C6D9D" w:rsidRPr="004701D5">
        <w:rPr>
          <w:rFonts w:asciiTheme="majorHAnsi" w:hAnsiTheme="majorHAnsi" w:cstheme="majorHAnsi"/>
        </w:rPr>
        <w:fldChar w:fldCharType="begin" w:fldLock="1"/>
      </w:r>
      <w:r w:rsidRPr="004701D5">
        <w:rPr>
          <w:rFonts w:asciiTheme="majorHAnsi" w:hAnsiTheme="majorHAnsi" w:cstheme="majorHAnsi"/>
        </w:rPr>
        <w:instrText>ADDIN CSL_CITATION { "citationItems" : [ { "id" : "ITEM-1", "itemData" : { "DOI" : "11290733", "ISBN" : "0016-6731 (Print)\\r0016-6731 (Linking)", "ISSN" : "00166731", "PMID" : "11290733", "abstract" : "Recent advances in molecular genetic techniques will make dense marker maps available and genotyping many individuals for these markers feasible. Here we attempted to estimate the effects of approximately 50,000 marker haplotypes simultaneously from a limited number of phenotypic records. A genome of 1000 cM was simulated with a marker spacing of 1 cM. The markers surrounding every 1-cM region were combined into marker haplotypes. Due to finite population size N(e) = 100, the marker haplotypes were in linkage disequilibrium with the QTL located between the markers. Using least squares, all haplotype effects could not be estimated simultaneously. When only the biggest effects were included, they were overestimated and the accuracy of predicting genetic values of the offspring of the recorded animals was only 0.32. Best linear unbiased prediction of haplotype effects assumed equal variances associated to each 1-cM chromosomal segment, which yielded an accuracy of 0.73, although this assumption was far from true. Bayesian methods that assumed a prior distribution of the variance associated with each chromosome segment increased this accuracy to 0.85, even when the prior was not correct. It was concluded that selection on genetic values predicted from markers could substantially increase the rate of genetic gain in animals and plants, especially if combined with reproductive techniques to shorten the generation interval.", "author" : [ { "dropping-particle" : "", "family" : "Meuwissen", "given" : "T. H E", "non-dropping-particle" : "", "parse-names" : false, "suffix" : "" }, { "dropping-particle" : "", "family" : "Hayes", "given" : "B. J.", "non-dropping-particle" : "", "parse-names" : false, "suffix" : "" }, { "dropping-particle" : "", "family" : "Goddard", "given" : "M. E.", "non-dropping-particle" : "", "parse-names" : false, "suffix" : "" } ], "container-title" : "Genetics", "id" : "ITEM-1", "issue" : "4", "issued" : { "date-parts" : [ [ "2001" ] ] }, "page" : "1819-1829", "title" : "Prediction of total genetic value using genome-wide dense marker maps", "type" : "article-journal", "volume" : "157" }, "uris" : [ "http://www.mendeley.com/documents/?uuid=e43eb263-8955-480c-a7b2-b472fb8733fa" ] } ], "mendeley" : { "formattedCitation" : "[1]", "plainTextFormattedCitation" : "[1]", "previouslyFormattedCitation" : "[18]" }, "properties" : { "noteIndex" : 0 }, "schema" : "https://github.com/citation-style-language/schema/raw/master/csl-citation.json" }</w:instrText>
      </w:r>
      <w:r w:rsidR="007C6D9D" w:rsidRPr="004701D5">
        <w:rPr>
          <w:rFonts w:asciiTheme="majorHAnsi" w:hAnsiTheme="majorHAnsi" w:cstheme="majorHAnsi"/>
        </w:rPr>
        <w:fldChar w:fldCharType="separate"/>
      </w:r>
      <w:r w:rsidRPr="004701D5">
        <w:rPr>
          <w:rFonts w:asciiTheme="majorHAnsi" w:hAnsiTheme="majorHAnsi" w:cstheme="majorHAnsi"/>
          <w:noProof/>
        </w:rPr>
        <w:t>[1]</w:t>
      </w:r>
      <w:r w:rsidR="007C6D9D" w:rsidRPr="004701D5">
        <w:rPr>
          <w:rFonts w:asciiTheme="majorHAnsi" w:hAnsiTheme="majorHAnsi" w:cstheme="majorHAnsi"/>
        </w:rPr>
        <w:fldChar w:fldCharType="end"/>
      </w:r>
      <w:r w:rsidRPr="004701D5">
        <w:rPr>
          <w:rFonts w:asciiTheme="majorHAnsi" w:hAnsiTheme="majorHAnsi" w:cstheme="majorHAnsi"/>
        </w:rPr>
        <w:t xml:space="preserve"> and modified in Pérez and de los Campos </w:t>
      </w:r>
      <w:r w:rsidR="007C6D9D" w:rsidRPr="004701D5">
        <w:rPr>
          <w:rFonts w:asciiTheme="majorHAnsi" w:hAnsiTheme="majorHAnsi" w:cstheme="majorHAnsi"/>
        </w:rPr>
        <w:fldChar w:fldCharType="begin" w:fldLock="1"/>
      </w:r>
      <w:r w:rsidRPr="004701D5">
        <w:rPr>
          <w:rFonts w:asciiTheme="majorHAnsi" w:hAnsiTheme="majorHAnsi" w:cstheme="majorHAnsi"/>
        </w:rPr>
        <w:instrText>ADDIN CSL_CITATION { "citationItems" : [ { "id" : "ITEM-1", "itemData" : { "DOI" : "10.1534/genetics.114.164442", "ISSN" : "0016-6731", "author" : [ { "dropping-particle" : "", "family" : "P\u00e9rez", "given" : "P.", "non-dropping-particle" : "", "parse-names" : false, "suffix" : "" }, { "dropping-particle" : "", "family" : "los Campos", "given" : "G.", "non-dropping-particle" : "de", "parse-names" : false, "suffix" : "" } ], "container-title" : "Genetics", "id" : "ITEM-1", "issue" : "2", "issued" : { "date-parts" : [ [ "2014" ] ] }, "page" : "483-495", "title" : "Genome-wide regression and prediction with the BGLR statistical package", "type" : "article-journal", "volume" : "198" }, "uris" : [ "http://www.mendeley.com/documents/?uuid=d176b5ce-5df7-412c-a950-ba5880884315" ] } ], "mendeley" : { "formattedCitation" : "[2]", "plainTextFormattedCitation" : "[2]", "previouslyFormattedCitation" : "[78]" }, "properties" : { "noteIndex" : 0 }, "schema" : "https://github.com/citation-style-language/schema/raw/master/csl-citation.json" }</w:instrText>
      </w:r>
      <w:r w:rsidR="007C6D9D" w:rsidRPr="004701D5">
        <w:rPr>
          <w:rFonts w:asciiTheme="majorHAnsi" w:hAnsiTheme="majorHAnsi" w:cstheme="majorHAnsi"/>
        </w:rPr>
        <w:fldChar w:fldCharType="separate"/>
      </w:r>
      <w:r w:rsidRPr="004701D5">
        <w:rPr>
          <w:rFonts w:asciiTheme="majorHAnsi" w:hAnsiTheme="majorHAnsi" w:cstheme="majorHAnsi"/>
          <w:noProof/>
        </w:rPr>
        <w:t>[2]</w:t>
      </w:r>
      <w:r w:rsidR="007C6D9D" w:rsidRPr="004701D5">
        <w:rPr>
          <w:rFonts w:asciiTheme="majorHAnsi" w:hAnsiTheme="majorHAnsi" w:cstheme="majorHAnsi"/>
        </w:rPr>
        <w:fldChar w:fldCharType="end"/>
      </w:r>
      <w:r w:rsidRPr="004701D5">
        <w:rPr>
          <w:rFonts w:asciiTheme="majorHAnsi" w:hAnsiTheme="majorHAnsi" w:cstheme="majorHAnsi"/>
        </w:rPr>
        <w:t xml:space="preserve"> to achieve better Bayesian learning and to estimate the proportion of markers with null effect. This model is similar to Bayes A, and assumes </w:t>
      </w:r>
      <w:r w:rsidRPr="004701D5">
        <w:rPr>
          <w:rFonts w:asciiTheme="majorHAnsi" w:hAnsiTheme="majorHAnsi" w:cstheme="majorHAnsi"/>
        </w:rPr>
        <w:lastRenderedPageBreak/>
        <w:t>that the markers have heterogeneous variance component. Additionally, it considers that a proportion of markers have non-null effects. This is in contrast to Bayes A, because the approach includes the selection of covariates (SNPs markers) that do not contribute to genetic variance. In the Bayes B model it was assumed that:</w:t>
      </w:r>
    </w:p>
    <w:p w:rsidR="00816E3B" w:rsidRPr="004701D5" w:rsidRDefault="00816E3B" w:rsidP="00816E3B">
      <w:pPr>
        <w:spacing w:line="480" w:lineRule="auto"/>
        <w:jc w:val="both"/>
        <w:rPr>
          <w:rFonts w:asciiTheme="majorHAnsi" w:hAnsiTheme="majorHAnsi" w:cstheme="majorHAns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51"/>
        <w:gridCol w:w="1260"/>
        <w:gridCol w:w="3391"/>
      </w:tblGrid>
      <w:tr w:rsidR="00816E3B" w:rsidRPr="004701D5" w:rsidTr="00B562E9">
        <w:trPr>
          <w:jc w:val="center"/>
        </w:trPr>
        <w:tc>
          <w:tcPr>
            <w:tcW w:w="1051" w:type="dxa"/>
            <w:vMerge w:val="restart"/>
            <w:vAlign w:val="center"/>
          </w:tcPr>
          <w:p w:rsidR="00816E3B" w:rsidRPr="004701D5" w:rsidRDefault="007C6D9D" w:rsidP="00816E3B">
            <w:pPr>
              <w:spacing w:line="480" w:lineRule="auto"/>
              <w:jc w:val="both"/>
              <w:rPr>
                <w:rFonts w:asciiTheme="majorHAnsi" w:hAnsiTheme="majorHAnsi" w:cstheme="majorHAnsi"/>
                <w:lang w:val="en-US"/>
              </w:rPr>
            </w:pPr>
            <w:r>
              <w:rPr>
                <w:rFonts w:asciiTheme="majorHAnsi" w:hAnsiTheme="majorHAnsi" w:cstheme="majorHAnsi"/>
                <w:noProof/>
                <w:lang w:eastAsia="pt-BR"/>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2" o:spid="_x0000_s1026" type="#_x0000_t87" style="position:absolute;left:0;text-align:left;margin-left:38.3pt;margin-top:-.5pt;width:9pt;height:27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" adj="600" strokecolor="black [3213]" strokeweight="1pt">
                  <v:shadow on="t" color="black" opacity="24903f" origin=",.5" offset="0,.55556mm"/>
                </v:shape>
              </w:pict>
            </w:r>
            <m:oMath>
              <m:sSub>
                <m:sSubPr>
                  <m:ctrlPr>
                    <w:rPr>
                      <w:rFonts w:ascii="Cambria Math" w:hAnsi="Cambria Math" w:cstheme="majorHAnsi"/>
                      <w:i/>
                      <w:lang w:val="en-US"/>
                    </w:rPr>
                  </m:ctrlPr>
                </m:sSubPr>
                <m:e>
                  <m:r>
                    <w:rPr>
                      <w:rFonts w:ascii="Cambria Math" w:hAnsi="Cambria Math" w:cstheme="majorHAnsi"/>
                      <w:lang w:val="en-US"/>
                    </w:rPr>
                    <m:t>m</m:t>
                  </m:r>
                </m:e>
                <m:sub>
                  <m:r>
                    <w:rPr>
                      <w:rFonts w:ascii="Cambria Math" w:hAnsi="Cambria Math" w:cstheme="majorHAnsi"/>
                      <w:lang w:val="en-US"/>
                    </w:rPr>
                    <m:t>i</m:t>
                  </m:r>
                </m:sub>
              </m:sSub>
              <m:r>
                <w:rPr>
                  <w:rFonts w:ascii="Cambria Math" w:hAnsi="Cambria Math" w:cstheme="majorHAnsi"/>
                  <w:lang w:val="en-US"/>
                </w:rPr>
                <m:t>|</m:t>
              </m:r>
              <m:sSubSup>
                <m:sSubSupPr>
                  <m:ctrlPr>
                    <w:rPr>
                      <w:rFonts w:ascii="Cambria Math" w:hAnsi="Cambria Math" w:cstheme="majorHAnsi"/>
                      <w:i/>
                      <w:lang w:val="en-US"/>
                    </w:rPr>
                  </m:ctrlPr>
                </m:sSubSupPr>
                <m:e>
                  <m:r>
                    <w:rPr>
                      <w:rFonts w:ascii="Cambria Math" w:hAnsi="Cambria Math" w:cstheme="majorHAnsi"/>
                      <w:lang w:val="en-US"/>
                    </w:rPr>
                    <m:t>σ</m:t>
                  </m:r>
                </m:e>
                <m:sub>
                  <m:sSub>
                    <m:sSubPr>
                      <m:ctrlPr>
                        <w:rPr>
                          <w:rFonts w:ascii="Cambria Math" w:hAnsi="Cambria Math" w:cstheme="majorHAnsi"/>
                          <w:i/>
                          <w:lang w:val="en-US"/>
                        </w:rPr>
                      </m:ctrlPr>
                    </m:sSubPr>
                    <m:e>
                      <m:r>
                        <w:rPr>
                          <w:rFonts w:ascii="Cambria Math" w:hAnsi="Cambria Math" w:cstheme="majorHAnsi"/>
                          <w:lang w:val="en-US"/>
                        </w:rPr>
                        <m:t>m</m:t>
                      </m:r>
                    </m:e>
                    <m:sub>
                      <m:r>
                        <w:rPr>
                          <w:rFonts w:ascii="Cambria Math" w:hAnsi="Cambria Math" w:cstheme="majorHAnsi"/>
                          <w:lang w:val="en-US"/>
                        </w:rPr>
                        <m:t>i</m:t>
                      </m:r>
                    </m:sub>
                  </m:sSub>
                </m:sub>
                <m:sup>
                  <m:r>
                    <w:rPr>
                      <w:rFonts w:ascii="Cambria Math" w:hAnsi="Cambria Math" w:cstheme="majorHAnsi"/>
                      <w:lang w:val="en-US"/>
                    </w:rPr>
                    <m:t>2</m:t>
                  </m:r>
                </m:sup>
              </m:sSubSup>
            </m:oMath>
          </w:p>
        </w:tc>
        <w:tc>
          <w:tcPr>
            <w:tcW w:w="1260" w:type="dxa"/>
          </w:tcPr>
          <w:p w:rsidR="00816E3B" w:rsidRPr="004701D5" w:rsidRDefault="00816E3B" w:rsidP="00816E3B">
            <w:pPr>
              <w:spacing w:line="480" w:lineRule="auto"/>
              <w:jc w:val="both"/>
              <w:rPr>
                <w:rFonts w:asciiTheme="majorHAnsi" w:hAnsiTheme="majorHAnsi" w:cstheme="majorHAnsi"/>
                <w:lang w:val="en-US"/>
              </w:rPr>
            </w:pPr>
            <m:oMath>
              <m:r>
                <w:rPr>
                  <w:rFonts w:ascii="Cambria Math" w:hAnsi="Cambria Math" w:cstheme="majorHAnsi"/>
                  <w:lang w:val="en-US"/>
                </w:rPr>
                <m:t>~N(0,</m:t>
              </m:r>
              <m:sSubSup>
                <m:sSubSupPr>
                  <m:ctrlPr>
                    <w:rPr>
                      <w:rFonts w:ascii="Cambria Math" w:hAnsi="Cambria Math" w:cstheme="majorHAnsi"/>
                      <w:i/>
                      <w:lang w:val="en-US"/>
                    </w:rPr>
                  </m:ctrlPr>
                </m:sSubSupPr>
                <m:e>
                  <m:r>
                    <w:rPr>
                      <w:rFonts w:ascii="Cambria Math" w:hAnsi="Cambria Math" w:cstheme="majorHAnsi"/>
                      <w:lang w:val="en-US"/>
                    </w:rPr>
                    <m:t>σ</m:t>
                  </m:r>
                </m:e>
                <m:sub>
                  <m:sSub>
                    <m:sSubPr>
                      <m:ctrlPr>
                        <w:rPr>
                          <w:rFonts w:ascii="Cambria Math" w:hAnsi="Cambria Math" w:cstheme="majorHAnsi"/>
                          <w:i/>
                          <w:lang w:val="en-US"/>
                        </w:rPr>
                      </m:ctrlPr>
                    </m:sSubPr>
                    <m:e>
                      <m:r>
                        <w:rPr>
                          <w:rFonts w:ascii="Cambria Math" w:hAnsi="Cambria Math" w:cstheme="majorHAnsi"/>
                          <w:lang w:val="en-US"/>
                        </w:rPr>
                        <m:t>m</m:t>
                      </m:r>
                    </m:e>
                    <m:sub>
                      <m:r>
                        <w:rPr>
                          <w:rFonts w:ascii="Cambria Math" w:hAnsi="Cambria Math" w:cstheme="majorHAnsi"/>
                          <w:lang w:val="en-US"/>
                        </w:rPr>
                        <m:t>i</m:t>
                      </m:r>
                    </m:sub>
                  </m:sSub>
                </m:sub>
                <m:sup>
                  <m:r>
                    <w:rPr>
                      <w:rFonts w:ascii="Cambria Math" w:hAnsi="Cambria Math" w:cstheme="majorHAnsi"/>
                      <w:lang w:val="en-US"/>
                    </w:rPr>
                    <m:t>2</m:t>
                  </m:r>
                </m:sup>
              </m:sSubSup>
              <m:r>
                <w:rPr>
                  <w:rFonts w:ascii="Cambria Math" w:hAnsi="Cambria Math" w:cstheme="majorHAnsi"/>
                  <w:lang w:val="en-US"/>
                </w:rPr>
                <m:t>)</m:t>
              </m:r>
            </m:oMath>
            <w:r w:rsidRPr="004701D5">
              <w:rPr>
                <w:rFonts w:asciiTheme="majorHAnsi" w:hAnsiTheme="majorHAnsi" w:cstheme="majorHAnsi"/>
                <w:lang w:val="en-US"/>
              </w:rPr>
              <w:t xml:space="preserve"> </w:t>
            </w:r>
          </w:p>
        </w:tc>
        <w:tc>
          <w:tcPr>
            <w:tcW w:w="3391" w:type="dxa"/>
          </w:tcPr>
          <w:p w:rsidR="00816E3B" w:rsidRPr="004701D5" w:rsidRDefault="00816E3B" w:rsidP="00816E3B">
            <w:pPr>
              <w:spacing w:line="480" w:lineRule="auto"/>
              <w:jc w:val="both"/>
              <w:rPr>
                <w:rFonts w:asciiTheme="majorHAnsi" w:hAnsiTheme="majorHAnsi" w:cstheme="majorHAnsi"/>
                <w:lang w:val="en-US"/>
              </w:rPr>
            </w:pPr>
            <w:r w:rsidRPr="004701D5">
              <w:rPr>
                <w:rFonts w:asciiTheme="majorHAnsi" w:hAnsiTheme="majorHAnsi" w:cstheme="majorHAnsi"/>
                <w:lang w:val="en-US"/>
              </w:rPr>
              <w:t>with probability equal 1</w:t>
            </w:r>
            <w:r w:rsidRPr="004701D5">
              <w:rPr>
                <w:rFonts w:asciiTheme="majorHAnsi" w:hAnsiTheme="majorHAnsi" w:cstheme="majorHAnsi"/>
                <w:b/>
                <w:lang w:val="en-US"/>
              </w:rPr>
              <w:t>-</w:t>
            </w:r>
            <w:r w:rsidRPr="004701D5">
              <w:rPr>
                <w:rFonts w:asciiTheme="majorHAnsi" w:hAnsiTheme="majorHAnsi" w:cstheme="majorHAnsi"/>
                <w:lang w:val="en-US"/>
              </w:rPr>
              <w:t>π</w:t>
            </w:r>
          </w:p>
        </w:tc>
      </w:tr>
      <w:tr w:rsidR="00816E3B" w:rsidRPr="004701D5" w:rsidTr="00B562E9">
        <w:trPr>
          <w:jc w:val="center"/>
        </w:trPr>
        <w:tc>
          <w:tcPr>
            <w:tcW w:w="1051" w:type="dxa"/>
            <w:vMerge/>
          </w:tcPr>
          <w:p w:rsidR="00816E3B" w:rsidRPr="004701D5" w:rsidRDefault="00816E3B" w:rsidP="00816E3B">
            <w:pPr>
              <w:spacing w:line="480" w:lineRule="auto"/>
              <w:jc w:val="both"/>
              <w:rPr>
                <w:rFonts w:asciiTheme="majorHAnsi" w:hAnsiTheme="majorHAnsi" w:cstheme="majorHAnsi"/>
                <w:lang w:val="en-US"/>
              </w:rPr>
            </w:pPr>
          </w:p>
        </w:tc>
        <w:tc>
          <w:tcPr>
            <w:tcW w:w="1260" w:type="dxa"/>
          </w:tcPr>
          <w:p w:rsidR="00816E3B" w:rsidRPr="004701D5" w:rsidRDefault="00816E3B" w:rsidP="00816E3B">
            <w:pPr>
              <w:spacing w:line="480" w:lineRule="auto"/>
              <w:jc w:val="both"/>
              <w:rPr>
                <w:rFonts w:asciiTheme="majorHAnsi" w:hAnsiTheme="majorHAnsi" w:cstheme="majorHAnsi"/>
                <w:lang w:val="en-US"/>
              </w:rPr>
            </w:pPr>
            <w:r w:rsidRPr="004701D5">
              <w:rPr>
                <w:rFonts w:asciiTheme="majorHAnsi" w:hAnsiTheme="majorHAnsi" w:cstheme="majorHAnsi"/>
                <w:lang w:val="en-US"/>
              </w:rPr>
              <w:t xml:space="preserve">=0 </w:t>
            </w:r>
          </w:p>
        </w:tc>
        <w:tc>
          <w:tcPr>
            <w:tcW w:w="3391" w:type="dxa"/>
          </w:tcPr>
          <w:p w:rsidR="00816E3B" w:rsidRPr="004701D5" w:rsidRDefault="00816E3B" w:rsidP="00816E3B">
            <w:pPr>
              <w:spacing w:line="480" w:lineRule="auto"/>
              <w:jc w:val="both"/>
              <w:rPr>
                <w:rFonts w:asciiTheme="majorHAnsi" w:hAnsiTheme="majorHAnsi" w:cstheme="majorHAnsi"/>
                <w:lang w:val="en-US"/>
              </w:rPr>
            </w:pPr>
            <w:r w:rsidRPr="004701D5">
              <w:rPr>
                <w:rFonts w:asciiTheme="majorHAnsi" w:hAnsiTheme="majorHAnsi" w:cstheme="majorHAnsi"/>
                <w:lang w:val="en-US"/>
              </w:rPr>
              <w:t>with probability equal π</w:t>
            </w:r>
          </w:p>
        </w:tc>
      </w:tr>
    </w:tbl>
    <w:p w:rsidR="00816E3B" w:rsidRPr="004701D5" w:rsidRDefault="00816E3B" w:rsidP="00816E3B">
      <w:pPr>
        <w:spacing w:line="480" w:lineRule="auto"/>
        <w:jc w:val="both"/>
        <w:rPr>
          <w:rFonts w:asciiTheme="majorHAnsi" w:hAnsiTheme="majorHAnsi" w:cstheme="majorHAnsi"/>
        </w:rPr>
      </w:pPr>
    </w:p>
    <w:p w:rsidR="00816E3B" w:rsidRPr="004701D5" w:rsidRDefault="007C6D9D" w:rsidP="00816E3B">
      <w:pPr>
        <w:spacing w:line="480" w:lineRule="auto"/>
        <w:jc w:val="both"/>
        <w:rPr>
          <w:rFonts w:asciiTheme="majorHAnsi" w:hAnsiTheme="majorHAnsi" w:cstheme="majorHAnsi"/>
        </w:rPr>
      </w:pPr>
      <m:oMathPara>
        <m:oMath>
          <m:sSubSup>
            <m:sSubSupPr>
              <m:ctrlPr>
                <w:rPr>
                  <w:rFonts w:ascii="Cambria Math" w:hAnsi="Cambria Math" w:cstheme="majorHAnsi"/>
                  <w:i/>
                </w:rPr>
              </m:ctrlPr>
            </m:sSubSupPr>
            <m:e>
              <m:r>
                <w:rPr>
                  <w:rFonts w:ascii="Cambria Math" w:hAnsi="Cambria Math" w:cstheme="majorHAnsi"/>
                </w:rPr>
                <m:t>σ</m:t>
              </m:r>
            </m:e>
            <m:sub>
              <m:sSub>
                <m:sSubPr>
                  <m:ctrlPr>
                    <w:rPr>
                      <w:rFonts w:ascii="Cambria Math" w:hAnsi="Cambria Math" w:cstheme="majorHAnsi"/>
                      <w:i/>
                    </w:rPr>
                  </m:ctrlPr>
                </m:sSubPr>
                <m:e>
                  <m:r>
                    <w:rPr>
                      <w:rFonts w:ascii="Cambria Math" w:hAnsi="Cambria Math" w:cstheme="majorHAnsi"/>
                    </w:rPr>
                    <m:t>m</m:t>
                  </m:r>
                </m:e>
                <m:sub>
                  <m:r>
                    <w:rPr>
                      <w:rFonts w:ascii="Cambria Math" w:hAnsi="Cambria Math" w:cstheme="majorHAnsi"/>
                    </w:rPr>
                    <m:t>i</m:t>
                  </m:r>
                </m:sub>
              </m:sSub>
            </m:sub>
            <m:sup>
              <m:r>
                <w:rPr>
                  <w:rFonts w:ascii="Cambria Math" w:hAnsi="Cambria Math" w:cstheme="majorHAnsi"/>
                </w:rPr>
                <m:t>2</m:t>
              </m:r>
            </m:sup>
          </m:sSubSup>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S</m:t>
              </m:r>
            </m:e>
            <m:sub>
              <m:r>
                <w:rPr>
                  <w:rFonts w:ascii="Cambria Math" w:hAnsi="Cambria Math" w:cstheme="majorHAnsi"/>
                </w:rPr>
                <m:t>m</m:t>
              </m:r>
            </m:sub>
          </m:sSub>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ν</m:t>
              </m:r>
            </m:e>
            <m:sub>
              <m:r>
                <w:rPr>
                  <w:rFonts w:ascii="Cambria Math" w:hAnsi="Cambria Math" w:cstheme="majorHAnsi"/>
                </w:rPr>
                <m:t>m</m:t>
              </m:r>
            </m:sub>
          </m:sSub>
          <m:r>
            <w:rPr>
              <w:rFonts w:ascii="Cambria Math" w:hAnsi="Cambria Math" w:cstheme="majorHAnsi"/>
            </w:rPr>
            <m:t>~</m:t>
          </m:r>
          <m:sSup>
            <m:sSupPr>
              <m:ctrlPr>
                <w:rPr>
                  <w:rFonts w:ascii="Cambria Math" w:hAnsi="Cambria Math" w:cstheme="majorHAnsi"/>
                  <w:i/>
                </w:rPr>
              </m:ctrlPr>
            </m:sSupPr>
            <m:e>
              <m:r>
                <w:rPr>
                  <w:rFonts w:ascii="Cambria Math" w:hAnsi="Cambria Math" w:cstheme="majorHAnsi"/>
                </w:rPr>
                <m:t>χ</m:t>
              </m:r>
            </m:e>
            <m:sup>
              <m:r>
                <w:rPr>
                  <w:rFonts w:ascii="Cambria Math" w:hAnsi="Cambria Math" w:cstheme="majorHAnsi"/>
                </w:rPr>
                <m:t>-2</m:t>
              </m:r>
            </m:sup>
          </m:sSup>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S</m:t>
              </m:r>
            </m:e>
            <m:sub>
              <m:r>
                <w:rPr>
                  <w:rFonts w:ascii="Cambria Math" w:hAnsi="Cambria Math" w:cstheme="majorHAnsi"/>
                </w:rPr>
                <m:t>m</m:t>
              </m:r>
            </m:sub>
          </m:sSub>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ν</m:t>
              </m:r>
            </m:e>
            <m:sub>
              <m:r>
                <w:rPr>
                  <w:rFonts w:ascii="Cambria Math" w:hAnsi="Cambria Math" w:cstheme="majorHAnsi"/>
                </w:rPr>
                <m:t>m</m:t>
              </m:r>
            </m:sub>
          </m:sSub>
          <m:r>
            <w:rPr>
              <w:rFonts w:ascii="Cambria Math" w:hAnsi="Cambria Math" w:cstheme="majorHAnsi"/>
            </w:rPr>
            <m:t>)</m:t>
          </m:r>
        </m:oMath>
      </m:oMathPara>
    </w:p>
    <w:p w:rsidR="00816E3B" w:rsidRPr="004701D5" w:rsidRDefault="007C6D9D" w:rsidP="00816E3B">
      <w:pPr>
        <w:spacing w:line="480" w:lineRule="auto"/>
        <w:jc w:val="both"/>
        <w:rPr>
          <w:rFonts w:asciiTheme="majorHAnsi" w:hAnsiTheme="majorHAnsi" w:cstheme="majorHAnsi"/>
        </w:rPr>
      </w:pPr>
      <m:oMathPara>
        <m:oMath>
          <m:sSub>
            <m:sSubPr>
              <m:ctrlPr>
                <w:rPr>
                  <w:rFonts w:ascii="Cambria Math" w:hAnsi="Cambria Math" w:cstheme="majorHAnsi"/>
                  <w:i/>
                </w:rPr>
              </m:ctrlPr>
            </m:sSubPr>
            <m:e>
              <m:r>
                <w:rPr>
                  <w:rFonts w:ascii="Cambria Math" w:hAnsi="Cambria Math" w:cstheme="majorHAnsi"/>
                </w:rPr>
                <m:t>S</m:t>
              </m:r>
            </m:e>
            <m:sub>
              <m:r>
                <w:rPr>
                  <w:rFonts w:ascii="Cambria Math" w:hAnsi="Cambria Math" w:cstheme="majorHAnsi"/>
                </w:rPr>
                <m:t>m</m:t>
              </m:r>
            </m:sub>
          </m:sSub>
          <m:r>
            <w:rPr>
              <w:rFonts w:ascii="Cambria Math" w:hAnsi="Cambria Math" w:cstheme="majorHAnsi"/>
            </w:rPr>
            <m:t>|r,s~G(r,s)</m:t>
          </m:r>
        </m:oMath>
      </m:oMathPara>
    </w:p>
    <w:p w:rsidR="00816E3B" w:rsidRPr="004701D5" w:rsidRDefault="00816E3B" w:rsidP="00816E3B">
      <w:pPr>
        <w:spacing w:line="480" w:lineRule="auto"/>
        <w:jc w:val="both"/>
        <w:rPr>
          <w:rFonts w:asciiTheme="majorHAnsi" w:hAnsiTheme="majorHAnsi" w:cstheme="majorHAnsi"/>
          <w:vertAlign w:val="subscript"/>
        </w:rPr>
      </w:pPr>
      <m:oMathPara>
        <m:oMath>
          <m:r>
            <w:rPr>
              <w:rFonts w:ascii="Cambria Math" w:hAnsi="Cambria Math" w:cstheme="majorHAnsi"/>
              <w:vertAlign w:val="subscript"/>
            </w:rPr>
            <m:t>π~Beta(</m:t>
          </m:r>
          <m:sSub>
            <m:sSubPr>
              <m:ctrlPr>
                <w:rPr>
                  <w:rFonts w:ascii="Cambria Math" w:hAnsi="Cambria Math" w:cstheme="majorHAnsi"/>
                  <w:i/>
                  <w:vertAlign w:val="subscript"/>
                </w:rPr>
              </m:ctrlPr>
            </m:sSubPr>
            <m:e>
              <m:r>
                <w:rPr>
                  <w:rFonts w:ascii="Cambria Math" w:hAnsi="Cambria Math" w:cstheme="majorHAnsi"/>
                  <w:vertAlign w:val="subscript"/>
                </w:rPr>
                <m:t>p</m:t>
              </m:r>
            </m:e>
            <m:sub>
              <m:r>
                <w:rPr>
                  <w:rFonts w:ascii="Cambria Math" w:hAnsi="Cambria Math" w:cstheme="majorHAnsi"/>
                  <w:vertAlign w:val="subscript"/>
                </w:rPr>
                <m:t>0</m:t>
              </m:r>
            </m:sub>
          </m:sSub>
          <m:r>
            <w:rPr>
              <w:rFonts w:ascii="Cambria Math" w:hAnsi="Cambria Math" w:cstheme="majorHAnsi"/>
              <w:vertAlign w:val="subscript"/>
            </w:rPr>
            <m:t>,</m:t>
          </m:r>
          <m:sSub>
            <m:sSubPr>
              <m:ctrlPr>
                <w:rPr>
                  <w:rFonts w:ascii="Cambria Math" w:hAnsi="Cambria Math" w:cstheme="majorHAnsi"/>
                  <w:i/>
                  <w:vertAlign w:val="subscript"/>
                </w:rPr>
              </m:ctrlPr>
            </m:sSubPr>
            <m:e>
              <m:r>
                <w:rPr>
                  <w:rFonts w:ascii="Cambria Math" w:hAnsi="Cambria Math" w:cstheme="majorHAnsi"/>
                  <w:vertAlign w:val="subscript"/>
                </w:rPr>
                <m:t>π</m:t>
              </m:r>
            </m:e>
            <m:sub>
              <m:r>
                <w:rPr>
                  <w:rFonts w:ascii="Cambria Math" w:hAnsi="Cambria Math" w:cstheme="majorHAnsi"/>
                  <w:vertAlign w:val="subscript"/>
                </w:rPr>
                <m:t>0</m:t>
              </m:r>
            </m:sub>
          </m:sSub>
          <m:r>
            <w:rPr>
              <w:rFonts w:ascii="Cambria Math" w:hAnsi="Cambria Math" w:cstheme="majorHAnsi"/>
              <w:vertAlign w:val="subscript"/>
            </w:rPr>
            <m:t>)</m:t>
          </m:r>
        </m:oMath>
      </m:oMathPara>
    </w:p>
    <w:p w:rsidR="00816E3B" w:rsidRPr="004701D5" w:rsidRDefault="00816E3B" w:rsidP="00816E3B">
      <w:pPr>
        <w:spacing w:line="480" w:lineRule="auto"/>
        <w:jc w:val="both"/>
        <w:rPr>
          <w:rFonts w:asciiTheme="majorHAnsi" w:hAnsiTheme="majorHAnsi" w:cstheme="majorHAnsi"/>
        </w:rPr>
      </w:pPr>
    </w:p>
    <w:p w:rsidR="00816E3B" w:rsidRPr="004701D5" w:rsidRDefault="00816E3B" w:rsidP="00816E3B">
      <w:pPr>
        <w:spacing w:line="480" w:lineRule="auto"/>
        <w:jc w:val="both"/>
        <w:rPr>
          <w:rFonts w:asciiTheme="majorHAnsi" w:hAnsiTheme="majorHAnsi" w:cstheme="majorHAnsi"/>
        </w:rPr>
      </w:pPr>
      <w:r w:rsidRPr="004701D5">
        <w:rPr>
          <w:rFonts w:asciiTheme="majorHAnsi" w:hAnsiTheme="majorHAnsi" w:cstheme="majorHAnsi"/>
        </w:rPr>
        <w:t xml:space="preserve">The </w:t>
      </w:r>
      <w:r w:rsidRPr="004701D5">
        <w:rPr>
          <w:rFonts w:asciiTheme="majorHAnsi" w:hAnsiTheme="majorHAnsi" w:cstheme="majorHAnsi"/>
          <w:i/>
        </w:rPr>
        <w:t>Bayes Cπ</w:t>
      </w:r>
      <w:r w:rsidRPr="004701D5">
        <w:rPr>
          <w:rFonts w:asciiTheme="majorHAnsi" w:hAnsiTheme="majorHAnsi" w:cstheme="majorHAnsi"/>
        </w:rPr>
        <w:t xml:space="preserve"> method proposed by </w:t>
      </w:r>
      <w:proofErr w:type="spellStart"/>
      <w:r w:rsidRPr="004701D5">
        <w:rPr>
          <w:rFonts w:asciiTheme="majorHAnsi" w:hAnsiTheme="majorHAnsi" w:cstheme="majorHAnsi"/>
        </w:rPr>
        <w:t>Habier</w:t>
      </w:r>
      <w:proofErr w:type="spellEnd"/>
      <w:r w:rsidRPr="004701D5">
        <w:rPr>
          <w:rFonts w:asciiTheme="majorHAnsi" w:hAnsiTheme="majorHAnsi" w:cstheme="majorHAnsi"/>
        </w:rPr>
        <w:t xml:space="preserve"> et al. </w:t>
      </w:r>
      <w:r w:rsidR="007C6D9D" w:rsidRPr="004701D5">
        <w:rPr>
          <w:rFonts w:asciiTheme="majorHAnsi" w:hAnsiTheme="majorHAnsi" w:cstheme="majorHAnsi"/>
        </w:rPr>
        <w:fldChar w:fldCharType="begin" w:fldLock="1"/>
      </w:r>
      <w:r w:rsidRPr="004701D5">
        <w:rPr>
          <w:rFonts w:asciiTheme="majorHAnsi" w:hAnsiTheme="majorHAnsi" w:cstheme="majorHAnsi"/>
        </w:rPr>
        <w:instrText>ADDIN CSL_CITATION { "citationItems" : [ { "id" : "ITEM-1", "itemData" : { "DOI" : "10.1186/1471-2105-12-186", "ISBN" : "1471-2105 (Electronic)\\n1471-2105 (Linking)", "ISSN" : "1471-2105", "PMID" : "21605355", "abstract" : "Two bayesian methods, BayesC\u03c0 and BayesD\u03c0, were developed for genomic prediction to address the drawback of BayesA and BayesB regarding the impact of prior hyperparameters and treat the prior probability \u03c0 that a SNP has zero effect as unknown. The methods were compared in terms of inference of the number of QTL and accuracy of genomic estimated breeding values (GEBVs), using simulated scenarios and real data from North American Holstein bulls.", "author" : [ { "dropping-particle" : "", "family" : "Habier", "given" : "David", "non-dropping-particle" : "", "parse-names" : false, "suffix" : "" }, { "dropping-particle" : "", "family" : "Fernando", "given" : "Rohan L", "non-dropping-particle" : "", "parse-names" : false, "suffix" : "" }, { "dropping-particle" : "", "family" : "Kizilkaya", "given" : "Kadir", "non-dropping-particle" : "", "parse-names" : false, "suffix" : "" }, { "dropping-particle" : "", "family" : "Garrick", "given" : "Dorian J", "non-dropping-particle" : "", "parse-names" : false, "suffix" : "" } ], "container-title" : "BMC bioinformatics", "id" : "ITEM-1", "issue" : "1", "issued" : { "date-parts" : [ [ "2011" ] ] }, "page" : "186", "publisher" : "BioMed Central Ltd", "title" : "Extension of the bayesian alphabet for genomic selection.", "type" : "article-journal", "volume" : "12" }, "uris" : [ "http://www.mendeley.com/documents/?uuid=b846255d-0d20-449e-b65e-4836bdae0de3" ] } ], "mendeley" : { "formattedCitation" : "[3]", "plainTextFormattedCitation" : "[3]", "previouslyFormattedCitation" : "[76]" }, "properties" : { "noteIndex" : 0 }, "schema" : "https://github.com/citation-style-language/schema/raw/master/csl-citation.json" }</w:instrText>
      </w:r>
      <w:r w:rsidR="007C6D9D" w:rsidRPr="004701D5">
        <w:rPr>
          <w:rFonts w:asciiTheme="majorHAnsi" w:hAnsiTheme="majorHAnsi" w:cstheme="majorHAnsi"/>
        </w:rPr>
        <w:fldChar w:fldCharType="separate"/>
      </w:r>
      <w:r w:rsidRPr="004701D5">
        <w:rPr>
          <w:rFonts w:asciiTheme="majorHAnsi" w:hAnsiTheme="majorHAnsi" w:cstheme="majorHAnsi"/>
          <w:noProof/>
        </w:rPr>
        <w:t>[3]</w:t>
      </w:r>
      <w:r w:rsidR="007C6D9D" w:rsidRPr="004701D5">
        <w:rPr>
          <w:rFonts w:asciiTheme="majorHAnsi" w:hAnsiTheme="majorHAnsi" w:cstheme="majorHAnsi"/>
        </w:rPr>
        <w:fldChar w:fldCharType="end"/>
      </w:r>
      <w:r w:rsidRPr="004701D5">
        <w:rPr>
          <w:rFonts w:asciiTheme="majorHAnsi" w:hAnsiTheme="majorHAnsi" w:cstheme="majorHAnsi"/>
        </w:rPr>
        <w:t xml:space="preserve"> is derived from the Bayes C method and is similar to BRR. In this approach it is assumed that the marker effects have a common variance. However, Bayes Cπ includes marker selection with parameter π, which is defined as the probability of a SNP marker having a null effect. For the Bayes Cπ method it is assumed that:</w:t>
      </w:r>
    </w:p>
    <w:p w:rsidR="00816E3B" w:rsidRPr="004701D5" w:rsidRDefault="00816E3B" w:rsidP="00816E3B">
      <w:pPr>
        <w:spacing w:line="480" w:lineRule="auto"/>
        <w:jc w:val="both"/>
        <w:rPr>
          <w:rFonts w:asciiTheme="majorHAnsi" w:hAnsiTheme="majorHAnsi" w:cstheme="majorHAns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147"/>
        <w:gridCol w:w="1170"/>
        <w:gridCol w:w="2821"/>
      </w:tblGrid>
      <w:tr w:rsidR="00816E3B" w:rsidRPr="004701D5" w:rsidTr="00B562E9">
        <w:trPr>
          <w:jc w:val="center"/>
        </w:trPr>
        <w:tc>
          <w:tcPr>
            <w:tcW w:w="1147" w:type="dxa"/>
            <w:vMerge w:val="restart"/>
            <w:vAlign w:val="center"/>
          </w:tcPr>
          <w:p w:rsidR="00816E3B" w:rsidRPr="004701D5" w:rsidRDefault="007C6D9D" w:rsidP="00816E3B">
            <w:pPr>
              <w:spacing w:line="480" w:lineRule="auto"/>
              <w:jc w:val="both"/>
              <w:rPr>
                <w:rFonts w:asciiTheme="majorHAnsi" w:hAnsiTheme="majorHAnsi" w:cstheme="majorHAnsi"/>
                <w:lang w:val="en-US"/>
              </w:rPr>
            </w:pPr>
            <w:r>
              <w:rPr>
                <w:rFonts w:asciiTheme="majorHAnsi" w:hAnsiTheme="majorHAnsi" w:cstheme="majorHAnsi"/>
                <w:noProof/>
                <w:lang w:eastAsia="pt-BR"/>
              </w:rPr>
              <w:pict>
                <v:shape id="Left Brace 23" o:spid="_x0000_s1027" type="#_x0000_t87" style="position:absolute;left:0;text-align:left;margin-left:42.15pt;margin-top:-.75pt;width:9pt;height:27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" adj="600" strokecolor="black [3213]" strokeweight="1pt">
                  <v:shadow on="t" color="black" opacity="24903f" origin=",.5" offset="0,.55556mm"/>
                </v:shape>
              </w:pict>
            </w:r>
            <m:oMath>
              <m:sSub>
                <m:sSubPr>
                  <m:ctrlPr>
                    <w:rPr>
                      <w:rFonts w:ascii="Cambria Math" w:hAnsi="Cambria Math" w:cstheme="majorHAnsi"/>
                      <w:i/>
                      <w:lang w:val="en-US"/>
                    </w:rPr>
                  </m:ctrlPr>
                </m:sSubPr>
                <m:e>
                  <m:r>
                    <w:rPr>
                      <w:rFonts w:ascii="Cambria Math" w:hAnsi="Cambria Math" w:cstheme="majorHAnsi"/>
                      <w:lang w:val="en-US"/>
                    </w:rPr>
                    <m:t>m</m:t>
                  </m:r>
                </m:e>
                <m:sub>
                  <m:r>
                    <w:rPr>
                      <w:rFonts w:ascii="Cambria Math" w:hAnsi="Cambria Math" w:cstheme="majorHAnsi"/>
                      <w:lang w:val="en-US"/>
                    </w:rPr>
                    <m:t>i</m:t>
                  </m:r>
                </m:sub>
              </m:sSub>
              <m:r>
                <w:rPr>
                  <w:rFonts w:ascii="Cambria Math" w:hAnsi="Cambria Math" w:cstheme="majorHAnsi"/>
                  <w:lang w:val="en-US"/>
                </w:rPr>
                <m:t>|</m:t>
              </m:r>
              <m:sSubSup>
                <m:sSubSupPr>
                  <m:ctrlPr>
                    <w:rPr>
                      <w:rFonts w:ascii="Cambria Math" w:hAnsi="Cambria Math" w:cstheme="majorHAnsi"/>
                      <w:i/>
                      <w:lang w:val="en-US"/>
                    </w:rPr>
                  </m:ctrlPr>
                </m:sSubSupPr>
                <m:e>
                  <m:r>
                    <w:rPr>
                      <w:rFonts w:ascii="Cambria Math" w:hAnsi="Cambria Math" w:cstheme="majorHAnsi"/>
                      <w:lang w:val="en-US"/>
                    </w:rPr>
                    <m:t>σ</m:t>
                  </m:r>
                </m:e>
                <m:sub>
                  <m:r>
                    <w:rPr>
                      <w:rFonts w:ascii="Cambria Math" w:hAnsi="Cambria Math" w:cstheme="majorHAnsi"/>
                      <w:lang w:val="en-US"/>
                    </w:rPr>
                    <m:t>m</m:t>
                  </m:r>
                </m:sub>
                <m:sup>
                  <m:r>
                    <w:rPr>
                      <w:rFonts w:ascii="Cambria Math" w:hAnsi="Cambria Math" w:cstheme="majorHAnsi"/>
                      <w:lang w:val="en-US"/>
                    </w:rPr>
                    <m:t>2</m:t>
                  </m:r>
                </m:sup>
              </m:sSubSup>
            </m:oMath>
          </w:p>
        </w:tc>
        <w:tc>
          <w:tcPr>
            <w:tcW w:w="1170" w:type="dxa"/>
          </w:tcPr>
          <w:p w:rsidR="00816E3B" w:rsidRPr="004701D5" w:rsidRDefault="00816E3B" w:rsidP="00816E3B">
            <w:pPr>
              <w:spacing w:line="480" w:lineRule="auto"/>
              <w:jc w:val="both"/>
              <w:rPr>
                <w:rFonts w:asciiTheme="majorHAnsi" w:hAnsiTheme="majorHAnsi" w:cstheme="majorHAnsi"/>
                <w:lang w:val="en-US"/>
              </w:rPr>
            </w:pPr>
            <m:oMath>
              <m:r>
                <w:rPr>
                  <w:rFonts w:ascii="Cambria Math" w:hAnsi="Cambria Math" w:cstheme="majorHAnsi"/>
                  <w:lang w:val="en-US"/>
                </w:rPr>
                <m:t>~N(0,</m:t>
              </m:r>
              <m:sSubSup>
                <m:sSubSupPr>
                  <m:ctrlPr>
                    <w:rPr>
                      <w:rFonts w:ascii="Cambria Math" w:hAnsi="Cambria Math" w:cstheme="majorHAnsi"/>
                      <w:i/>
                      <w:lang w:val="en-US"/>
                    </w:rPr>
                  </m:ctrlPr>
                </m:sSubSupPr>
                <m:e>
                  <m:r>
                    <w:rPr>
                      <w:rFonts w:ascii="Cambria Math" w:hAnsi="Cambria Math" w:cstheme="majorHAnsi"/>
                      <w:lang w:val="en-US"/>
                    </w:rPr>
                    <m:t>σ</m:t>
                  </m:r>
                </m:e>
                <m:sub>
                  <m:r>
                    <w:rPr>
                      <w:rFonts w:ascii="Cambria Math" w:hAnsi="Cambria Math" w:cstheme="majorHAnsi"/>
                      <w:lang w:val="en-US"/>
                    </w:rPr>
                    <m:t>m</m:t>
                  </m:r>
                </m:sub>
                <m:sup>
                  <m:r>
                    <w:rPr>
                      <w:rFonts w:ascii="Cambria Math" w:hAnsi="Cambria Math" w:cstheme="majorHAnsi"/>
                      <w:lang w:val="en-US"/>
                    </w:rPr>
                    <m:t>2</m:t>
                  </m:r>
                </m:sup>
              </m:sSubSup>
              <m:r>
                <w:rPr>
                  <w:rFonts w:ascii="Cambria Math" w:hAnsi="Cambria Math" w:cstheme="majorHAnsi"/>
                  <w:lang w:val="en-US"/>
                </w:rPr>
                <m:t>)</m:t>
              </m:r>
            </m:oMath>
            <w:r w:rsidRPr="004701D5">
              <w:rPr>
                <w:rFonts w:asciiTheme="majorHAnsi" w:hAnsiTheme="majorHAnsi" w:cstheme="majorHAnsi"/>
                <w:lang w:val="en-US"/>
              </w:rPr>
              <w:t xml:space="preserve"> </w:t>
            </w:r>
          </w:p>
        </w:tc>
        <w:tc>
          <w:tcPr>
            <w:tcW w:w="2821" w:type="dxa"/>
          </w:tcPr>
          <w:p w:rsidR="00816E3B" w:rsidRPr="004701D5" w:rsidRDefault="00816E3B" w:rsidP="00816E3B">
            <w:pPr>
              <w:spacing w:line="480" w:lineRule="auto"/>
              <w:jc w:val="both"/>
              <w:rPr>
                <w:rFonts w:asciiTheme="majorHAnsi" w:hAnsiTheme="majorHAnsi" w:cstheme="majorHAnsi"/>
                <w:lang w:val="en-US"/>
              </w:rPr>
            </w:pPr>
            <w:r w:rsidRPr="004701D5">
              <w:rPr>
                <w:rFonts w:asciiTheme="majorHAnsi" w:hAnsiTheme="majorHAnsi" w:cstheme="majorHAnsi"/>
                <w:lang w:val="en-US"/>
              </w:rPr>
              <w:t>with probability equal 1</w:t>
            </w:r>
            <w:r w:rsidRPr="004701D5">
              <w:rPr>
                <w:rFonts w:asciiTheme="majorHAnsi" w:hAnsiTheme="majorHAnsi" w:cstheme="majorHAnsi"/>
                <w:b/>
                <w:lang w:val="en-US"/>
              </w:rPr>
              <w:t>-</w:t>
            </w:r>
            <w:r w:rsidRPr="004701D5">
              <w:rPr>
                <w:rFonts w:asciiTheme="majorHAnsi" w:hAnsiTheme="majorHAnsi" w:cstheme="majorHAnsi"/>
                <w:lang w:val="en-US"/>
              </w:rPr>
              <w:t>π</w:t>
            </w:r>
          </w:p>
        </w:tc>
      </w:tr>
      <w:tr w:rsidR="00816E3B" w:rsidRPr="004701D5" w:rsidTr="00B562E9">
        <w:trPr>
          <w:trHeight w:val="423"/>
          <w:jc w:val="center"/>
        </w:trPr>
        <w:tc>
          <w:tcPr>
            <w:tcW w:w="1147" w:type="dxa"/>
            <w:vMerge/>
          </w:tcPr>
          <w:p w:rsidR="00816E3B" w:rsidRPr="004701D5" w:rsidRDefault="00816E3B" w:rsidP="00816E3B">
            <w:pPr>
              <w:spacing w:line="480" w:lineRule="auto"/>
              <w:jc w:val="both"/>
              <w:rPr>
                <w:rFonts w:asciiTheme="majorHAnsi" w:hAnsiTheme="majorHAnsi" w:cstheme="majorHAnsi"/>
                <w:lang w:val="en-US"/>
              </w:rPr>
            </w:pPr>
          </w:p>
        </w:tc>
        <w:tc>
          <w:tcPr>
            <w:tcW w:w="1170" w:type="dxa"/>
          </w:tcPr>
          <w:p w:rsidR="00816E3B" w:rsidRPr="004701D5" w:rsidRDefault="00816E3B" w:rsidP="00816E3B">
            <w:pPr>
              <w:spacing w:line="480" w:lineRule="auto"/>
              <w:jc w:val="both"/>
              <w:rPr>
                <w:rFonts w:asciiTheme="majorHAnsi" w:hAnsiTheme="majorHAnsi" w:cstheme="majorHAnsi"/>
                <w:lang w:val="en-US"/>
              </w:rPr>
            </w:pPr>
            <w:r w:rsidRPr="004701D5">
              <w:rPr>
                <w:rFonts w:asciiTheme="majorHAnsi" w:hAnsiTheme="majorHAnsi" w:cstheme="majorHAnsi"/>
                <w:lang w:val="en-US"/>
              </w:rPr>
              <w:t xml:space="preserve">=0 </w:t>
            </w:r>
          </w:p>
        </w:tc>
        <w:tc>
          <w:tcPr>
            <w:tcW w:w="2821" w:type="dxa"/>
          </w:tcPr>
          <w:p w:rsidR="00816E3B" w:rsidRPr="004701D5" w:rsidRDefault="00816E3B" w:rsidP="00816E3B">
            <w:pPr>
              <w:spacing w:line="480" w:lineRule="auto"/>
              <w:jc w:val="both"/>
              <w:rPr>
                <w:rFonts w:asciiTheme="majorHAnsi" w:hAnsiTheme="majorHAnsi" w:cstheme="majorHAnsi"/>
                <w:lang w:val="en-US"/>
              </w:rPr>
            </w:pPr>
            <w:r w:rsidRPr="004701D5">
              <w:rPr>
                <w:rFonts w:asciiTheme="majorHAnsi" w:hAnsiTheme="majorHAnsi" w:cstheme="majorHAnsi"/>
                <w:lang w:val="en-US"/>
              </w:rPr>
              <w:t>with probability equal π</w:t>
            </w:r>
          </w:p>
        </w:tc>
      </w:tr>
    </w:tbl>
    <w:p w:rsidR="00816E3B" w:rsidRPr="004701D5" w:rsidRDefault="00816E3B" w:rsidP="00816E3B">
      <w:pPr>
        <w:spacing w:line="480" w:lineRule="auto"/>
        <w:jc w:val="both"/>
        <w:rPr>
          <w:rFonts w:asciiTheme="majorHAnsi" w:hAnsiTheme="majorHAnsi" w:cstheme="majorHAnsi"/>
        </w:rPr>
      </w:pPr>
    </w:p>
    <w:p w:rsidR="00816E3B" w:rsidRPr="004701D5" w:rsidRDefault="007C6D9D" w:rsidP="00816E3B">
      <w:pPr>
        <w:spacing w:line="480" w:lineRule="auto"/>
        <w:jc w:val="both"/>
        <w:rPr>
          <w:rFonts w:asciiTheme="majorHAnsi" w:hAnsiTheme="majorHAnsi" w:cstheme="majorHAnsi"/>
        </w:rPr>
      </w:pPr>
      <m:oMathPara>
        <m:oMath>
          <m:sSubSup>
            <m:sSubSupPr>
              <m:ctrlPr>
                <w:rPr>
                  <w:rFonts w:ascii="Cambria Math" w:hAnsi="Cambria Math" w:cstheme="majorHAnsi"/>
                  <w:i/>
                </w:rPr>
              </m:ctrlPr>
            </m:sSubSupPr>
            <m:e>
              <m:r>
                <w:rPr>
                  <w:rFonts w:ascii="Cambria Math" w:hAnsi="Cambria Math" w:cstheme="majorHAnsi"/>
                </w:rPr>
                <m:t>σ</m:t>
              </m:r>
            </m:e>
            <m:sub>
              <m:r>
                <w:rPr>
                  <w:rFonts w:ascii="Cambria Math" w:hAnsi="Cambria Math" w:cstheme="majorHAnsi"/>
                </w:rPr>
                <m:t>m</m:t>
              </m:r>
            </m:sub>
            <m:sup>
              <m:r>
                <w:rPr>
                  <w:rFonts w:ascii="Cambria Math" w:hAnsi="Cambria Math" w:cstheme="majorHAnsi"/>
                </w:rPr>
                <m:t>2</m:t>
              </m:r>
            </m:sup>
          </m:sSubSup>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S</m:t>
              </m:r>
            </m:e>
            <m:sub>
              <m:r>
                <w:rPr>
                  <w:rFonts w:ascii="Cambria Math" w:hAnsi="Cambria Math" w:cstheme="majorHAnsi"/>
                </w:rPr>
                <m:t>m</m:t>
              </m:r>
            </m:sub>
          </m:sSub>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ν</m:t>
              </m:r>
            </m:e>
            <m:sub>
              <m:r>
                <w:rPr>
                  <w:rFonts w:ascii="Cambria Math" w:hAnsi="Cambria Math" w:cstheme="majorHAnsi"/>
                </w:rPr>
                <m:t>m</m:t>
              </m:r>
            </m:sub>
          </m:sSub>
          <m:r>
            <w:rPr>
              <w:rFonts w:ascii="Cambria Math" w:hAnsi="Cambria Math" w:cstheme="majorHAnsi"/>
            </w:rPr>
            <m:t>~</m:t>
          </m:r>
          <m:sSup>
            <m:sSupPr>
              <m:ctrlPr>
                <w:rPr>
                  <w:rFonts w:ascii="Cambria Math" w:hAnsi="Cambria Math" w:cstheme="majorHAnsi"/>
                  <w:i/>
                </w:rPr>
              </m:ctrlPr>
            </m:sSupPr>
            <m:e>
              <m:r>
                <w:rPr>
                  <w:rFonts w:ascii="Cambria Math" w:hAnsi="Cambria Math" w:cstheme="majorHAnsi"/>
                </w:rPr>
                <m:t>χ</m:t>
              </m:r>
            </m:e>
            <m:sup>
              <m:r>
                <w:rPr>
                  <w:rFonts w:ascii="Cambria Math" w:hAnsi="Cambria Math" w:cstheme="majorHAnsi"/>
                </w:rPr>
                <m:t>-2</m:t>
              </m:r>
            </m:sup>
          </m:sSup>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S</m:t>
              </m:r>
            </m:e>
            <m:sub>
              <m:r>
                <w:rPr>
                  <w:rFonts w:ascii="Cambria Math" w:hAnsi="Cambria Math" w:cstheme="majorHAnsi"/>
                </w:rPr>
                <m:t>m</m:t>
              </m:r>
            </m:sub>
          </m:sSub>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ν</m:t>
              </m:r>
            </m:e>
            <m:sub>
              <m:r>
                <w:rPr>
                  <w:rFonts w:ascii="Cambria Math" w:hAnsi="Cambria Math" w:cstheme="majorHAnsi"/>
                </w:rPr>
                <m:t>m</m:t>
              </m:r>
            </m:sub>
          </m:sSub>
          <m:r>
            <w:rPr>
              <w:rFonts w:ascii="Cambria Math" w:hAnsi="Cambria Math" w:cstheme="majorHAnsi"/>
            </w:rPr>
            <m:t>)</m:t>
          </m:r>
        </m:oMath>
      </m:oMathPara>
    </w:p>
    <w:p w:rsidR="00816E3B" w:rsidRPr="004701D5" w:rsidRDefault="00816E3B" w:rsidP="00816E3B">
      <w:pPr>
        <w:spacing w:line="480" w:lineRule="auto"/>
        <w:jc w:val="both"/>
        <w:rPr>
          <w:rFonts w:asciiTheme="majorHAnsi" w:hAnsiTheme="majorHAnsi" w:cstheme="majorHAnsi"/>
          <w:vertAlign w:val="subscript"/>
        </w:rPr>
      </w:pPr>
      <m:oMathPara>
        <m:oMath>
          <m:r>
            <w:rPr>
              <w:rFonts w:ascii="Cambria Math" w:hAnsi="Cambria Math" w:cstheme="majorHAnsi"/>
              <w:vertAlign w:val="subscript"/>
            </w:rPr>
            <w:lastRenderedPageBreak/>
            <m:t>π~Beta(</m:t>
          </m:r>
          <m:sSub>
            <m:sSubPr>
              <m:ctrlPr>
                <w:rPr>
                  <w:rFonts w:ascii="Cambria Math" w:hAnsi="Cambria Math" w:cstheme="majorHAnsi"/>
                  <w:i/>
                  <w:vertAlign w:val="subscript"/>
                </w:rPr>
              </m:ctrlPr>
            </m:sSubPr>
            <m:e>
              <m:r>
                <w:rPr>
                  <w:rFonts w:ascii="Cambria Math" w:hAnsi="Cambria Math" w:cstheme="majorHAnsi"/>
                  <w:vertAlign w:val="subscript"/>
                </w:rPr>
                <m:t>p</m:t>
              </m:r>
            </m:e>
            <m:sub>
              <m:r>
                <w:rPr>
                  <w:rFonts w:ascii="Cambria Math" w:hAnsi="Cambria Math" w:cstheme="majorHAnsi"/>
                  <w:vertAlign w:val="subscript"/>
                </w:rPr>
                <m:t>0</m:t>
              </m:r>
            </m:sub>
          </m:sSub>
          <m:r>
            <w:rPr>
              <w:rFonts w:ascii="Cambria Math" w:hAnsi="Cambria Math" w:cstheme="majorHAnsi"/>
              <w:vertAlign w:val="subscript"/>
            </w:rPr>
            <m:t>,</m:t>
          </m:r>
          <m:sSub>
            <m:sSubPr>
              <m:ctrlPr>
                <w:rPr>
                  <w:rFonts w:ascii="Cambria Math" w:hAnsi="Cambria Math" w:cstheme="majorHAnsi"/>
                  <w:i/>
                  <w:vertAlign w:val="subscript"/>
                </w:rPr>
              </m:ctrlPr>
            </m:sSubPr>
            <m:e>
              <m:r>
                <w:rPr>
                  <w:rFonts w:ascii="Cambria Math" w:hAnsi="Cambria Math" w:cstheme="majorHAnsi"/>
                  <w:vertAlign w:val="subscript"/>
                </w:rPr>
                <m:t>π</m:t>
              </m:r>
            </m:e>
            <m:sub>
              <m:r>
                <w:rPr>
                  <w:rFonts w:ascii="Cambria Math" w:hAnsi="Cambria Math" w:cstheme="majorHAnsi"/>
                  <w:vertAlign w:val="subscript"/>
                </w:rPr>
                <m:t>0</m:t>
              </m:r>
            </m:sub>
          </m:sSub>
          <m:r>
            <w:rPr>
              <w:rFonts w:ascii="Cambria Math" w:hAnsi="Cambria Math" w:cstheme="majorHAnsi"/>
              <w:vertAlign w:val="subscript"/>
            </w:rPr>
            <m:t>)</m:t>
          </m:r>
        </m:oMath>
      </m:oMathPara>
    </w:p>
    <w:p w:rsidR="00816E3B" w:rsidRPr="004701D5" w:rsidRDefault="00816E3B" w:rsidP="00816E3B">
      <w:pPr>
        <w:spacing w:line="480" w:lineRule="auto"/>
        <w:jc w:val="both"/>
        <w:rPr>
          <w:rFonts w:asciiTheme="majorHAnsi" w:hAnsiTheme="majorHAnsi" w:cstheme="majorHAnsi"/>
          <w:b/>
        </w:rPr>
      </w:pPr>
    </w:p>
    <w:p w:rsidR="00816E3B" w:rsidRPr="004701D5" w:rsidRDefault="00816E3B" w:rsidP="00816E3B">
      <w:pPr>
        <w:spacing w:line="480" w:lineRule="auto"/>
        <w:jc w:val="both"/>
        <w:rPr>
          <w:rFonts w:asciiTheme="majorHAnsi" w:hAnsiTheme="majorHAnsi" w:cstheme="majorHAnsi"/>
          <w:b/>
        </w:rPr>
      </w:pPr>
      <w:r w:rsidRPr="004701D5">
        <w:rPr>
          <w:rFonts w:asciiTheme="majorHAnsi" w:hAnsiTheme="majorHAnsi" w:cstheme="majorHAnsi"/>
        </w:rPr>
        <w:t xml:space="preserve">The </w:t>
      </w:r>
      <w:r w:rsidRPr="004701D5">
        <w:rPr>
          <w:rFonts w:asciiTheme="majorHAnsi" w:hAnsiTheme="majorHAnsi" w:cstheme="majorHAnsi"/>
          <w:i/>
        </w:rPr>
        <w:t>Bayesian Lasso</w:t>
      </w:r>
      <w:r w:rsidRPr="004701D5">
        <w:rPr>
          <w:rFonts w:asciiTheme="majorHAnsi" w:hAnsiTheme="majorHAnsi" w:cstheme="majorHAnsi"/>
        </w:rPr>
        <w:t xml:space="preserve"> (BL) method was proposed by Park and Casella </w:t>
      </w:r>
      <w:r w:rsidR="007C6D9D" w:rsidRPr="004701D5">
        <w:rPr>
          <w:rFonts w:asciiTheme="majorHAnsi" w:hAnsiTheme="majorHAnsi" w:cstheme="majorHAnsi"/>
        </w:rPr>
        <w:fldChar w:fldCharType="begin" w:fldLock="1"/>
      </w:r>
      <w:r w:rsidRPr="004701D5">
        <w:rPr>
          <w:rFonts w:asciiTheme="majorHAnsi" w:hAnsiTheme="majorHAnsi" w:cstheme="majorHAnsi"/>
        </w:rPr>
        <w:instrText>ADDIN CSL_CITATION { "citationItems" : [ { "id" : "ITEM-1", "itemData" : { "DOI" : "10.1198/016214508000000337", "ISBN" : "0162-1459", "ISSN" : "0162-1459", "PMID" : "21156729", "abstract" : "The Lasso estimate for linear regression parameters can be interpreted as a Bayesian posterior mode estimate when the regression parameters have independent Laplace (i.e., double-exponential) priors. Gibbs sampling from this posterior is possible using an expanded hierarchy with conjugate normal priors for the regression parameters and independent exponential priors on their variances. A connection with the inverse-Gaussian distribution provides tractable full conditional distributions. The Bayesian Lasso provides interval estimates (Bayesian credible intervals) that can guide variable selection. Moreover, the structure of the hierarchical model provides both Bayesian and likelihood methods for selecting the Lasso parameter. Slight modifications lead to Bayesian versions of other Lasso-related estimation methods, including bridge regression and a robust variant.", "author" : [ { "dropping-particle" : "", "family" : "Park", "given" : "Trevor", "non-dropping-particle" : "", "parse-names" : false, "suffix" : "" }, { "dropping-particle" : "", "family" : "Casella", "given" : "George", "non-dropping-particle" : "", "parse-names" : false, "suffix" : "" } ], "container-title" : "Journal of the American Statistical Association", "id" : "ITEM-1", "issue" : "482", "issued" : { "date-parts" : [ [ "2008" ] ] }, "page" : "681-686", "title" : "The Bayesian Lasso", "type" : "article-journal", "volume" : "103" }, "uris" : [ "http://www.mendeley.com/documents/?uuid=9cc19e2a-381b-4f8c-8b59-ada3405b9571" ] } ], "mendeley" : { "formattedCitation" : "[4]", "plainTextFormattedCitation" : "[4]", "previouslyFormattedCitation" : "[74]" }, "properties" : { "noteIndex" : 0 }, "schema" : "https://github.com/citation-style-language/schema/raw/master/csl-citation.json" }</w:instrText>
      </w:r>
      <w:r w:rsidR="007C6D9D" w:rsidRPr="004701D5">
        <w:rPr>
          <w:rFonts w:asciiTheme="majorHAnsi" w:hAnsiTheme="majorHAnsi" w:cstheme="majorHAnsi"/>
        </w:rPr>
        <w:fldChar w:fldCharType="separate"/>
      </w:r>
      <w:r w:rsidRPr="004701D5">
        <w:rPr>
          <w:rFonts w:asciiTheme="majorHAnsi" w:hAnsiTheme="majorHAnsi" w:cstheme="majorHAnsi"/>
          <w:noProof/>
        </w:rPr>
        <w:t>[4]</w:t>
      </w:r>
      <w:r w:rsidR="007C6D9D" w:rsidRPr="004701D5">
        <w:rPr>
          <w:rFonts w:asciiTheme="majorHAnsi" w:hAnsiTheme="majorHAnsi" w:cstheme="majorHAnsi"/>
        </w:rPr>
        <w:fldChar w:fldCharType="end"/>
      </w:r>
      <w:r w:rsidRPr="004701D5">
        <w:rPr>
          <w:rFonts w:asciiTheme="majorHAnsi" w:hAnsiTheme="majorHAnsi" w:cstheme="majorHAnsi"/>
        </w:rPr>
        <w:t xml:space="preserve"> and was adapted for genomic prediction by de los Campos et al. </w:t>
      </w:r>
      <w:r w:rsidR="007C6D9D" w:rsidRPr="004701D5">
        <w:rPr>
          <w:rFonts w:asciiTheme="majorHAnsi" w:hAnsiTheme="majorHAnsi" w:cstheme="majorHAnsi"/>
        </w:rPr>
        <w:fldChar w:fldCharType="begin" w:fldLock="1"/>
      </w:r>
      <w:r w:rsidRPr="004701D5">
        <w:rPr>
          <w:rFonts w:asciiTheme="majorHAnsi" w:hAnsiTheme="majorHAnsi" w:cstheme="majorHAnsi"/>
        </w:rPr>
        <w:instrText>ADDIN CSL_CITATION { "citationItems" : [ { "id" : "ITEM-1", "itemData" : { "DOI" : "10.1534/genetics.109.101501", "ISBN" : "0016-6731 (Print)\\r0016-6731 (Linking)", "ISSN" : "00166731", "PMID" : "19293140", "abstract" : "The availability of genomewide dense markers brings opportunities and challenges to breeding programs. An important question concerns the ways in which dense markers and pedigrees, together with phenotypic records, should be used to arrive at predictions of genetic values for complex traits. If a large number of markers are included in a regression model, marker-specific shrinkage of regression coefficients may be needed. For this reason, the Bayesian least absolute shrinkage and selection operator (LASSO) (BL) appears to be an interesting approach for fitting marker effects in a regression model. This article adapts the BL to arrive at a regression model where markers, pedigrees, and covariates other than markers are considered jointly. Connections between BL and other marker-based regression models are discussed, and the sensitivity of BL with respect to the choice of prior distributions assigned to key parameters is evaluated using simulation. The proposed model was fitted to two data sets from wheat and mouse populations, and evaluated using cross-validation methods. Results indicate that inclusion of markers in the regression further improved the predictive ability of models. An R program that implements the proposed model is freely available.", "author" : [ { "dropping-particle" : "", "family" : "los Campos", "given" : "Gustavo", "non-dropping-particle" : "de", "parse-names" : false, "suffix" : "" }, { "dropping-particle" : "", "family" : "Naya", "given" : "Hugo", "non-dropping-particle" : "", "parse-names" : false, "suffix" : "" }, { "dropping-particle" : "", "family" : "Gianola", "given" : "Daniel", "non-dropping-particle" : "", "parse-names" : false, "suffix" : "" }, { "dropping-particle" : "", "family" : "Crossa", "given" : "Jos\u00e9", "non-dropping-particle" : "", "parse-names" : false, "suffix" : "" }, { "dropping-particle" : "", "family" : "Legarra", "given" : "Andr\u00e9s", "non-dropping-particle" : "", "parse-names" : false, "suffix" : "" }, { "dropping-particle" : "", "family" : "Manfredi", "given" : "Eduardo", "non-dropping-particle" : "", "parse-names" : false, "suffix" : "" }, { "dropping-particle" : "", "family" : "Weigel", "given" : "Kent", "non-dropping-particle" : "", "parse-names" : false, "suffix" : "" }, { "dropping-particle" : "", "family" : "Cotes", "given" : "Jos\u00e9 Miguel", "non-dropping-particle" : "", "parse-names" : false, "suffix" : "" } ], "container-title" : "Genetics", "id" : "ITEM-1", "issue" : "1", "issued" : { "date-parts" : [ [ "2009" ] ] }, "page" : "375-385", "title" : "Predicting quantitative traits with regression models for dense molecular markers and pedigree", "type" : "article-journal", "volume" : "182" }, "uris" : [ "http://www.mendeley.com/documents/?uuid=961db14c-aa3c-421a-a21d-a008402d04fa" ] } ], "mendeley" : { "formattedCitation" : "[5]", "plainTextFormattedCitation" : "[5]", "previouslyFormattedCitation" : "[77]" }, "properties" : { "noteIndex" : 0 }, "schema" : "https://github.com/citation-style-language/schema/raw/master/csl-citation.json" }</w:instrText>
      </w:r>
      <w:r w:rsidR="007C6D9D" w:rsidRPr="004701D5">
        <w:rPr>
          <w:rFonts w:asciiTheme="majorHAnsi" w:hAnsiTheme="majorHAnsi" w:cstheme="majorHAnsi"/>
        </w:rPr>
        <w:fldChar w:fldCharType="separate"/>
      </w:r>
      <w:r w:rsidRPr="004701D5">
        <w:rPr>
          <w:rFonts w:asciiTheme="majorHAnsi" w:hAnsiTheme="majorHAnsi" w:cstheme="majorHAnsi"/>
          <w:noProof/>
        </w:rPr>
        <w:t>[5]</w:t>
      </w:r>
      <w:r w:rsidR="007C6D9D" w:rsidRPr="004701D5">
        <w:rPr>
          <w:rFonts w:asciiTheme="majorHAnsi" w:hAnsiTheme="majorHAnsi" w:cstheme="majorHAnsi"/>
        </w:rPr>
        <w:fldChar w:fldCharType="end"/>
      </w:r>
      <w:r w:rsidRPr="004701D5">
        <w:rPr>
          <w:rFonts w:asciiTheme="majorHAnsi" w:hAnsiTheme="majorHAnsi" w:cstheme="majorHAnsi"/>
        </w:rPr>
        <w:t>. Similar to Bayes A and Bayes B, the BL method assumes covariates with heterogeneous variance. The BL method does indirect marker selection, since the marginal distribution of the markers follows a double exponential distribution, providing strong shrinkage of the marker effects to close to zero for large number of markers. In the BL method it is assumed that:</w:t>
      </w:r>
    </w:p>
    <w:p w:rsidR="00816E3B" w:rsidRPr="004701D5" w:rsidRDefault="007C6D9D" w:rsidP="00816E3B">
      <w:pPr>
        <w:spacing w:line="480" w:lineRule="auto"/>
        <w:jc w:val="both"/>
        <w:rPr>
          <w:rFonts w:asciiTheme="majorHAnsi" w:hAnsiTheme="majorHAnsi" w:cstheme="majorHAnsi"/>
        </w:rPr>
      </w:pPr>
      <m:oMathPara>
        <m:oMathParaPr>
          <m:jc m:val="center"/>
        </m:oMathParaPr>
        <m:oMath>
          <m:sSub>
            <m:sSubPr>
              <m:ctrlPr>
                <w:rPr>
                  <w:rFonts w:ascii="Cambria Math" w:hAnsi="Cambria Math" w:cstheme="majorHAnsi"/>
                  <w:i/>
                </w:rPr>
              </m:ctrlPr>
            </m:sSubPr>
            <m:e>
              <m:r>
                <w:rPr>
                  <w:rFonts w:ascii="Cambria Math" w:hAnsi="Cambria Math" w:cstheme="majorHAnsi"/>
                </w:rPr>
                <m:t>m</m:t>
              </m:r>
            </m:e>
            <m:sub>
              <m:r>
                <w:rPr>
                  <w:rFonts w:ascii="Cambria Math" w:hAnsi="Cambria Math" w:cstheme="majorHAnsi"/>
                </w:rPr>
                <m:t>i</m:t>
              </m:r>
            </m:sub>
          </m:sSub>
          <m:r>
            <w:rPr>
              <w:rFonts w:ascii="Cambria Math" w:hAnsi="Cambria Math" w:cstheme="majorHAnsi"/>
            </w:rPr>
            <m:t>|</m:t>
          </m:r>
          <m:sSubSup>
            <m:sSubSupPr>
              <m:ctrlPr>
                <w:rPr>
                  <w:rFonts w:ascii="Cambria Math" w:hAnsi="Cambria Math" w:cstheme="majorHAnsi"/>
                  <w:i/>
                </w:rPr>
              </m:ctrlPr>
            </m:sSubSupPr>
            <m:e>
              <m:r>
                <w:rPr>
                  <w:rFonts w:ascii="Cambria Math" w:hAnsi="Cambria Math" w:cstheme="majorHAnsi"/>
                </w:rPr>
                <m:t>σ</m:t>
              </m:r>
            </m:e>
            <m:sub>
              <m:r>
                <w:rPr>
                  <w:rFonts w:ascii="Cambria Math" w:hAnsi="Cambria Math" w:cstheme="majorHAnsi"/>
                </w:rPr>
                <m:t>e</m:t>
              </m:r>
            </m:sub>
            <m:sup>
              <m:r>
                <w:rPr>
                  <w:rFonts w:ascii="Cambria Math" w:hAnsi="Cambria Math" w:cstheme="majorHAnsi"/>
                </w:rPr>
                <m:t>2</m:t>
              </m:r>
            </m:sup>
          </m:sSubSup>
          <m:r>
            <w:rPr>
              <w:rFonts w:ascii="Cambria Math" w:hAnsi="Cambria Math" w:cstheme="majorHAnsi"/>
            </w:rPr>
            <m:t>,</m:t>
          </m:r>
          <m:sSubSup>
            <m:sSubSupPr>
              <m:ctrlPr>
                <w:rPr>
                  <w:rFonts w:ascii="Cambria Math" w:hAnsi="Cambria Math" w:cstheme="majorHAnsi"/>
                  <w:i/>
                </w:rPr>
              </m:ctrlPr>
            </m:sSubSupPr>
            <m:e>
              <m:r>
                <w:rPr>
                  <w:rFonts w:ascii="Cambria Math" w:hAnsi="Cambria Math" w:cstheme="majorHAnsi"/>
                </w:rPr>
                <m:t>τ</m:t>
              </m:r>
            </m:e>
            <m:sub>
              <m:r>
                <w:rPr>
                  <w:rFonts w:ascii="Cambria Math" w:hAnsi="Cambria Math" w:cstheme="majorHAnsi"/>
                </w:rPr>
                <m:t>i</m:t>
              </m:r>
            </m:sub>
            <m:sup>
              <m:r>
                <w:rPr>
                  <w:rFonts w:ascii="Cambria Math" w:hAnsi="Cambria Math" w:cstheme="majorHAnsi"/>
                </w:rPr>
                <m:t>2</m:t>
              </m:r>
            </m:sup>
          </m:sSubSup>
          <m:r>
            <w:rPr>
              <w:rFonts w:ascii="Cambria Math" w:hAnsi="Cambria Math" w:cstheme="majorHAnsi"/>
            </w:rPr>
            <m:t>~N(0,</m:t>
          </m:r>
          <m:sSubSup>
            <m:sSubSupPr>
              <m:ctrlPr>
                <w:rPr>
                  <w:rFonts w:ascii="Cambria Math" w:hAnsi="Cambria Math" w:cstheme="majorHAnsi"/>
                  <w:i/>
                </w:rPr>
              </m:ctrlPr>
            </m:sSubSupPr>
            <m:e>
              <m:r>
                <w:rPr>
                  <w:rFonts w:ascii="Cambria Math" w:hAnsi="Cambria Math" w:cstheme="majorHAnsi"/>
                </w:rPr>
                <m:t>σ</m:t>
              </m:r>
            </m:e>
            <m:sub>
              <m:r>
                <w:rPr>
                  <w:rFonts w:ascii="Cambria Math" w:hAnsi="Cambria Math" w:cstheme="majorHAnsi"/>
                </w:rPr>
                <m:t>e</m:t>
              </m:r>
            </m:sub>
            <m:sup>
              <m:r>
                <w:rPr>
                  <w:rFonts w:ascii="Cambria Math" w:hAnsi="Cambria Math" w:cstheme="majorHAnsi"/>
                </w:rPr>
                <m:t>2</m:t>
              </m:r>
            </m:sup>
          </m:sSubSup>
          <m:r>
            <w:rPr>
              <w:rFonts w:ascii="Cambria Math" w:hAnsi="Cambria Math" w:cstheme="majorHAnsi"/>
            </w:rPr>
            <m:t>×</m:t>
          </m:r>
          <m:sSubSup>
            <m:sSubSupPr>
              <m:ctrlPr>
                <w:rPr>
                  <w:rFonts w:ascii="Cambria Math" w:hAnsi="Cambria Math" w:cstheme="majorHAnsi"/>
                  <w:i/>
                </w:rPr>
              </m:ctrlPr>
            </m:sSubSupPr>
            <m:e>
              <m:r>
                <w:rPr>
                  <w:rFonts w:ascii="Cambria Math" w:hAnsi="Cambria Math" w:cstheme="majorHAnsi"/>
                </w:rPr>
                <m:t>τ</m:t>
              </m:r>
            </m:e>
            <m:sub>
              <m:r>
                <w:rPr>
                  <w:rFonts w:ascii="Cambria Math" w:hAnsi="Cambria Math" w:cstheme="majorHAnsi"/>
                </w:rPr>
                <m:t>i</m:t>
              </m:r>
            </m:sub>
            <m:sup>
              <m:r>
                <w:rPr>
                  <w:rFonts w:ascii="Cambria Math" w:hAnsi="Cambria Math" w:cstheme="majorHAnsi"/>
                </w:rPr>
                <m:t>2</m:t>
              </m:r>
            </m:sup>
          </m:sSubSup>
          <m:r>
            <w:rPr>
              <w:rFonts w:ascii="Cambria Math" w:hAnsi="Cambria Math" w:cstheme="majorHAnsi"/>
            </w:rPr>
            <m:t>)</m:t>
          </m:r>
        </m:oMath>
      </m:oMathPara>
    </w:p>
    <w:p w:rsidR="00816E3B" w:rsidRPr="004701D5" w:rsidRDefault="007C6D9D" w:rsidP="00816E3B">
      <w:pPr>
        <w:spacing w:line="480" w:lineRule="auto"/>
        <w:jc w:val="both"/>
        <w:rPr>
          <w:rFonts w:asciiTheme="majorHAnsi" w:hAnsiTheme="majorHAnsi" w:cstheme="majorHAnsi"/>
        </w:rPr>
      </w:pPr>
      <m:oMathPara>
        <m:oMathParaPr>
          <m:jc m:val="center"/>
        </m:oMathParaPr>
        <m:oMath>
          <m:sSubSup>
            <m:sSubSupPr>
              <m:ctrlPr>
                <w:rPr>
                  <w:rFonts w:ascii="Cambria Math" w:hAnsi="Cambria Math" w:cstheme="majorHAnsi"/>
                  <w:i/>
                </w:rPr>
              </m:ctrlPr>
            </m:sSubSupPr>
            <m:e>
              <m:r>
                <w:rPr>
                  <w:rFonts w:ascii="Cambria Math" w:hAnsi="Cambria Math" w:cstheme="majorHAnsi"/>
                </w:rPr>
                <m:t>τ</m:t>
              </m:r>
            </m:e>
            <m:sub>
              <m:r>
                <w:rPr>
                  <w:rFonts w:ascii="Cambria Math" w:hAnsi="Cambria Math" w:cstheme="majorHAnsi"/>
                </w:rPr>
                <m:t>i</m:t>
              </m:r>
            </m:sub>
            <m:sup>
              <m:r>
                <w:rPr>
                  <w:rFonts w:ascii="Cambria Math" w:hAnsi="Cambria Math" w:cstheme="majorHAnsi"/>
                </w:rPr>
                <m:t>2</m:t>
              </m:r>
            </m:sup>
          </m:sSubSup>
          <m:r>
            <w:rPr>
              <w:rFonts w:ascii="Cambria Math" w:hAnsi="Cambria Math" w:cstheme="majorHAnsi"/>
            </w:rPr>
            <m:t>|λ~Exp(0.5</m:t>
          </m:r>
          <m:sSup>
            <m:sSupPr>
              <m:ctrlPr>
                <w:rPr>
                  <w:rFonts w:ascii="Cambria Math" w:hAnsi="Cambria Math" w:cstheme="majorHAnsi"/>
                  <w:i/>
                </w:rPr>
              </m:ctrlPr>
            </m:sSupPr>
            <m:e>
              <m:r>
                <w:rPr>
                  <w:rFonts w:ascii="Cambria Math" w:hAnsi="Cambria Math" w:cstheme="majorHAnsi"/>
                </w:rPr>
                <m:t>λ</m:t>
              </m:r>
            </m:e>
            <m:sup>
              <m:r>
                <w:rPr>
                  <w:rFonts w:ascii="Cambria Math" w:hAnsi="Cambria Math" w:cstheme="majorHAnsi"/>
                </w:rPr>
                <m:t>2</m:t>
              </m:r>
            </m:sup>
          </m:sSup>
          <m:r>
            <w:rPr>
              <w:rFonts w:ascii="Cambria Math" w:hAnsi="Cambria Math" w:cstheme="majorHAnsi"/>
            </w:rPr>
            <m:t>)</m:t>
          </m:r>
        </m:oMath>
      </m:oMathPara>
    </w:p>
    <w:p w:rsidR="00816E3B" w:rsidRPr="004701D5" w:rsidRDefault="00816E3B" w:rsidP="00816E3B">
      <w:pPr>
        <w:spacing w:line="480" w:lineRule="auto"/>
        <w:rPr>
          <w:rFonts w:asciiTheme="majorHAnsi" w:hAnsiTheme="majorHAnsi" w:cstheme="majorHAnsi"/>
        </w:rPr>
      </w:pPr>
      <m:oMathPara>
        <m:oMathParaPr>
          <m:jc m:val="center"/>
        </m:oMathParaPr>
        <m:oMath>
          <m:r>
            <w:rPr>
              <w:rFonts w:ascii="Cambria Math" w:hAnsi="Cambria Math" w:cstheme="majorHAnsi"/>
            </w:rPr>
            <m:t>λ|r,s~G(r,s)</m:t>
          </m:r>
        </m:oMath>
      </m:oMathPara>
    </w:p>
    <w:p w:rsidR="002426BC" w:rsidRPr="004701D5" w:rsidRDefault="004701D5" w:rsidP="00816E3B">
      <w:pPr>
        <w:spacing w:line="480" w:lineRule="auto"/>
        <w:rPr>
          <w:rFonts w:asciiTheme="majorHAnsi" w:hAnsiTheme="majorHAnsi" w:cstheme="majorHAnsi"/>
          <w:b/>
        </w:rPr>
      </w:pPr>
      <w:r>
        <w:rPr>
          <w:rFonts w:asciiTheme="majorHAnsi" w:hAnsiTheme="majorHAnsi" w:cstheme="majorHAnsi"/>
          <w:b/>
        </w:rPr>
        <w:t>References</w:t>
      </w:r>
    </w:p>
    <w:p w:rsidR="00816E3B" w:rsidRPr="004701D5" w:rsidRDefault="007C6D9D" w:rsidP="00816E3B">
      <w:pPr>
        <w:widowControl w:val="0"/>
        <w:autoSpaceDE w:val="0"/>
        <w:autoSpaceDN w:val="0"/>
        <w:adjustRightInd w:val="0"/>
        <w:spacing w:line="480" w:lineRule="auto"/>
        <w:rPr>
          <w:rFonts w:asciiTheme="majorHAnsi" w:hAnsiTheme="majorHAnsi" w:cstheme="majorHAnsi"/>
          <w:noProof/>
        </w:rPr>
      </w:pPr>
      <w:r w:rsidRPr="004701D5">
        <w:rPr>
          <w:rFonts w:asciiTheme="majorHAnsi" w:hAnsiTheme="majorHAnsi" w:cstheme="majorHAnsi"/>
        </w:rPr>
        <w:fldChar w:fldCharType="begin" w:fldLock="1"/>
      </w:r>
      <w:r w:rsidR="00816E3B" w:rsidRPr="004701D5">
        <w:rPr>
          <w:rFonts w:asciiTheme="majorHAnsi" w:hAnsiTheme="majorHAnsi" w:cstheme="majorHAnsi"/>
        </w:rPr>
        <w:instrText xml:space="preserve">ADDIN Mendeley Bibliography CSL_BIBLIOGRAPHY </w:instrText>
      </w:r>
      <w:r w:rsidRPr="004701D5">
        <w:rPr>
          <w:rFonts w:asciiTheme="majorHAnsi" w:hAnsiTheme="majorHAnsi" w:cstheme="majorHAnsi"/>
        </w:rPr>
        <w:fldChar w:fldCharType="separate"/>
      </w:r>
      <w:r w:rsidR="00816E3B" w:rsidRPr="004701D5">
        <w:rPr>
          <w:rFonts w:asciiTheme="majorHAnsi" w:hAnsiTheme="majorHAnsi" w:cstheme="majorHAnsi"/>
          <w:noProof/>
        </w:rPr>
        <w:t xml:space="preserve">1. Meuwissen THE, Hayes BJ, Goddard ME. Prediction of total genetic value using genome-wide dense marker maps. Genetics. 2001;157:1819–29. </w:t>
      </w:r>
    </w:p>
    <w:p w:rsidR="00816E3B" w:rsidRPr="004701D5" w:rsidRDefault="00816E3B" w:rsidP="00816E3B">
      <w:pPr>
        <w:widowControl w:val="0"/>
        <w:autoSpaceDE w:val="0"/>
        <w:autoSpaceDN w:val="0"/>
        <w:adjustRightInd w:val="0"/>
        <w:spacing w:line="480" w:lineRule="auto"/>
        <w:rPr>
          <w:rFonts w:asciiTheme="majorHAnsi" w:hAnsiTheme="majorHAnsi" w:cstheme="majorHAnsi"/>
          <w:noProof/>
        </w:rPr>
      </w:pPr>
      <w:r w:rsidRPr="004701D5">
        <w:rPr>
          <w:rFonts w:asciiTheme="majorHAnsi" w:hAnsiTheme="majorHAnsi" w:cstheme="majorHAnsi"/>
          <w:noProof/>
        </w:rPr>
        <w:t xml:space="preserve">2. Pérez P, de los Campos G. Genome-wide regression and prediction with the BGLR statistical package. Genetics. 2014;198:483–95. </w:t>
      </w:r>
    </w:p>
    <w:p w:rsidR="00816E3B" w:rsidRPr="004701D5" w:rsidRDefault="00816E3B" w:rsidP="00816E3B">
      <w:pPr>
        <w:widowControl w:val="0"/>
        <w:autoSpaceDE w:val="0"/>
        <w:autoSpaceDN w:val="0"/>
        <w:adjustRightInd w:val="0"/>
        <w:spacing w:line="480" w:lineRule="auto"/>
        <w:rPr>
          <w:rFonts w:asciiTheme="majorHAnsi" w:hAnsiTheme="majorHAnsi" w:cstheme="majorHAnsi"/>
          <w:noProof/>
        </w:rPr>
      </w:pPr>
      <w:r w:rsidRPr="004701D5">
        <w:rPr>
          <w:rFonts w:asciiTheme="majorHAnsi" w:hAnsiTheme="majorHAnsi" w:cstheme="majorHAnsi"/>
          <w:noProof/>
        </w:rPr>
        <w:t xml:space="preserve">3. Habier D, Fernando RL, Kizilkaya K, Garrick DJ. Extension of the bayesian alphabet for genomic selection. BMC Bioinformatics. BioMed Central Ltd; 2011;12:186. </w:t>
      </w:r>
    </w:p>
    <w:p w:rsidR="00816E3B" w:rsidRPr="004701D5" w:rsidRDefault="00816E3B" w:rsidP="00816E3B">
      <w:pPr>
        <w:widowControl w:val="0"/>
        <w:autoSpaceDE w:val="0"/>
        <w:autoSpaceDN w:val="0"/>
        <w:adjustRightInd w:val="0"/>
        <w:spacing w:line="480" w:lineRule="auto"/>
        <w:rPr>
          <w:rFonts w:asciiTheme="majorHAnsi" w:hAnsiTheme="majorHAnsi" w:cstheme="majorHAnsi"/>
          <w:noProof/>
          <w:lang w:val="pt-BR"/>
        </w:rPr>
      </w:pPr>
      <w:r w:rsidRPr="004701D5">
        <w:rPr>
          <w:rFonts w:asciiTheme="majorHAnsi" w:hAnsiTheme="majorHAnsi" w:cstheme="majorHAnsi"/>
          <w:noProof/>
        </w:rPr>
        <w:t xml:space="preserve">4. Park T, Casella G. The Bayesian Lasso. </w:t>
      </w:r>
      <w:r w:rsidRPr="004701D5">
        <w:rPr>
          <w:rFonts w:asciiTheme="majorHAnsi" w:hAnsiTheme="majorHAnsi" w:cstheme="majorHAnsi"/>
          <w:noProof/>
          <w:lang w:val="pt-BR"/>
        </w:rPr>
        <w:t xml:space="preserve">J. Am. Stat. Assoc. 2008;103:681–6. </w:t>
      </w:r>
    </w:p>
    <w:p w:rsidR="00816E3B" w:rsidRPr="004701D5" w:rsidRDefault="00816E3B" w:rsidP="00816E3B">
      <w:pPr>
        <w:widowControl w:val="0"/>
        <w:autoSpaceDE w:val="0"/>
        <w:autoSpaceDN w:val="0"/>
        <w:adjustRightInd w:val="0"/>
        <w:spacing w:line="480" w:lineRule="auto"/>
        <w:rPr>
          <w:rFonts w:asciiTheme="majorHAnsi" w:hAnsiTheme="majorHAnsi" w:cstheme="majorHAnsi"/>
        </w:rPr>
      </w:pPr>
      <w:r w:rsidRPr="004701D5">
        <w:rPr>
          <w:rFonts w:asciiTheme="majorHAnsi" w:hAnsiTheme="majorHAnsi" w:cstheme="majorHAnsi"/>
          <w:noProof/>
          <w:lang w:val="pt-BR"/>
        </w:rPr>
        <w:t xml:space="preserve">5. de los Campos G, Naya H, Gianola D, Crossa J, Legarra A, Manfredi E, et al. </w:t>
      </w:r>
      <w:r w:rsidRPr="004701D5">
        <w:rPr>
          <w:rFonts w:asciiTheme="majorHAnsi" w:hAnsiTheme="majorHAnsi" w:cstheme="majorHAnsi"/>
          <w:noProof/>
        </w:rPr>
        <w:t xml:space="preserve">Predicting quantitative traits with regression models for dense molecular markers and pedigree. Genetics. 2009;182:375–85. </w:t>
      </w:r>
      <w:r w:rsidR="007C6D9D" w:rsidRPr="004701D5">
        <w:rPr>
          <w:rFonts w:asciiTheme="majorHAnsi" w:hAnsiTheme="majorHAnsi" w:cstheme="majorHAnsi"/>
        </w:rPr>
        <w:fldChar w:fldCharType="end"/>
      </w:r>
    </w:p>
    <w:sectPr w:rsidR="00816E3B" w:rsidRPr="004701D5" w:rsidSect="00FB7EBF">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useFELayout/>
  </w:compat>
  <w:docVars>
    <w:docVar w:name="Total_Editing_Time" w:val="15"/>
  </w:docVars>
  <w:rsids>
    <w:rsidRoot w:val="005C65B8"/>
    <w:rsid w:val="000225C1"/>
    <w:rsid w:val="002426BC"/>
    <w:rsid w:val="003607A2"/>
    <w:rsid w:val="004701D5"/>
    <w:rsid w:val="005711BD"/>
    <w:rsid w:val="005C65B8"/>
    <w:rsid w:val="00600178"/>
    <w:rsid w:val="007C6D9D"/>
    <w:rsid w:val="00816E3B"/>
    <w:rsid w:val="00C712CA"/>
    <w:rsid w:val="00F66B41"/>
    <w:rsid w:val="00FB7E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E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25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25C1"/>
    <w:rPr>
      <w:rFonts w:ascii="Lucida Grande" w:hAnsi="Lucida Grande" w:cs="Lucida Grande"/>
      <w:sz w:val="18"/>
      <w:szCs w:val="18"/>
    </w:rPr>
  </w:style>
  <w:style w:type="paragraph" w:styleId="TOC4">
    <w:name w:val="toc 4"/>
    <w:basedOn w:val="Normal"/>
    <w:next w:val="Normal"/>
    <w:autoRedefine/>
    <w:uiPriority w:val="39"/>
    <w:unhideWhenUsed/>
    <w:rsid w:val="00600178"/>
    <w:pPr>
      <w:spacing w:line="276" w:lineRule="auto"/>
      <w:ind w:left="660"/>
    </w:pPr>
    <w:rPr>
      <w:rFonts w:ascii="Arial" w:eastAsiaTheme="minorHAnsi" w:hAnsi="Arial"/>
      <w:b/>
      <w:szCs w:val="20"/>
      <w:lang w:val="pt-BR"/>
    </w:rPr>
  </w:style>
  <w:style w:type="paragraph" w:styleId="TOC5">
    <w:name w:val="toc 5"/>
    <w:basedOn w:val="Normal"/>
    <w:next w:val="Normal"/>
    <w:autoRedefine/>
    <w:uiPriority w:val="39"/>
    <w:unhideWhenUsed/>
    <w:rsid w:val="00600178"/>
    <w:pPr>
      <w:spacing w:line="276" w:lineRule="auto"/>
      <w:ind w:left="880"/>
    </w:pPr>
    <w:rPr>
      <w:rFonts w:ascii="Arial" w:eastAsiaTheme="minorHAnsi" w:hAnsi="Arial"/>
      <w:b/>
      <w:szCs w:val="20"/>
      <w:lang w:val="pt-BR"/>
    </w:rPr>
  </w:style>
  <w:style w:type="paragraph" w:styleId="NormalWeb">
    <w:name w:val="Normal (Web)"/>
    <w:basedOn w:val="Normal"/>
    <w:uiPriority w:val="99"/>
    <w:unhideWhenUsed/>
    <w:rsid w:val="005C65B8"/>
    <w:pPr>
      <w:spacing w:before="100" w:beforeAutospacing="1" w:after="100" w:afterAutospacing="1"/>
    </w:pPr>
    <w:rPr>
      <w:rFonts w:ascii="Times" w:hAnsi="Times" w:cs="Times New Roman"/>
      <w:sz w:val="20"/>
      <w:szCs w:val="20"/>
    </w:rPr>
  </w:style>
  <w:style w:type="table" w:styleId="TableGrid">
    <w:name w:val="Table Grid"/>
    <w:basedOn w:val="TableNormal"/>
    <w:uiPriority w:val="59"/>
    <w:rsid w:val="005C65B8"/>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444573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3250</Words>
  <Characters>17685</Characters>
  <Application>Microsoft Office Word</Application>
  <DocSecurity>0</DocSecurity>
  <Lines>491</Lines>
  <Paragraphs>268</Paragraphs>
  <ScaleCrop>false</ScaleCrop>
  <HeadingPairs>
    <vt:vector size="2" baseType="variant">
      <vt:variant>
        <vt:lpstr>Título</vt:lpstr>
      </vt:variant>
      <vt:variant>
        <vt:i4>1</vt:i4>
      </vt:variant>
    </vt:vector>
  </HeadingPairs>
  <TitlesOfParts>
    <vt:vector size="1" baseType="lpstr">
      <vt:lpstr/>
    </vt:vector>
  </TitlesOfParts>
  <Company>Uf</Company>
  <LinksUpToDate>false</LinksUpToDate>
  <CharactersWithSpaces>20667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Muller</dc:creator>
  <cp:keywords/>
  <dc:description/>
  <cp:lastModifiedBy>MSARDAN</cp:lastModifiedBy>
  <cp:revision>6</cp:revision>
  <dcterms:created xsi:type="dcterms:W3CDTF">2016-10-06T20:04:00Z</dcterms:created>
  <dcterms:modified xsi:type="dcterms:W3CDTF">2017-07-05T00:42:00Z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f59360db-3099-39dd-a817-424498f0ab38</vt:lpwstr>
  </property>
  <property fmtid="{D5CDD505-2E9C-101B-9397-08002B2CF9AE}" pid="4" name="Mendeley Citation Style_1">
    <vt:lpwstr>http://www.zotero.org/styles/bmc-genomics</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http://www.zotero.org/styles/bmc-genomics</vt:lpwstr>
  </property>
  <property fmtid="{D5CDD505-2E9C-101B-9397-08002B2CF9AE}" pid="12" name="Mendeley Recent Style Name 3_1">
    <vt:lpwstr>BMC Genomics</vt:lpwstr>
  </property>
  <property fmtid="{D5CDD505-2E9C-101B-9397-08002B2CF9AE}" pid="13" name="Mendeley Recent Style Id 4_1">
    <vt:lpwstr>http://www.zotero.org/styles/bmc-plant-biology</vt:lpwstr>
  </property>
  <property fmtid="{D5CDD505-2E9C-101B-9397-08002B2CF9AE}" pid="14" name="Mendeley Recent Style Name 4_1">
    <vt:lpwstr>BMC Plant Biology</vt:lpwstr>
  </property>
  <property fmtid="{D5CDD505-2E9C-101B-9397-08002B2CF9AE}" pid="15" name="Mendeley Recent Style Id 5_1">
    <vt:lpwstr>http://www.zotero.org/styles/heredity</vt:lpwstr>
  </property>
  <property fmtid="{D5CDD505-2E9C-101B-9397-08002B2CF9AE}" pid="16" name="Mendeley Recent Style Name 5_1">
    <vt:lpwstr>Heredity</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http://www.zotero.org/styles/new-phytologist</vt:lpwstr>
  </property>
  <property fmtid="{D5CDD505-2E9C-101B-9397-08002B2CF9AE}" pid="24" name="Mendeley Recent Style Name 9_1">
    <vt:lpwstr>New Phytologist</vt:lpwstr>
  </property>
</Properties>
</file>