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2A37F" w14:textId="45CCB042" w:rsidR="00181D86" w:rsidRDefault="00FC3440" w:rsidP="00FC3440">
      <w:pPr>
        <w:spacing w:line="480" w:lineRule="auto"/>
        <w:rPr>
          <w:rFonts w:ascii="Arial" w:hAnsi="Arial" w:cs="Arial"/>
          <w:b/>
          <w:szCs w:val="24"/>
          <w:u w:val="single"/>
        </w:rPr>
      </w:pPr>
      <w:r w:rsidRPr="00531F75">
        <w:rPr>
          <w:rFonts w:ascii="Arial" w:hAnsi="Arial" w:cs="Arial"/>
          <w:b/>
          <w:sz w:val="24"/>
          <w:szCs w:val="24"/>
          <w:u w:val="single"/>
        </w:rPr>
        <w:t>Supplementary information</w:t>
      </w:r>
      <w:r w:rsidR="004C5D8F">
        <w:rPr>
          <w:rFonts w:ascii="Arial" w:hAnsi="Arial" w:cs="Arial"/>
          <w:b/>
          <w:sz w:val="24"/>
          <w:szCs w:val="24"/>
          <w:u w:val="single"/>
        </w:rPr>
        <w:t xml:space="preserve"> 1</w:t>
      </w:r>
      <w:r w:rsidRPr="00531F75">
        <w:rPr>
          <w:rFonts w:ascii="Arial" w:hAnsi="Arial" w:cs="Arial"/>
          <w:b/>
          <w:szCs w:val="24"/>
          <w:u w:val="single"/>
        </w:rPr>
        <w:t xml:space="preserve"> </w:t>
      </w:r>
    </w:p>
    <w:p w14:paraId="0FC720C6" w14:textId="77777777" w:rsidR="00181D86" w:rsidRDefault="00181D86" w:rsidP="00181D86">
      <w:pPr>
        <w:pStyle w:val="Caption"/>
        <w:spacing w:line="480" w:lineRule="auto"/>
        <w:jc w:val="center"/>
        <w:rPr>
          <w:rFonts w:ascii="Arial" w:hAnsi="Arial" w:cs="Arial"/>
          <w:color w:val="000000" w:themeColor="text1"/>
        </w:rPr>
      </w:pPr>
      <w:r>
        <w:rPr>
          <w:rFonts w:ascii="Arial" w:hAnsi="Arial" w:cs="Arial"/>
          <w:noProof/>
          <w:color w:val="000000" w:themeColor="text1"/>
          <w:lang w:val="en-US"/>
        </w:rPr>
        <w:drawing>
          <wp:inline distT="0" distB="0" distL="0" distR="0" wp14:anchorId="246AE27C" wp14:editId="337F8032">
            <wp:extent cx="5038725" cy="6760828"/>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png"/>
                    <pic:cNvPicPr/>
                  </pic:nvPicPr>
                  <pic:blipFill>
                    <a:blip r:embed="rId5">
                      <a:extLst>
                        <a:ext uri="{28A0092B-C50C-407E-A947-70E740481C1C}">
                          <a14:useLocalDpi xmlns:a14="http://schemas.microsoft.com/office/drawing/2010/main" val="0"/>
                        </a:ext>
                      </a:extLst>
                    </a:blip>
                    <a:stretch>
                      <a:fillRect/>
                    </a:stretch>
                  </pic:blipFill>
                  <pic:spPr>
                    <a:xfrm>
                      <a:off x="0" y="0"/>
                      <a:ext cx="5052767" cy="6779670"/>
                    </a:xfrm>
                    <a:prstGeom prst="rect">
                      <a:avLst/>
                    </a:prstGeom>
                  </pic:spPr>
                </pic:pic>
              </a:graphicData>
            </a:graphic>
          </wp:inline>
        </w:drawing>
      </w:r>
    </w:p>
    <w:p w14:paraId="6540F30A" w14:textId="77777777" w:rsidR="00181D86" w:rsidRPr="0044416C" w:rsidRDefault="00181D86" w:rsidP="00181D86">
      <w:pPr>
        <w:pStyle w:val="Caption"/>
        <w:spacing w:line="480" w:lineRule="auto"/>
        <w:rPr>
          <w:rFonts w:ascii="Arial" w:hAnsi="Arial" w:cs="Arial"/>
          <w:b w:val="0"/>
          <w:color w:val="000000" w:themeColor="text1"/>
        </w:rPr>
      </w:pPr>
      <w:r w:rsidRPr="0044416C">
        <w:rPr>
          <w:rFonts w:ascii="Arial" w:hAnsi="Arial" w:cs="Arial"/>
          <w:color w:val="000000" w:themeColor="text1"/>
        </w:rPr>
        <w:t xml:space="preserve">Figure </w:t>
      </w:r>
      <w:r>
        <w:rPr>
          <w:rFonts w:ascii="Arial" w:hAnsi="Arial" w:cs="Arial"/>
          <w:color w:val="000000" w:themeColor="text1"/>
        </w:rPr>
        <w:t>S</w:t>
      </w:r>
      <w:r w:rsidRPr="0044416C">
        <w:rPr>
          <w:rFonts w:ascii="Arial" w:hAnsi="Arial" w:cs="Arial"/>
          <w:color w:val="000000" w:themeColor="text1"/>
        </w:rPr>
        <w:t>1.</w:t>
      </w:r>
      <w:r w:rsidRPr="0044416C">
        <w:rPr>
          <w:rFonts w:ascii="Arial" w:hAnsi="Arial" w:cs="Arial"/>
          <w:b w:val="0"/>
          <w:color w:val="000000" w:themeColor="text1"/>
        </w:rPr>
        <w:t xml:space="preserve"> </w:t>
      </w:r>
      <w:r w:rsidRPr="0044416C">
        <w:rPr>
          <w:rFonts w:ascii="Arial" w:hAnsi="Arial" w:cs="Arial"/>
          <w:color w:val="000000" w:themeColor="text1"/>
        </w:rPr>
        <w:t>Neighbour-joining 16S rRNA phylogenetic tree of all 30 strains studied.</w:t>
      </w:r>
      <w:r w:rsidRPr="0044416C">
        <w:rPr>
          <w:rFonts w:ascii="Arial" w:hAnsi="Arial" w:cs="Arial"/>
          <w:b w:val="0"/>
          <w:color w:val="000000" w:themeColor="text1"/>
        </w:rPr>
        <w:t xml:space="preserve"> A total of 1000 bootstrap replicates were performed in this analysis; bootstrap values are given in percentages.</w:t>
      </w:r>
    </w:p>
    <w:p w14:paraId="5A83C72C" w14:textId="77777777" w:rsidR="00FC3440" w:rsidRDefault="00FC3440" w:rsidP="00FC3440">
      <w:pPr>
        <w:spacing w:line="480" w:lineRule="auto"/>
        <w:rPr>
          <w:rFonts w:ascii="Arial" w:hAnsi="Arial" w:cs="Arial"/>
          <w:b/>
          <w:sz w:val="24"/>
          <w:szCs w:val="24"/>
          <w:u w:val="single"/>
        </w:rPr>
      </w:pPr>
    </w:p>
    <w:p w14:paraId="0C7CDAB9" w14:textId="77777777" w:rsidR="00FC3440" w:rsidRPr="005074A9" w:rsidRDefault="00FC3440" w:rsidP="00FC3440">
      <w:pPr>
        <w:spacing w:line="480" w:lineRule="auto"/>
        <w:jc w:val="both"/>
        <w:rPr>
          <w:rFonts w:ascii="Arial" w:hAnsi="Arial" w:cs="Arial"/>
          <w:sz w:val="24"/>
          <w:szCs w:val="24"/>
        </w:rPr>
      </w:pPr>
    </w:p>
    <w:p w14:paraId="2CDFA8BA" w14:textId="77777777" w:rsidR="00FC3440" w:rsidRDefault="00FC3440" w:rsidP="00FC3440">
      <w:pPr>
        <w:spacing w:line="480" w:lineRule="auto"/>
        <w:rPr>
          <w:rFonts w:ascii="Arial" w:hAnsi="Arial" w:cs="Arial"/>
          <w:sz w:val="24"/>
          <w:szCs w:val="24"/>
        </w:rPr>
      </w:pPr>
    </w:p>
    <w:p w14:paraId="1B589FEB" w14:textId="77777777" w:rsidR="00FC3440" w:rsidRPr="00CB09CD" w:rsidRDefault="00FC3440" w:rsidP="00FC3440">
      <w:pPr>
        <w:rPr>
          <w:rFonts w:ascii="Arial" w:hAnsi="Arial" w:cs="Arial"/>
          <w:sz w:val="24"/>
          <w:szCs w:val="24"/>
        </w:rPr>
      </w:pPr>
    </w:p>
    <w:p w14:paraId="31FBC4A0" w14:textId="77777777" w:rsidR="00FC3440" w:rsidRPr="00CB09CD" w:rsidRDefault="00FC3440" w:rsidP="00FC3440">
      <w:pPr>
        <w:rPr>
          <w:rFonts w:ascii="Arial" w:hAnsi="Arial" w:cs="Arial"/>
          <w:sz w:val="24"/>
          <w:szCs w:val="24"/>
        </w:rPr>
      </w:pPr>
    </w:p>
    <w:p w14:paraId="22B30831" w14:textId="6946D5BC" w:rsidR="00FC3440" w:rsidRPr="00CB09CD" w:rsidRDefault="00FC3440" w:rsidP="00FC3440">
      <w:pPr>
        <w:rPr>
          <w:rFonts w:ascii="Arial" w:hAnsi="Arial" w:cs="Arial"/>
          <w:sz w:val="24"/>
          <w:szCs w:val="24"/>
        </w:rPr>
      </w:pPr>
    </w:p>
    <w:p w14:paraId="494E0004" w14:textId="5D828901" w:rsidR="00FC3440" w:rsidRPr="00CB09CD" w:rsidRDefault="001331E0" w:rsidP="00FC3440">
      <w:pPr>
        <w:rPr>
          <w:rFonts w:ascii="Arial" w:hAnsi="Arial" w:cs="Arial"/>
          <w:sz w:val="24"/>
          <w:szCs w:val="24"/>
        </w:rPr>
      </w:pPr>
      <w:r w:rsidRPr="005074A9">
        <w:rPr>
          <w:rFonts w:ascii="Arial" w:hAnsi="Arial" w:cs="Arial"/>
          <w:b/>
          <w:noProof/>
          <w:sz w:val="28"/>
          <w:szCs w:val="24"/>
          <w:u w:val="single"/>
          <w:lang w:val="en-US"/>
        </w:rPr>
        <w:drawing>
          <wp:anchor distT="0" distB="0" distL="114300" distR="114300" simplePos="0" relativeHeight="251661312" behindDoc="0" locked="0" layoutInCell="1" allowOverlap="1" wp14:anchorId="3D65CD24" wp14:editId="7754EA59">
            <wp:simplePos x="0" y="0"/>
            <wp:positionH relativeFrom="page">
              <wp:posOffset>-22225</wp:posOffset>
            </wp:positionH>
            <wp:positionV relativeFrom="paragraph">
              <wp:posOffset>255270</wp:posOffset>
            </wp:positionV>
            <wp:extent cx="5187315" cy="3599815"/>
            <wp:effectExtent l="0" t="0" r="6985"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in-LossWagner and Dollo 20-11.png"/>
                    <pic:cNvPicPr/>
                  </pic:nvPicPr>
                  <pic:blipFill>
                    <a:blip r:embed="rId6"/>
                    <a:stretch>
                      <a:fillRect/>
                    </a:stretch>
                  </pic:blipFill>
                  <pic:spPr>
                    <a:xfrm rot="16200000">
                      <a:off x="0" y="0"/>
                      <a:ext cx="5187315" cy="3599815"/>
                    </a:xfrm>
                    <a:prstGeom prst="rect">
                      <a:avLst/>
                    </a:prstGeom>
                  </pic:spPr>
                </pic:pic>
              </a:graphicData>
            </a:graphic>
            <wp14:sizeRelH relativeFrom="page">
              <wp14:pctWidth>0</wp14:pctWidth>
            </wp14:sizeRelH>
            <wp14:sizeRelV relativeFrom="page">
              <wp14:pctHeight>0</wp14:pctHeight>
            </wp14:sizeRelV>
          </wp:anchor>
        </w:drawing>
      </w:r>
    </w:p>
    <w:p w14:paraId="5063667B" w14:textId="77777777" w:rsidR="00FC3440" w:rsidRPr="00CB09CD" w:rsidRDefault="009D4D87" w:rsidP="00FC3440">
      <w:pPr>
        <w:rPr>
          <w:rFonts w:ascii="Arial" w:hAnsi="Arial" w:cs="Arial"/>
          <w:sz w:val="24"/>
          <w:szCs w:val="24"/>
        </w:rPr>
      </w:pPr>
      <w:r w:rsidRPr="005074A9">
        <w:rPr>
          <w:rFonts w:ascii="Arial" w:hAnsi="Arial" w:cs="Arial"/>
          <w:noProof/>
          <w:sz w:val="24"/>
          <w:szCs w:val="24"/>
          <w:lang w:val="en-US"/>
        </w:rPr>
        <mc:AlternateContent>
          <mc:Choice Requires="wps">
            <w:drawing>
              <wp:anchor distT="45720" distB="45720" distL="114300" distR="114300" simplePos="0" relativeHeight="251660288" behindDoc="0" locked="0" layoutInCell="1" allowOverlap="1" wp14:anchorId="7320E883" wp14:editId="7EB9D28F">
                <wp:simplePos x="0" y="0"/>
                <wp:positionH relativeFrom="margin">
                  <wp:posOffset>869315</wp:posOffset>
                </wp:positionH>
                <wp:positionV relativeFrom="margin">
                  <wp:posOffset>2981960</wp:posOffset>
                </wp:positionV>
                <wp:extent cx="6650355" cy="1029335"/>
                <wp:effectExtent l="0" t="9525" r="7620" b="76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50355" cy="1029335"/>
                        </a:xfrm>
                        <a:prstGeom prst="rect">
                          <a:avLst/>
                        </a:prstGeom>
                        <a:solidFill>
                          <a:srgbClr val="FFFFFF"/>
                        </a:solidFill>
                        <a:ln w="9525">
                          <a:noFill/>
                          <a:miter lim="800000"/>
                          <a:headEnd/>
                          <a:tailEnd/>
                        </a:ln>
                      </wps:spPr>
                      <wps:txbx>
                        <w:txbxContent>
                          <w:p w14:paraId="598E3AE0" w14:textId="4D06E96F" w:rsidR="00FC3440" w:rsidRPr="004B72CC" w:rsidRDefault="00FC3440" w:rsidP="00FC3440">
                            <w:pPr>
                              <w:jc w:val="both"/>
                              <w:rPr>
                                <w:sz w:val="18"/>
                                <w:szCs w:val="20"/>
                              </w:rPr>
                            </w:pPr>
                            <w:r w:rsidRPr="004B72CC">
                              <w:rPr>
                                <w:b/>
                                <w:sz w:val="18"/>
                                <w:szCs w:val="20"/>
                              </w:rPr>
                              <w:t>Figure S</w:t>
                            </w:r>
                            <w:r w:rsidR="001331E0">
                              <w:rPr>
                                <w:b/>
                                <w:sz w:val="18"/>
                                <w:szCs w:val="20"/>
                              </w:rPr>
                              <w:t>2</w:t>
                            </w:r>
                            <w:r w:rsidRPr="004B72CC">
                              <w:rPr>
                                <w:b/>
                                <w:sz w:val="18"/>
                                <w:szCs w:val="20"/>
                              </w:rPr>
                              <w:t>.</w:t>
                            </w:r>
                            <w:r w:rsidRPr="004B72CC">
                              <w:rPr>
                                <w:sz w:val="18"/>
                                <w:szCs w:val="20"/>
                              </w:rPr>
                              <w:t xml:space="preserve"> </w:t>
                            </w:r>
                            <w:r w:rsidRPr="009D4D87">
                              <w:rPr>
                                <w:b/>
                                <w:sz w:val="18"/>
                                <w:szCs w:val="20"/>
                              </w:rPr>
                              <w:t>Gain/loss diagram.</w:t>
                            </w:r>
                            <w:r w:rsidRPr="004B72CC">
                              <w:rPr>
                                <w:sz w:val="18"/>
                                <w:szCs w:val="20"/>
                              </w:rPr>
                              <w:t xml:space="preserve"> Clusters shared with more than 7 strains and all NRPS were analyzed for presence or absence in each strain and represented in the phylogenetic tree. Twenty-three GFCs are present in </w:t>
                            </w:r>
                            <w:r w:rsidRPr="004B72CC">
                              <w:rPr>
                                <w:i/>
                                <w:sz w:val="18"/>
                                <w:szCs w:val="20"/>
                              </w:rPr>
                              <w:t>Rhodococcus</w:t>
                            </w:r>
                            <w:r w:rsidRPr="004B72CC">
                              <w:rPr>
                                <w:sz w:val="18"/>
                                <w:szCs w:val="20"/>
                              </w:rPr>
                              <w:t xml:space="preserve">, </w:t>
                            </w:r>
                            <w:r w:rsidRPr="004B72CC">
                              <w:rPr>
                                <w:i/>
                                <w:sz w:val="18"/>
                                <w:szCs w:val="20"/>
                              </w:rPr>
                              <w:t>Amycolicicoccus</w:t>
                            </w:r>
                            <w:r w:rsidRPr="004B72CC">
                              <w:rPr>
                                <w:sz w:val="18"/>
                                <w:szCs w:val="20"/>
                              </w:rPr>
                              <w:t xml:space="preserve"> </w:t>
                            </w:r>
                            <w:r w:rsidRPr="004B72CC">
                              <w:rPr>
                                <w:i/>
                                <w:sz w:val="18"/>
                                <w:szCs w:val="20"/>
                              </w:rPr>
                              <w:t xml:space="preserve">and Mycobacterium </w:t>
                            </w:r>
                            <w:r w:rsidRPr="004B72CC">
                              <w:rPr>
                                <w:sz w:val="18"/>
                                <w:szCs w:val="20"/>
                              </w:rPr>
                              <w:t>strains (lower part of the dendogram). Horizontal lines under each node indicate the number of gained or lost clusters. Green to the right gain, yellow to the left loss. The purple bar on each node represents the proportion of clusters present in each strain from the total 113 clusters analyzed. a) Analysis made by Wagner parsimony with gain penalty=1. b) analysis made by Dollo parsimony.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20E883" id="_x0000_t202" coordsize="21600,21600" o:spt="202" path="m,l,21600r21600,l21600,xe">
                <v:stroke joinstyle="miter"/>
                <v:path gradientshapeok="t" o:connecttype="rect"/>
              </v:shapetype>
              <v:shape id="Text Box 2" o:spid="_x0000_s1026" type="#_x0000_t202" style="position:absolute;margin-left:68.45pt;margin-top:234.8pt;width:523.65pt;height:102.15pt;rotation:-90;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" stroked="f">
                <v:textbox style="mso-fit-shape-to-text:t">
                  <w:txbxContent>
                    <w:p w14:paraId="598E3AE0" w14:textId="4D06E96F" w:rsidR="00FC3440" w:rsidRPr="004B72CC" w:rsidRDefault="00FC3440" w:rsidP="00FC3440">
                      <w:pPr>
                        <w:jc w:val="both"/>
                        <w:rPr>
                          <w:sz w:val="18"/>
                          <w:szCs w:val="20"/>
                        </w:rPr>
                      </w:pPr>
                      <w:r w:rsidRPr="004B72CC">
                        <w:rPr>
                          <w:b/>
                          <w:sz w:val="18"/>
                          <w:szCs w:val="20"/>
                        </w:rPr>
                        <w:t>Figure S</w:t>
                      </w:r>
                      <w:r w:rsidR="001331E0">
                        <w:rPr>
                          <w:b/>
                          <w:sz w:val="18"/>
                          <w:szCs w:val="20"/>
                        </w:rPr>
                        <w:t>2</w:t>
                      </w:r>
                      <w:r w:rsidRPr="004B72CC">
                        <w:rPr>
                          <w:b/>
                          <w:sz w:val="18"/>
                          <w:szCs w:val="20"/>
                        </w:rPr>
                        <w:t>.</w:t>
                      </w:r>
                      <w:r w:rsidRPr="004B72CC">
                        <w:rPr>
                          <w:sz w:val="18"/>
                          <w:szCs w:val="20"/>
                        </w:rPr>
                        <w:t xml:space="preserve"> </w:t>
                      </w:r>
                      <w:r w:rsidRPr="009D4D87">
                        <w:rPr>
                          <w:b/>
                          <w:sz w:val="18"/>
                          <w:szCs w:val="20"/>
                        </w:rPr>
                        <w:t>Gain/loss diagram.</w:t>
                      </w:r>
                      <w:r w:rsidRPr="004B72CC">
                        <w:rPr>
                          <w:sz w:val="18"/>
                          <w:szCs w:val="20"/>
                        </w:rPr>
                        <w:t xml:space="preserve"> Clusters shared with more than 7 strains and all NRPS were </w:t>
                      </w:r>
                      <w:proofErr w:type="spellStart"/>
                      <w:r w:rsidRPr="004B72CC">
                        <w:rPr>
                          <w:sz w:val="18"/>
                          <w:szCs w:val="20"/>
                        </w:rPr>
                        <w:t>analyzed</w:t>
                      </w:r>
                      <w:proofErr w:type="spellEnd"/>
                      <w:r w:rsidRPr="004B72CC">
                        <w:rPr>
                          <w:sz w:val="18"/>
                          <w:szCs w:val="20"/>
                        </w:rPr>
                        <w:t xml:space="preserve"> for presence or absence in each strain and represented in the phylogenetic tree. Twenty-three GFCs are present in </w:t>
                      </w:r>
                      <w:r w:rsidRPr="004B72CC">
                        <w:rPr>
                          <w:i/>
                          <w:sz w:val="18"/>
                          <w:szCs w:val="20"/>
                        </w:rPr>
                        <w:t>Rhodococcus</w:t>
                      </w:r>
                      <w:r w:rsidRPr="004B72CC">
                        <w:rPr>
                          <w:sz w:val="18"/>
                          <w:szCs w:val="20"/>
                        </w:rPr>
                        <w:t xml:space="preserve">, </w:t>
                      </w:r>
                      <w:proofErr w:type="spellStart"/>
                      <w:r w:rsidRPr="004B72CC">
                        <w:rPr>
                          <w:i/>
                          <w:sz w:val="18"/>
                          <w:szCs w:val="20"/>
                        </w:rPr>
                        <w:t>Amycolicicoccus</w:t>
                      </w:r>
                      <w:proofErr w:type="spellEnd"/>
                      <w:r w:rsidRPr="004B72CC">
                        <w:rPr>
                          <w:sz w:val="18"/>
                          <w:szCs w:val="20"/>
                        </w:rPr>
                        <w:t xml:space="preserve"> </w:t>
                      </w:r>
                      <w:r w:rsidRPr="004B72CC">
                        <w:rPr>
                          <w:i/>
                          <w:sz w:val="18"/>
                          <w:szCs w:val="20"/>
                        </w:rPr>
                        <w:t xml:space="preserve">and Mycobacterium </w:t>
                      </w:r>
                      <w:r w:rsidRPr="004B72CC">
                        <w:rPr>
                          <w:sz w:val="18"/>
                          <w:szCs w:val="20"/>
                        </w:rPr>
                        <w:t xml:space="preserve">strains (lower part of the </w:t>
                      </w:r>
                      <w:proofErr w:type="spellStart"/>
                      <w:r w:rsidRPr="004B72CC">
                        <w:rPr>
                          <w:sz w:val="18"/>
                          <w:szCs w:val="20"/>
                        </w:rPr>
                        <w:t>dendogram</w:t>
                      </w:r>
                      <w:proofErr w:type="spellEnd"/>
                      <w:r w:rsidRPr="004B72CC">
                        <w:rPr>
                          <w:sz w:val="18"/>
                          <w:szCs w:val="20"/>
                        </w:rPr>
                        <w:t xml:space="preserve">). Horizontal lines under each node indicate the number of gained or lost clusters. Green to the right gain, yellow to the left loss. The purple bar on each node represents the proportion of clusters present in each strain from the total 113 clusters </w:t>
                      </w:r>
                      <w:proofErr w:type="spellStart"/>
                      <w:r w:rsidRPr="004B72CC">
                        <w:rPr>
                          <w:sz w:val="18"/>
                          <w:szCs w:val="20"/>
                        </w:rPr>
                        <w:t>analyzed</w:t>
                      </w:r>
                      <w:proofErr w:type="spellEnd"/>
                      <w:r w:rsidRPr="004B72CC">
                        <w:rPr>
                          <w:sz w:val="18"/>
                          <w:szCs w:val="20"/>
                        </w:rPr>
                        <w:t>. a) Analysis made by Wagner parsimony with gain penalty=1. b) analysis made by Dollo parsimony.</w:t>
                      </w:r>
                    </w:p>
                  </w:txbxContent>
                </v:textbox>
                <w10:wrap type="square" anchorx="margin" anchory="margin"/>
              </v:shape>
            </w:pict>
          </mc:Fallback>
        </mc:AlternateContent>
      </w:r>
    </w:p>
    <w:p w14:paraId="105F4C09" w14:textId="77777777" w:rsidR="00FC3440" w:rsidRPr="00CB09CD" w:rsidRDefault="00FC3440" w:rsidP="00FC3440">
      <w:pPr>
        <w:rPr>
          <w:rFonts w:ascii="Arial" w:hAnsi="Arial" w:cs="Arial"/>
          <w:sz w:val="24"/>
          <w:szCs w:val="24"/>
        </w:rPr>
      </w:pPr>
    </w:p>
    <w:p w14:paraId="32F4B675" w14:textId="77777777" w:rsidR="00FC3440" w:rsidRPr="00CB09CD" w:rsidRDefault="00FC3440" w:rsidP="00FC3440">
      <w:pPr>
        <w:rPr>
          <w:rFonts w:ascii="Arial" w:hAnsi="Arial" w:cs="Arial"/>
          <w:sz w:val="24"/>
          <w:szCs w:val="24"/>
        </w:rPr>
      </w:pPr>
    </w:p>
    <w:p w14:paraId="71088164" w14:textId="77777777" w:rsidR="00FC3440" w:rsidRPr="00CB09CD" w:rsidRDefault="00FC3440" w:rsidP="00FC3440">
      <w:pPr>
        <w:rPr>
          <w:rFonts w:ascii="Arial" w:hAnsi="Arial" w:cs="Arial"/>
          <w:sz w:val="24"/>
          <w:szCs w:val="24"/>
        </w:rPr>
      </w:pPr>
    </w:p>
    <w:p w14:paraId="6E58BFD4" w14:textId="77777777" w:rsidR="00FC3440" w:rsidRPr="00CB09CD" w:rsidRDefault="00FC3440" w:rsidP="00FC3440">
      <w:pPr>
        <w:rPr>
          <w:rFonts w:ascii="Arial" w:hAnsi="Arial" w:cs="Arial"/>
          <w:sz w:val="24"/>
          <w:szCs w:val="24"/>
        </w:rPr>
      </w:pPr>
    </w:p>
    <w:p w14:paraId="5DC4146F" w14:textId="77777777" w:rsidR="00FC3440" w:rsidRPr="00CB09CD" w:rsidRDefault="00FC3440" w:rsidP="00FC3440">
      <w:pPr>
        <w:rPr>
          <w:rFonts w:ascii="Arial" w:hAnsi="Arial" w:cs="Arial"/>
          <w:sz w:val="24"/>
          <w:szCs w:val="24"/>
        </w:rPr>
      </w:pPr>
    </w:p>
    <w:p w14:paraId="4650E03C" w14:textId="77777777" w:rsidR="00FC3440" w:rsidRPr="00CB09CD" w:rsidRDefault="00FC3440" w:rsidP="00FC3440">
      <w:pPr>
        <w:rPr>
          <w:rFonts w:ascii="Arial" w:hAnsi="Arial" w:cs="Arial"/>
          <w:sz w:val="24"/>
          <w:szCs w:val="24"/>
        </w:rPr>
      </w:pPr>
    </w:p>
    <w:p w14:paraId="27B72594" w14:textId="77777777" w:rsidR="00FC3440" w:rsidRPr="00CB09CD" w:rsidRDefault="00FC3440" w:rsidP="00FC3440">
      <w:pPr>
        <w:rPr>
          <w:rFonts w:ascii="Arial" w:hAnsi="Arial" w:cs="Arial"/>
          <w:sz w:val="24"/>
          <w:szCs w:val="24"/>
        </w:rPr>
      </w:pPr>
    </w:p>
    <w:p w14:paraId="3829790E" w14:textId="77777777" w:rsidR="00FC3440" w:rsidRPr="00CB09CD" w:rsidRDefault="00FC3440" w:rsidP="00FC3440">
      <w:pPr>
        <w:rPr>
          <w:rFonts w:ascii="Arial" w:hAnsi="Arial" w:cs="Arial"/>
          <w:sz w:val="24"/>
          <w:szCs w:val="24"/>
        </w:rPr>
      </w:pPr>
    </w:p>
    <w:p w14:paraId="2A15E335" w14:textId="77777777" w:rsidR="00FC3440" w:rsidRPr="00CB09CD" w:rsidRDefault="00FC3440" w:rsidP="00FC3440">
      <w:pPr>
        <w:rPr>
          <w:rFonts w:ascii="Arial" w:hAnsi="Arial" w:cs="Arial"/>
          <w:sz w:val="24"/>
          <w:szCs w:val="24"/>
        </w:rPr>
      </w:pPr>
    </w:p>
    <w:p w14:paraId="24BA28EB" w14:textId="77777777" w:rsidR="00FC3440" w:rsidRPr="00CB09CD" w:rsidRDefault="00FC3440" w:rsidP="00FC3440">
      <w:pPr>
        <w:rPr>
          <w:rFonts w:ascii="Arial" w:hAnsi="Arial" w:cs="Arial"/>
          <w:sz w:val="24"/>
          <w:szCs w:val="24"/>
        </w:rPr>
      </w:pPr>
    </w:p>
    <w:p w14:paraId="14C08FD9" w14:textId="77777777" w:rsidR="00FC3440" w:rsidRPr="00CB09CD" w:rsidRDefault="00FC3440" w:rsidP="00FC3440">
      <w:pPr>
        <w:rPr>
          <w:rFonts w:ascii="Arial" w:hAnsi="Arial" w:cs="Arial"/>
          <w:sz w:val="24"/>
          <w:szCs w:val="24"/>
        </w:rPr>
      </w:pPr>
    </w:p>
    <w:p w14:paraId="3A5B2E75" w14:textId="77777777" w:rsidR="00FC3440" w:rsidRDefault="00FC3440" w:rsidP="00FC3440">
      <w:pPr>
        <w:rPr>
          <w:rFonts w:ascii="Arial" w:hAnsi="Arial" w:cs="Arial"/>
          <w:sz w:val="24"/>
          <w:szCs w:val="24"/>
        </w:rPr>
      </w:pPr>
      <w:r>
        <w:rPr>
          <w:rFonts w:ascii="Arial" w:hAnsi="Arial" w:cs="Arial"/>
          <w:sz w:val="24"/>
          <w:szCs w:val="24"/>
        </w:rPr>
        <w:br w:type="page"/>
      </w:r>
    </w:p>
    <w:p w14:paraId="571201F0" w14:textId="77777777" w:rsidR="00FC3440" w:rsidRPr="005074A9" w:rsidRDefault="00FC3440" w:rsidP="00FC3440">
      <w:pPr>
        <w:keepNext/>
        <w:spacing w:line="480" w:lineRule="auto"/>
        <w:jc w:val="center"/>
        <w:rPr>
          <w:rFonts w:ascii="Arial" w:hAnsi="Arial" w:cs="Arial"/>
        </w:rPr>
      </w:pPr>
      <w:r>
        <w:rPr>
          <w:rFonts w:ascii="Arial" w:hAnsi="Arial" w:cs="Arial"/>
          <w:sz w:val="24"/>
          <w:szCs w:val="24"/>
        </w:rPr>
        <w:lastRenderedPageBreak/>
        <w:tab/>
      </w:r>
      <w:r w:rsidRPr="005074A9">
        <w:rPr>
          <w:rFonts w:ascii="Arial" w:hAnsi="Arial" w:cs="Arial"/>
          <w:noProof/>
          <w:lang w:val="en-US"/>
        </w:rPr>
        <w:drawing>
          <wp:inline distT="0" distB="0" distL="0" distR="0" wp14:anchorId="11E81217" wp14:editId="0F0AA45F">
            <wp:extent cx="3002507" cy="2277294"/>
            <wp:effectExtent l="0" t="0" r="762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erophores.png"/>
                    <pic:cNvPicPr/>
                  </pic:nvPicPr>
                  <pic:blipFill>
                    <a:blip r:embed="rId7">
                      <a:extLst>
                        <a:ext uri="{28A0092B-C50C-407E-A947-70E740481C1C}">
                          <a14:useLocalDpi xmlns:a14="http://schemas.microsoft.com/office/drawing/2010/main"/>
                        </a:ext>
                      </a:extLst>
                    </a:blip>
                    <a:stretch>
                      <a:fillRect/>
                    </a:stretch>
                  </pic:blipFill>
                  <pic:spPr>
                    <a:xfrm>
                      <a:off x="0" y="0"/>
                      <a:ext cx="3007961" cy="2281430"/>
                    </a:xfrm>
                    <a:prstGeom prst="rect">
                      <a:avLst/>
                    </a:prstGeom>
                  </pic:spPr>
                </pic:pic>
              </a:graphicData>
            </a:graphic>
          </wp:inline>
        </w:drawing>
      </w:r>
    </w:p>
    <w:p w14:paraId="68E1404F" w14:textId="702369FC" w:rsidR="00FC3440" w:rsidRPr="005074A9" w:rsidRDefault="00FC3440" w:rsidP="00FC3440">
      <w:pPr>
        <w:pStyle w:val="Caption"/>
        <w:spacing w:line="480" w:lineRule="auto"/>
        <w:jc w:val="both"/>
        <w:rPr>
          <w:rFonts w:ascii="Arial" w:hAnsi="Arial" w:cs="Arial"/>
          <w:b w:val="0"/>
          <w:color w:val="auto"/>
        </w:rPr>
      </w:pPr>
      <w:r w:rsidRPr="005074A9">
        <w:rPr>
          <w:rFonts w:ascii="Arial" w:hAnsi="Arial" w:cs="Arial"/>
          <w:color w:val="auto"/>
        </w:rPr>
        <w:t xml:space="preserve">Figure </w:t>
      </w:r>
      <w:r>
        <w:rPr>
          <w:rFonts w:ascii="Arial" w:hAnsi="Arial" w:cs="Arial"/>
          <w:color w:val="auto"/>
        </w:rPr>
        <w:t>S</w:t>
      </w:r>
      <w:r w:rsidR="001331E0">
        <w:rPr>
          <w:rFonts w:ascii="Arial" w:hAnsi="Arial" w:cs="Arial"/>
          <w:color w:val="auto"/>
        </w:rPr>
        <w:t>3</w:t>
      </w:r>
      <w:r w:rsidRPr="005074A9">
        <w:rPr>
          <w:rFonts w:ascii="Arial" w:hAnsi="Arial" w:cs="Arial"/>
          <w:color w:val="auto"/>
        </w:rPr>
        <w:t>.</w:t>
      </w:r>
      <w:r w:rsidRPr="005074A9">
        <w:rPr>
          <w:rFonts w:ascii="Arial" w:hAnsi="Arial" w:cs="Arial"/>
          <w:b w:val="0"/>
          <w:color w:val="auto"/>
        </w:rPr>
        <w:t xml:space="preserve"> </w:t>
      </w:r>
      <w:r w:rsidRPr="009D4D87">
        <w:rPr>
          <w:rFonts w:ascii="Arial" w:hAnsi="Arial" w:cs="Arial"/>
          <w:color w:val="auto"/>
        </w:rPr>
        <w:t>Structure of the siderophores heterobactin A and rhodochelin</w:t>
      </w:r>
      <w:r w:rsidRPr="005074A9">
        <w:rPr>
          <w:rFonts w:ascii="Arial" w:hAnsi="Arial" w:cs="Arial"/>
          <w:b w:val="0"/>
          <w:color w:val="auto"/>
        </w:rPr>
        <w:t xml:space="preserve">. Adapted from Bosello et al. </w:t>
      </w:r>
      <w:r w:rsidRPr="005074A9">
        <w:rPr>
          <w:rFonts w:ascii="Arial" w:hAnsi="Arial" w:cs="Arial"/>
          <w:b w:val="0"/>
          <w:color w:val="auto"/>
        </w:rPr>
        <w:fldChar w:fldCharType="begin"/>
      </w:r>
      <w:r w:rsidRPr="005074A9">
        <w:rPr>
          <w:rFonts w:ascii="Arial" w:hAnsi="Arial" w:cs="Arial"/>
          <w:b w:val="0"/>
          <w:color w:val="auto"/>
        </w:rPr>
        <w:instrText>ADDIN RW.CITE{{212 Bosello,M. 2011; 209 Bosello,M. 2013}}</w:instrText>
      </w:r>
      <w:r w:rsidRPr="005074A9">
        <w:rPr>
          <w:rFonts w:ascii="Arial" w:hAnsi="Arial" w:cs="Arial"/>
          <w:b w:val="0"/>
          <w:color w:val="auto"/>
        </w:rPr>
        <w:fldChar w:fldCharType="separate"/>
      </w:r>
      <w:r w:rsidR="00884CC9" w:rsidRPr="00884CC9">
        <w:rPr>
          <w:rFonts w:ascii="Arial" w:eastAsia="Times New Roman" w:hAnsi="Arial" w:cs="Arial"/>
          <w:color w:val="auto"/>
        </w:rPr>
        <w:t>[1, 2]</w:t>
      </w:r>
      <w:r w:rsidRPr="005074A9">
        <w:rPr>
          <w:rFonts w:ascii="Arial" w:hAnsi="Arial" w:cs="Arial"/>
          <w:b w:val="0"/>
          <w:color w:val="auto"/>
        </w:rPr>
        <w:fldChar w:fldCharType="end"/>
      </w:r>
      <w:r w:rsidRPr="005074A9">
        <w:rPr>
          <w:rFonts w:ascii="Arial" w:hAnsi="Arial" w:cs="Arial"/>
          <w:b w:val="0"/>
          <w:color w:val="auto"/>
        </w:rPr>
        <w:t>.</w:t>
      </w:r>
    </w:p>
    <w:p w14:paraId="246CF4A9" w14:textId="77777777" w:rsidR="00FC3440" w:rsidRDefault="00FC3440" w:rsidP="00FC3440">
      <w:pPr>
        <w:tabs>
          <w:tab w:val="left" w:pos="1168"/>
        </w:tabs>
        <w:spacing w:line="480" w:lineRule="auto"/>
        <w:rPr>
          <w:rFonts w:ascii="Arial" w:hAnsi="Arial" w:cs="Arial"/>
          <w:sz w:val="24"/>
          <w:szCs w:val="24"/>
        </w:rPr>
      </w:pPr>
    </w:p>
    <w:p w14:paraId="02F2C8B2" w14:textId="70A6CE6B" w:rsidR="00FC3440" w:rsidRPr="005074A9" w:rsidRDefault="00FC3440" w:rsidP="00D47E53">
      <w:pPr>
        <w:spacing w:line="480" w:lineRule="auto"/>
        <w:jc w:val="center"/>
        <w:rPr>
          <w:rFonts w:ascii="Arial" w:hAnsi="Arial" w:cs="Arial"/>
        </w:rPr>
      </w:pPr>
      <w:r w:rsidRPr="00CB09CD">
        <w:rPr>
          <w:rFonts w:ascii="Arial" w:hAnsi="Arial" w:cs="Arial"/>
          <w:sz w:val="24"/>
          <w:szCs w:val="24"/>
        </w:rPr>
        <w:br w:type="page"/>
      </w:r>
      <w:r w:rsidR="00BE1AB6">
        <w:rPr>
          <w:rFonts w:ascii="Arial" w:hAnsi="Arial" w:cs="Arial"/>
          <w:noProof/>
          <w:lang w:val="en-US"/>
        </w:rPr>
        <w:lastRenderedPageBreak/>
        <w:drawing>
          <wp:inline distT="0" distB="0" distL="0" distR="0" wp14:anchorId="4A49C273" wp14:editId="681E2199">
            <wp:extent cx="5779469" cy="6317515"/>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ee AM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1892" cy="6320163"/>
                    </a:xfrm>
                    <a:prstGeom prst="rect">
                      <a:avLst/>
                    </a:prstGeom>
                  </pic:spPr>
                </pic:pic>
              </a:graphicData>
            </a:graphic>
          </wp:inline>
        </w:drawing>
      </w:r>
    </w:p>
    <w:p w14:paraId="370A0B36" w14:textId="5D5607A5" w:rsidR="00FC3440" w:rsidRDefault="00FC3440" w:rsidP="00FC3440">
      <w:pPr>
        <w:pStyle w:val="Caption"/>
        <w:spacing w:line="480" w:lineRule="auto"/>
        <w:rPr>
          <w:rFonts w:ascii="Arial" w:hAnsi="Arial" w:cs="Arial"/>
          <w:b w:val="0"/>
          <w:color w:val="auto"/>
        </w:rPr>
      </w:pPr>
      <w:r w:rsidRPr="005074A9">
        <w:rPr>
          <w:rFonts w:ascii="Arial" w:hAnsi="Arial" w:cs="Arial"/>
          <w:color w:val="auto"/>
        </w:rPr>
        <w:t>Figure S</w:t>
      </w:r>
      <w:r w:rsidR="001331E0">
        <w:rPr>
          <w:rFonts w:ascii="Arial" w:hAnsi="Arial" w:cs="Arial"/>
          <w:color w:val="auto"/>
        </w:rPr>
        <w:t>4</w:t>
      </w:r>
      <w:r w:rsidRPr="005074A9">
        <w:rPr>
          <w:rFonts w:ascii="Arial" w:hAnsi="Arial" w:cs="Arial"/>
          <w:color w:val="auto"/>
        </w:rPr>
        <w:t>.</w:t>
      </w:r>
      <w:r w:rsidRPr="005074A9">
        <w:rPr>
          <w:rFonts w:ascii="Arial" w:hAnsi="Arial" w:cs="Arial"/>
          <w:b w:val="0"/>
          <w:color w:val="auto"/>
        </w:rPr>
        <w:t xml:space="preserve"> </w:t>
      </w:r>
      <w:r w:rsidRPr="009D4D87">
        <w:rPr>
          <w:rFonts w:ascii="Arial" w:hAnsi="Arial" w:cs="Arial"/>
          <w:color w:val="auto"/>
        </w:rPr>
        <w:t xml:space="preserve">Phylogenetic analysis of the acyl CoA-ligases/synthetases detected in this study using </w:t>
      </w:r>
      <w:r w:rsidR="00641E64">
        <w:rPr>
          <w:rFonts w:ascii="Arial" w:hAnsi="Arial" w:cs="Arial"/>
          <w:color w:val="auto"/>
        </w:rPr>
        <w:t>experimentally characterized</w:t>
      </w:r>
      <w:bookmarkStart w:id="0" w:name="_GoBack"/>
      <w:bookmarkEnd w:id="0"/>
      <w:r w:rsidRPr="009D4D87">
        <w:rPr>
          <w:rFonts w:ascii="Arial" w:hAnsi="Arial" w:cs="Arial"/>
          <w:color w:val="auto"/>
        </w:rPr>
        <w:t xml:space="preserve"> acyl CoA-ligases/synthetases as references</w:t>
      </w:r>
      <w:r w:rsidRPr="005074A9">
        <w:rPr>
          <w:rFonts w:ascii="Arial" w:hAnsi="Arial" w:cs="Arial"/>
          <w:b w:val="0"/>
          <w:color w:val="auto"/>
        </w:rPr>
        <w:t>. The Neighbour-joining method was used with 1000 bootstrap replicates. Bootstrap values are given as percentage. FAAL: Fatty acid AMP Ligases, FACS: Fatty acids Acyl-CoA Synthetases, FACL: Fatty acid Acyl-CoA ligases FATP: Fatty acid transport protein, MACS: medium-chain Acyl-CoA synthetase. BACL: Bile acid CoA ligases.</w:t>
      </w:r>
    </w:p>
    <w:p w14:paraId="175CF974" w14:textId="77777777" w:rsidR="00FC3440" w:rsidRDefault="00FC3440" w:rsidP="00FC3440">
      <w:pPr>
        <w:rPr>
          <w:rFonts w:ascii="Arial" w:hAnsi="Arial" w:cs="Arial"/>
          <w:bCs/>
          <w:sz w:val="18"/>
          <w:szCs w:val="18"/>
        </w:rPr>
      </w:pPr>
      <w:r>
        <w:rPr>
          <w:rFonts w:ascii="Arial" w:hAnsi="Arial" w:cs="Arial"/>
          <w:b/>
        </w:rPr>
        <w:br w:type="page"/>
      </w:r>
    </w:p>
    <w:p w14:paraId="64DA91A8" w14:textId="734324C4" w:rsidR="00FC3440" w:rsidRPr="005074A9" w:rsidRDefault="00FC3440" w:rsidP="00FC3440">
      <w:pPr>
        <w:pStyle w:val="Caption"/>
        <w:spacing w:line="480" w:lineRule="auto"/>
        <w:rPr>
          <w:rFonts w:ascii="Arial" w:hAnsi="Arial" w:cs="Arial"/>
          <w:b w:val="0"/>
          <w:color w:val="auto"/>
        </w:rPr>
      </w:pPr>
      <w:r w:rsidRPr="005074A9">
        <w:rPr>
          <w:rFonts w:ascii="Arial" w:hAnsi="Arial" w:cs="Arial"/>
          <w:noProof/>
          <w:sz w:val="24"/>
          <w:szCs w:val="24"/>
          <w:lang w:val="en-US"/>
        </w:rPr>
        <w:lastRenderedPageBreak/>
        <w:drawing>
          <wp:anchor distT="0" distB="0" distL="114300" distR="114300" simplePos="0" relativeHeight="251663360" behindDoc="0" locked="0" layoutInCell="1" allowOverlap="1" wp14:anchorId="760C0C61" wp14:editId="310E6CB8">
            <wp:simplePos x="0" y="0"/>
            <wp:positionH relativeFrom="column">
              <wp:posOffset>0</wp:posOffset>
            </wp:positionH>
            <wp:positionV relativeFrom="paragraph">
              <wp:posOffset>1734185</wp:posOffset>
            </wp:positionV>
            <wp:extent cx="5340985" cy="3888105"/>
            <wp:effectExtent l="254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in-LossWagner and dollo Lipopeptides 21-11.png"/>
                    <pic:cNvPicPr/>
                  </pic:nvPicPr>
                  <pic:blipFill>
                    <a:blip r:embed="rId9"/>
                    <a:stretch>
                      <a:fillRect/>
                    </a:stretch>
                  </pic:blipFill>
                  <pic:spPr>
                    <a:xfrm rot="16200000">
                      <a:off x="0" y="0"/>
                      <a:ext cx="5340985" cy="3888105"/>
                    </a:xfrm>
                    <a:prstGeom prst="rect">
                      <a:avLst/>
                    </a:prstGeom>
                  </pic:spPr>
                </pic:pic>
              </a:graphicData>
            </a:graphic>
            <wp14:sizeRelH relativeFrom="page">
              <wp14:pctWidth>0</wp14:pctWidth>
            </wp14:sizeRelH>
            <wp14:sizeRelV relativeFrom="page">
              <wp14:pctHeight>0</wp14:pctHeight>
            </wp14:sizeRelV>
          </wp:anchor>
        </w:drawing>
      </w:r>
    </w:p>
    <w:p w14:paraId="3012D4EA" w14:textId="71E67474" w:rsidR="00FC3440" w:rsidRPr="005074A9" w:rsidRDefault="001331E0" w:rsidP="00FC3440">
      <w:pPr>
        <w:spacing w:line="480" w:lineRule="auto"/>
        <w:rPr>
          <w:rFonts w:ascii="Arial" w:hAnsi="Arial" w:cs="Arial"/>
        </w:rPr>
      </w:pPr>
      <w:r w:rsidRPr="005074A9">
        <w:rPr>
          <w:rFonts w:ascii="Arial" w:hAnsi="Arial" w:cs="Arial"/>
          <w:noProof/>
          <w:sz w:val="24"/>
          <w:szCs w:val="24"/>
          <w:lang w:val="en-US"/>
        </w:rPr>
        <mc:AlternateContent>
          <mc:Choice Requires="wps">
            <w:drawing>
              <wp:anchor distT="45720" distB="45720" distL="114300" distR="114300" simplePos="0" relativeHeight="251662336" behindDoc="0" locked="0" layoutInCell="1" allowOverlap="1" wp14:anchorId="6AB423BC" wp14:editId="3504693C">
                <wp:simplePos x="0" y="0"/>
                <wp:positionH relativeFrom="column">
                  <wp:posOffset>4605655</wp:posOffset>
                </wp:positionH>
                <wp:positionV relativeFrom="paragraph">
                  <wp:posOffset>53340</wp:posOffset>
                </wp:positionV>
                <wp:extent cx="730250" cy="67970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6797040"/>
                        </a:xfrm>
                        <a:prstGeom prst="rect">
                          <a:avLst/>
                        </a:prstGeom>
                        <a:solidFill>
                          <a:srgbClr val="FFFFFF"/>
                        </a:solidFill>
                        <a:ln w="9525">
                          <a:noFill/>
                          <a:miter lim="800000"/>
                          <a:headEnd/>
                          <a:tailEnd/>
                        </a:ln>
                      </wps:spPr>
                      <wps:txbx>
                        <w:txbxContent>
                          <w:p w14:paraId="7AA706BB" w14:textId="684A69D6" w:rsidR="00FC3440" w:rsidRPr="004B72CC" w:rsidRDefault="001331E0" w:rsidP="00FC3440">
                            <w:pPr>
                              <w:jc w:val="both"/>
                              <w:rPr>
                                <w:sz w:val="18"/>
                                <w:szCs w:val="20"/>
                              </w:rPr>
                            </w:pPr>
                            <w:r>
                              <w:rPr>
                                <w:b/>
                                <w:sz w:val="18"/>
                                <w:szCs w:val="20"/>
                              </w:rPr>
                              <w:t>Figure S5.</w:t>
                            </w:r>
                            <w:r w:rsidR="00FC3440" w:rsidRPr="004B72CC">
                              <w:rPr>
                                <w:b/>
                                <w:sz w:val="18"/>
                                <w:szCs w:val="20"/>
                              </w:rPr>
                              <w:t xml:space="preserve"> </w:t>
                            </w:r>
                            <w:r w:rsidR="00FC3440" w:rsidRPr="009D4D87">
                              <w:rPr>
                                <w:b/>
                                <w:sz w:val="18"/>
                                <w:szCs w:val="20"/>
                              </w:rPr>
                              <w:t>Gain/loss events of the putative lipopeptides in all species</w:t>
                            </w:r>
                            <w:r w:rsidR="00FC3440" w:rsidRPr="004B72CC">
                              <w:rPr>
                                <w:sz w:val="18"/>
                                <w:szCs w:val="20"/>
                              </w:rPr>
                              <w:t>. Horizontal lines under each node indicate the number of gained or lost clusters. Green to the right gain, yellow to the left loss. The purple bar on each node represents the proportion of clusters present in each strain from the total 19 clusters analyzed. a) Wagner parsimony with a gain penalty of 1. b) Dollo parsimony</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B423BC" id="_x0000_s1027" type="#_x0000_t202" style="position:absolute;margin-left:362.65pt;margin-top:4.2pt;width:57.5pt;height:535.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" stroked="f">
                <v:textbox style="layout-flow:vertical;mso-layout-flow-alt:bottom-to-top">
                  <w:txbxContent>
                    <w:p w14:paraId="7AA706BB" w14:textId="684A69D6" w:rsidR="00FC3440" w:rsidRPr="004B72CC" w:rsidRDefault="001331E0" w:rsidP="00FC3440">
                      <w:pPr>
                        <w:jc w:val="both"/>
                        <w:rPr>
                          <w:sz w:val="18"/>
                          <w:szCs w:val="20"/>
                        </w:rPr>
                      </w:pPr>
                      <w:r>
                        <w:rPr>
                          <w:b/>
                          <w:sz w:val="18"/>
                          <w:szCs w:val="20"/>
                        </w:rPr>
                        <w:t>Figure S5.</w:t>
                      </w:r>
                      <w:r w:rsidR="00FC3440" w:rsidRPr="004B72CC">
                        <w:rPr>
                          <w:b/>
                          <w:sz w:val="18"/>
                          <w:szCs w:val="20"/>
                        </w:rPr>
                        <w:t xml:space="preserve"> </w:t>
                      </w:r>
                      <w:r w:rsidR="00FC3440" w:rsidRPr="009D4D87">
                        <w:rPr>
                          <w:b/>
                          <w:sz w:val="18"/>
                          <w:szCs w:val="20"/>
                        </w:rPr>
                        <w:t>Gain/loss events of the putative lipopeptides in all species</w:t>
                      </w:r>
                      <w:r w:rsidR="00FC3440" w:rsidRPr="004B72CC">
                        <w:rPr>
                          <w:sz w:val="18"/>
                          <w:szCs w:val="20"/>
                        </w:rPr>
                        <w:t xml:space="preserve">. Horizontal lines under each node indicate the number of gained or lost clusters. Green to the right gain, yellow to the left loss. The purple bar on each node represents the proportion of clusters present in each strain from the total 19 clusters </w:t>
                      </w:r>
                      <w:proofErr w:type="spellStart"/>
                      <w:r w:rsidR="00FC3440" w:rsidRPr="004B72CC">
                        <w:rPr>
                          <w:sz w:val="18"/>
                          <w:szCs w:val="20"/>
                        </w:rPr>
                        <w:t>analyzed</w:t>
                      </w:r>
                      <w:proofErr w:type="spellEnd"/>
                      <w:r w:rsidR="00FC3440" w:rsidRPr="004B72CC">
                        <w:rPr>
                          <w:sz w:val="18"/>
                          <w:szCs w:val="20"/>
                        </w:rPr>
                        <w:t>. a) Wagner parsimony with a gain penalty of 1. b) Dollo parsimony</w:t>
                      </w:r>
                    </w:p>
                  </w:txbxContent>
                </v:textbox>
                <w10:wrap type="square"/>
              </v:shape>
            </w:pict>
          </mc:Fallback>
        </mc:AlternateContent>
      </w:r>
    </w:p>
    <w:p w14:paraId="5D7EEAA6" w14:textId="77777777" w:rsidR="00FC3440" w:rsidRPr="005074A9" w:rsidRDefault="00FC3440" w:rsidP="00FC3440">
      <w:pPr>
        <w:spacing w:line="480" w:lineRule="auto"/>
        <w:rPr>
          <w:rFonts w:ascii="Arial" w:hAnsi="Arial" w:cs="Arial"/>
        </w:rPr>
      </w:pPr>
    </w:p>
    <w:p w14:paraId="68FCD3BE" w14:textId="77777777" w:rsidR="00FC3440" w:rsidRPr="005074A9" w:rsidRDefault="00FC3440" w:rsidP="00FC3440">
      <w:pPr>
        <w:spacing w:line="480" w:lineRule="auto"/>
        <w:rPr>
          <w:rFonts w:ascii="Arial" w:hAnsi="Arial" w:cs="Arial"/>
        </w:rPr>
      </w:pPr>
    </w:p>
    <w:p w14:paraId="46542060" w14:textId="5667F26A" w:rsidR="004C5D8F" w:rsidRDefault="004C5D8F">
      <w:pPr>
        <w:rPr>
          <w:rFonts w:ascii="Arial" w:hAnsi="Arial" w:cs="Arial"/>
        </w:rPr>
      </w:pPr>
      <w:r>
        <w:rPr>
          <w:rFonts w:ascii="Arial" w:hAnsi="Arial" w:cs="Arial"/>
        </w:rPr>
        <w:br w:type="page"/>
      </w:r>
    </w:p>
    <w:p w14:paraId="5D06E700" w14:textId="56121A9A" w:rsidR="004C5D8F" w:rsidRDefault="004C5D8F" w:rsidP="004C5D8F">
      <w:pPr>
        <w:spacing w:line="480" w:lineRule="auto"/>
        <w:rPr>
          <w:rFonts w:ascii="Arial" w:hAnsi="Arial" w:cs="Arial"/>
          <w:b/>
          <w:szCs w:val="24"/>
          <w:u w:val="single"/>
        </w:rPr>
      </w:pPr>
      <w:r w:rsidRPr="00531F75">
        <w:rPr>
          <w:rFonts w:ascii="Arial" w:hAnsi="Arial" w:cs="Arial"/>
          <w:b/>
          <w:sz w:val="24"/>
          <w:szCs w:val="24"/>
          <w:u w:val="single"/>
        </w:rPr>
        <w:lastRenderedPageBreak/>
        <w:t>Supplementary information</w:t>
      </w:r>
      <w:r>
        <w:rPr>
          <w:rFonts w:ascii="Arial" w:hAnsi="Arial" w:cs="Arial"/>
          <w:b/>
          <w:sz w:val="24"/>
          <w:szCs w:val="24"/>
          <w:u w:val="single"/>
        </w:rPr>
        <w:t xml:space="preserve"> 2</w:t>
      </w:r>
      <w:r w:rsidRPr="00531F75">
        <w:rPr>
          <w:rFonts w:ascii="Arial" w:hAnsi="Arial" w:cs="Arial"/>
          <w:b/>
          <w:szCs w:val="24"/>
          <w:u w:val="single"/>
        </w:rPr>
        <w:t xml:space="preserve"> </w:t>
      </w:r>
    </w:p>
    <w:p w14:paraId="03CED94B" w14:textId="3CF1C826" w:rsidR="004C5D8F" w:rsidRPr="004C5D8F" w:rsidRDefault="004C5D8F" w:rsidP="004C5D8F">
      <w:pPr>
        <w:spacing w:line="480" w:lineRule="auto"/>
        <w:rPr>
          <w:rFonts w:ascii="Arial" w:hAnsi="Arial" w:cs="Arial"/>
          <w:b/>
          <w:sz w:val="24"/>
          <w:szCs w:val="24"/>
        </w:rPr>
      </w:pPr>
      <w:r w:rsidRPr="004C5D8F">
        <w:rPr>
          <w:rFonts w:ascii="Arial" w:hAnsi="Arial" w:cs="Arial"/>
          <w:b/>
          <w:sz w:val="24"/>
          <w:szCs w:val="24"/>
        </w:rPr>
        <w:t>Description of Other-4, Other-5 and Other-6 BGCs</w:t>
      </w:r>
      <w:r>
        <w:rPr>
          <w:rFonts w:ascii="Arial" w:hAnsi="Arial" w:cs="Arial"/>
          <w:b/>
          <w:sz w:val="24"/>
          <w:szCs w:val="24"/>
        </w:rPr>
        <w:t>.</w:t>
      </w:r>
    </w:p>
    <w:p w14:paraId="64911CE9" w14:textId="2B5555F1" w:rsidR="004C5D8F" w:rsidRDefault="004C5D8F" w:rsidP="004C5D8F">
      <w:pPr>
        <w:spacing w:line="480" w:lineRule="auto"/>
        <w:rPr>
          <w:rFonts w:ascii="Arial" w:hAnsi="Arial" w:cs="Arial"/>
          <w:sz w:val="24"/>
          <w:szCs w:val="24"/>
        </w:rPr>
      </w:pPr>
      <w:r w:rsidRPr="0044416C">
        <w:rPr>
          <w:rFonts w:ascii="Arial" w:hAnsi="Arial" w:cs="Arial"/>
          <w:sz w:val="24"/>
          <w:szCs w:val="24"/>
        </w:rPr>
        <w:t xml:space="preserve">Other-5 is also present in </w:t>
      </w:r>
      <w:r w:rsidRPr="0044416C">
        <w:rPr>
          <w:rFonts w:ascii="Arial" w:hAnsi="Arial" w:cs="Arial"/>
          <w:i/>
          <w:sz w:val="24"/>
          <w:szCs w:val="24"/>
        </w:rPr>
        <w:t>A. subflavus</w:t>
      </w:r>
      <w:r w:rsidRPr="0044416C">
        <w:rPr>
          <w:rFonts w:ascii="Arial" w:hAnsi="Arial" w:cs="Arial"/>
          <w:sz w:val="24"/>
          <w:szCs w:val="24"/>
        </w:rPr>
        <w:t xml:space="preserve">. </w:t>
      </w:r>
      <w:r w:rsidRPr="0044416C">
        <w:rPr>
          <w:rFonts w:ascii="Arial" w:hAnsi="Arial" w:cs="Arial"/>
          <w:b/>
          <w:sz w:val="24"/>
          <w:szCs w:val="24"/>
        </w:rPr>
        <w:t>Other-4</w:t>
      </w:r>
      <w:r w:rsidRPr="0044416C">
        <w:rPr>
          <w:rFonts w:ascii="Arial" w:hAnsi="Arial" w:cs="Arial"/>
          <w:sz w:val="24"/>
          <w:szCs w:val="24"/>
        </w:rPr>
        <w:t xml:space="preserve"> contains a homologue of a cutinase enzyme which in phytopathogenic organisms is involved in the infection process by degrading the plant cell-wall </w:t>
      </w:r>
      <w:r w:rsidRPr="0044416C">
        <w:rPr>
          <w:rFonts w:ascii="Arial" w:hAnsi="Arial" w:cs="Arial"/>
          <w:sz w:val="24"/>
          <w:szCs w:val="24"/>
        </w:rPr>
        <w:fldChar w:fldCharType="begin"/>
      </w:r>
      <w:r w:rsidRPr="0044416C">
        <w:rPr>
          <w:rFonts w:ascii="Arial" w:hAnsi="Arial" w:cs="Arial"/>
          <w:sz w:val="24"/>
          <w:szCs w:val="24"/>
        </w:rPr>
        <w:instrText>ADDIN RW.CITE{{211 Francis,I. 2012; 344 Schue,M. 2010}}</w:instrText>
      </w:r>
      <w:r w:rsidRPr="0044416C">
        <w:rPr>
          <w:rFonts w:ascii="Arial" w:hAnsi="Arial" w:cs="Arial"/>
          <w:sz w:val="24"/>
          <w:szCs w:val="24"/>
        </w:rPr>
        <w:fldChar w:fldCharType="separate"/>
      </w:r>
      <w:r>
        <w:rPr>
          <w:rFonts w:ascii="Arial" w:eastAsia="Times New Roman" w:hAnsi="Arial" w:cs="Arial"/>
          <w:sz w:val="24"/>
          <w:szCs w:val="24"/>
        </w:rPr>
        <w:t>[47, 48]</w:t>
      </w:r>
      <w:r w:rsidRPr="0044416C">
        <w:rPr>
          <w:rFonts w:ascii="Arial" w:hAnsi="Arial" w:cs="Arial"/>
          <w:sz w:val="24"/>
          <w:szCs w:val="24"/>
        </w:rPr>
        <w:fldChar w:fldCharType="end"/>
      </w:r>
      <w:r w:rsidRPr="0044416C">
        <w:rPr>
          <w:rFonts w:ascii="Arial" w:hAnsi="Arial" w:cs="Arial"/>
          <w:sz w:val="24"/>
          <w:szCs w:val="24"/>
        </w:rPr>
        <w:t xml:space="preserve">. These cutinase enzymes were also predicted in </w:t>
      </w:r>
      <w:r w:rsidRPr="0044416C">
        <w:rPr>
          <w:rFonts w:ascii="Arial" w:hAnsi="Arial" w:cs="Arial"/>
          <w:i/>
          <w:sz w:val="24"/>
          <w:szCs w:val="24"/>
        </w:rPr>
        <w:t>M. tuberculosis</w:t>
      </w:r>
      <w:r w:rsidRPr="0044416C">
        <w:rPr>
          <w:rFonts w:ascii="Arial" w:hAnsi="Arial" w:cs="Arial"/>
          <w:sz w:val="24"/>
          <w:szCs w:val="24"/>
        </w:rPr>
        <w:t xml:space="preserve"> and are thought to be involved in providing substrates to form mycolic acids, or in pathogenicity </w:t>
      </w:r>
      <w:r w:rsidRPr="0044416C">
        <w:rPr>
          <w:rFonts w:ascii="Arial" w:hAnsi="Arial" w:cs="Arial"/>
          <w:sz w:val="24"/>
          <w:szCs w:val="24"/>
        </w:rPr>
        <w:fldChar w:fldCharType="begin"/>
      </w:r>
      <w:r w:rsidRPr="0044416C">
        <w:rPr>
          <w:rFonts w:ascii="Arial" w:hAnsi="Arial" w:cs="Arial"/>
          <w:sz w:val="24"/>
          <w:szCs w:val="24"/>
        </w:rPr>
        <w:instrText>ADDIN RW.CITE{{344 Schue,M. 2010}}ADDIN RW.CITE{{344 Schue,M. 2010}}ADDIN RW.CITE{{344 Schue,M. 2010}}ADDIN RW.CITE{{344 Schue,M. 2010}}ADDIN RW.CITE{{344 Schue,M. 2010}}ADDIN RW.CITE{{344 Schue,M. 2010}}</w:instrText>
      </w:r>
      <w:r w:rsidRPr="0044416C">
        <w:rPr>
          <w:rFonts w:ascii="Arial" w:hAnsi="Arial" w:cs="Arial"/>
          <w:sz w:val="24"/>
          <w:szCs w:val="24"/>
        </w:rPr>
        <w:fldChar w:fldCharType="separate"/>
      </w:r>
      <w:r>
        <w:rPr>
          <w:rFonts w:ascii="Arial" w:eastAsia="Times New Roman" w:hAnsi="Arial" w:cs="Arial"/>
          <w:sz w:val="24"/>
          <w:szCs w:val="24"/>
        </w:rPr>
        <w:t>[48]</w:t>
      </w:r>
      <w:r w:rsidRPr="0044416C">
        <w:rPr>
          <w:rFonts w:ascii="Arial" w:hAnsi="Arial" w:cs="Arial"/>
          <w:sz w:val="24"/>
          <w:szCs w:val="24"/>
        </w:rPr>
        <w:fldChar w:fldCharType="end"/>
      </w:r>
      <w:r w:rsidRPr="0044416C">
        <w:rPr>
          <w:rFonts w:ascii="Arial" w:hAnsi="Arial" w:cs="Arial"/>
          <w:sz w:val="24"/>
          <w:szCs w:val="24"/>
        </w:rPr>
        <w:t xml:space="preserve">. Unfortunately, the function of the </w:t>
      </w:r>
      <w:r w:rsidRPr="0044416C">
        <w:rPr>
          <w:rFonts w:ascii="Arial" w:hAnsi="Arial" w:cs="Arial"/>
          <w:b/>
          <w:sz w:val="24"/>
          <w:szCs w:val="24"/>
        </w:rPr>
        <w:t>Other-4</w:t>
      </w:r>
      <w:r w:rsidRPr="0044416C">
        <w:rPr>
          <w:rFonts w:ascii="Arial" w:hAnsi="Arial" w:cs="Arial"/>
          <w:sz w:val="24"/>
          <w:szCs w:val="24"/>
        </w:rPr>
        <w:t xml:space="preserve"> cluster could not be predicted in more detail. </w:t>
      </w:r>
      <w:r w:rsidRPr="0044416C">
        <w:rPr>
          <w:rFonts w:ascii="Arial" w:hAnsi="Arial" w:cs="Arial"/>
          <w:b/>
          <w:sz w:val="24"/>
          <w:szCs w:val="24"/>
        </w:rPr>
        <w:t>Other-5</w:t>
      </w:r>
      <w:r w:rsidRPr="0044416C">
        <w:rPr>
          <w:rFonts w:ascii="Arial" w:hAnsi="Arial" w:cs="Arial"/>
          <w:sz w:val="24"/>
          <w:szCs w:val="24"/>
        </w:rPr>
        <w:t xml:space="preserve"> includes a protein with 92% identity to the IdeR global iron-dependent regulator described in </w:t>
      </w:r>
      <w:r w:rsidRPr="0044416C">
        <w:rPr>
          <w:rFonts w:ascii="Arial" w:hAnsi="Arial" w:cs="Arial"/>
          <w:i/>
          <w:sz w:val="24"/>
          <w:szCs w:val="24"/>
        </w:rPr>
        <w:t>M. tuberculosis</w:t>
      </w:r>
      <w:r w:rsidRPr="0044416C">
        <w:rPr>
          <w:rFonts w:ascii="Arial" w:hAnsi="Arial" w:cs="Arial"/>
          <w:sz w:val="24"/>
          <w:szCs w:val="24"/>
        </w:rPr>
        <w:t xml:space="preserve">, which is also homologous to the diphtheria toxin repressor DtxR from </w:t>
      </w:r>
      <w:r w:rsidRPr="0044416C">
        <w:rPr>
          <w:rFonts w:ascii="Arial" w:hAnsi="Arial" w:cs="Arial"/>
          <w:i/>
          <w:sz w:val="24"/>
          <w:szCs w:val="24"/>
        </w:rPr>
        <w:t xml:space="preserve">Corynebacterium diphteriae </w:t>
      </w:r>
      <w:r w:rsidRPr="0044416C">
        <w:rPr>
          <w:rFonts w:ascii="Arial" w:hAnsi="Arial" w:cs="Arial"/>
          <w:sz w:val="24"/>
          <w:szCs w:val="24"/>
        </w:rPr>
        <w:fldChar w:fldCharType="begin"/>
      </w:r>
      <w:r w:rsidRPr="0044416C">
        <w:rPr>
          <w:rFonts w:ascii="Arial" w:hAnsi="Arial" w:cs="Arial"/>
          <w:sz w:val="24"/>
          <w:szCs w:val="24"/>
        </w:rPr>
        <w:instrText>ADDIN RW.CITE{{342 Rodriguez,G.M. 2002}}ADDIN RW.CITE{{342 Rodriguez,G.M. 2002}}ADDIN RW.CITE{{342 Rodriguez,G.M. 2002}}ADDIN RW.CITE{{342 Rodriguez,G.M. 2002}}ADDIN RW.CITE{{342 Rodriguez,G.M. 2002}}ADDIN RW.CITE{{342 Rodriguez,G.M. 2002}}</w:instrText>
      </w:r>
      <w:r w:rsidRPr="0044416C">
        <w:rPr>
          <w:rFonts w:ascii="Arial" w:hAnsi="Arial" w:cs="Arial"/>
          <w:sz w:val="24"/>
          <w:szCs w:val="24"/>
        </w:rPr>
        <w:fldChar w:fldCharType="separate"/>
      </w:r>
      <w:r>
        <w:rPr>
          <w:rFonts w:ascii="Arial" w:eastAsia="Times New Roman" w:hAnsi="Arial" w:cs="Arial"/>
          <w:iCs/>
          <w:sz w:val="24"/>
          <w:szCs w:val="24"/>
        </w:rPr>
        <w:t>[49]</w:t>
      </w:r>
      <w:r w:rsidRPr="0044416C">
        <w:rPr>
          <w:rFonts w:ascii="Arial" w:hAnsi="Arial" w:cs="Arial"/>
          <w:sz w:val="24"/>
          <w:szCs w:val="24"/>
        </w:rPr>
        <w:fldChar w:fldCharType="end"/>
      </w:r>
      <w:r w:rsidRPr="0044416C">
        <w:rPr>
          <w:rFonts w:ascii="Arial" w:hAnsi="Arial" w:cs="Arial"/>
          <w:i/>
          <w:sz w:val="24"/>
          <w:szCs w:val="24"/>
        </w:rPr>
        <w:t xml:space="preserve">. </w:t>
      </w:r>
      <w:r w:rsidRPr="0044416C">
        <w:rPr>
          <w:rFonts w:ascii="Arial" w:hAnsi="Arial" w:cs="Arial"/>
          <w:sz w:val="24"/>
          <w:szCs w:val="24"/>
        </w:rPr>
        <w:t xml:space="preserve">IdeR was also found in </w:t>
      </w:r>
      <w:r w:rsidRPr="0044416C">
        <w:rPr>
          <w:rFonts w:ascii="Arial" w:hAnsi="Arial" w:cs="Arial"/>
          <w:i/>
          <w:sz w:val="24"/>
          <w:szCs w:val="24"/>
        </w:rPr>
        <w:t>R. equi</w:t>
      </w:r>
      <w:r w:rsidRPr="0044416C">
        <w:rPr>
          <w:rFonts w:ascii="Arial" w:hAnsi="Arial" w:cs="Arial"/>
          <w:sz w:val="24"/>
          <w:szCs w:val="24"/>
        </w:rPr>
        <w:t xml:space="preserve"> and </w:t>
      </w:r>
      <w:r w:rsidRPr="0044416C">
        <w:rPr>
          <w:rFonts w:ascii="Arial" w:hAnsi="Arial" w:cs="Arial"/>
          <w:i/>
          <w:sz w:val="24"/>
          <w:szCs w:val="24"/>
        </w:rPr>
        <w:t xml:space="preserve">R. erythropolis </w:t>
      </w:r>
      <w:r w:rsidRPr="0044416C">
        <w:rPr>
          <w:rFonts w:ascii="Arial" w:hAnsi="Arial" w:cs="Arial"/>
          <w:sz w:val="24"/>
          <w:szCs w:val="24"/>
          <w:highlight w:val="yellow"/>
        </w:rPr>
        <w:fldChar w:fldCharType="begin"/>
      </w:r>
      <w:r w:rsidRPr="0044416C">
        <w:rPr>
          <w:rFonts w:ascii="Arial" w:hAnsi="Arial" w:cs="Arial"/>
          <w:sz w:val="24"/>
          <w:szCs w:val="24"/>
          <w:highlight w:val="yellow"/>
        </w:rPr>
        <w:instrText>ADDIN RW.CITE{{341 Boland,C.A. 2000}}ADDIN RW.CITE{{341 Boland,C.A. 2000}}ADDIN RW.CITE{{341 Boland,C.A. 2000}}ADDIN RW.CITE{{341 Boland,C.A. 2000}}ADDIN RW.CITE{{341 Boland,C.A. 2000}}ADDIN RW.CITE{{341 Boland,C.A. 2000}}</w:instrText>
      </w:r>
      <w:r w:rsidRPr="0044416C">
        <w:rPr>
          <w:rFonts w:ascii="Arial" w:hAnsi="Arial" w:cs="Arial"/>
          <w:sz w:val="24"/>
          <w:szCs w:val="24"/>
          <w:highlight w:val="yellow"/>
        </w:rPr>
        <w:fldChar w:fldCharType="separate"/>
      </w:r>
      <w:r>
        <w:rPr>
          <w:rFonts w:ascii="Arial" w:eastAsia="Times New Roman" w:hAnsi="Arial" w:cs="Arial"/>
          <w:sz w:val="24"/>
          <w:szCs w:val="24"/>
        </w:rPr>
        <w:t>[50]</w:t>
      </w:r>
      <w:r w:rsidRPr="0044416C">
        <w:rPr>
          <w:rFonts w:ascii="Arial" w:hAnsi="Arial" w:cs="Arial"/>
          <w:sz w:val="24"/>
          <w:szCs w:val="24"/>
          <w:highlight w:val="yellow"/>
        </w:rPr>
        <w:fldChar w:fldCharType="end"/>
      </w:r>
      <w:r w:rsidRPr="0044416C">
        <w:rPr>
          <w:rFonts w:ascii="Arial" w:hAnsi="Arial" w:cs="Arial"/>
          <w:sz w:val="24"/>
          <w:szCs w:val="24"/>
        </w:rPr>
        <w:t xml:space="preserve">. In pathogenic strains, it is known to regulate different virulence factors which are activated when the bacterial strain enters a host cell, where iron levels are scarce due to iron sequestering enzymes from the host as transferrin </w:t>
      </w:r>
      <w:r w:rsidRPr="0044416C">
        <w:rPr>
          <w:rFonts w:ascii="Arial" w:hAnsi="Arial" w:cs="Arial"/>
          <w:sz w:val="24"/>
          <w:szCs w:val="24"/>
        </w:rPr>
        <w:fldChar w:fldCharType="begin"/>
      </w:r>
      <w:r w:rsidRPr="0044416C">
        <w:rPr>
          <w:rFonts w:ascii="Arial" w:hAnsi="Arial" w:cs="Arial"/>
          <w:sz w:val="24"/>
          <w:szCs w:val="24"/>
        </w:rPr>
        <w:instrText>ADDIN RW.CITE{{342 Rodriguez,G.M. 2002}}ADDIN RW.CITE{{342 Rodriguez,G.M. 2002}}ADDIN RW.CITE{{342 Rodriguez,G.M. 2002}}ADDIN RW.CITE{{342 Rodriguez,G.M. 2002}}ADDIN RW.CITE{{342 Rodriguez,G.M. 2002}}ADDIN RW.CITE{{342 Rodriguez,G.M. 2002}}</w:instrText>
      </w:r>
      <w:r w:rsidRPr="0044416C">
        <w:rPr>
          <w:rFonts w:ascii="Arial" w:hAnsi="Arial" w:cs="Arial"/>
          <w:sz w:val="24"/>
          <w:szCs w:val="24"/>
        </w:rPr>
        <w:fldChar w:fldCharType="separate"/>
      </w:r>
      <w:r>
        <w:rPr>
          <w:rFonts w:ascii="Arial" w:eastAsia="Times New Roman" w:hAnsi="Arial" w:cs="Arial"/>
          <w:sz w:val="24"/>
          <w:szCs w:val="24"/>
        </w:rPr>
        <w:t>[49]</w:t>
      </w:r>
      <w:r w:rsidRPr="0044416C">
        <w:rPr>
          <w:rFonts w:ascii="Arial" w:hAnsi="Arial" w:cs="Arial"/>
          <w:sz w:val="24"/>
          <w:szCs w:val="24"/>
        </w:rPr>
        <w:fldChar w:fldCharType="end"/>
      </w:r>
      <w:r w:rsidRPr="0044416C">
        <w:rPr>
          <w:rFonts w:ascii="Arial" w:hAnsi="Arial" w:cs="Arial"/>
          <w:sz w:val="24"/>
          <w:szCs w:val="24"/>
        </w:rPr>
        <w:t xml:space="preserve">. This cluster also includes an enzyme with a PAC2 (proteasome assembly chaperone) domain involved in the formation of the proteasome, which is essential for pathogenicity in </w:t>
      </w:r>
      <w:r w:rsidRPr="0044416C">
        <w:rPr>
          <w:rFonts w:ascii="Arial" w:hAnsi="Arial" w:cs="Arial"/>
          <w:i/>
          <w:sz w:val="24"/>
          <w:szCs w:val="24"/>
        </w:rPr>
        <w:t>M. tuberculosis</w:t>
      </w:r>
      <w:r w:rsidRPr="0044416C">
        <w:rPr>
          <w:rFonts w:ascii="Arial" w:hAnsi="Arial" w:cs="Arial"/>
          <w:sz w:val="24"/>
          <w:szCs w:val="24"/>
        </w:rPr>
        <w:t xml:space="preserve"> </w:t>
      </w:r>
      <w:r w:rsidRPr="0044416C">
        <w:rPr>
          <w:rFonts w:ascii="Arial" w:hAnsi="Arial" w:cs="Arial"/>
          <w:sz w:val="24"/>
          <w:szCs w:val="24"/>
        </w:rPr>
        <w:fldChar w:fldCharType="begin"/>
      </w:r>
      <w:r w:rsidRPr="0044416C">
        <w:rPr>
          <w:rFonts w:ascii="Arial" w:hAnsi="Arial" w:cs="Arial"/>
          <w:sz w:val="24"/>
          <w:szCs w:val="24"/>
        </w:rPr>
        <w:instrText>ADDIN RW.CITE{{343 Jastrab,J.B. 2015}}ADDIN RW.CITE{{343 Jastrab,J.B. 2015}}ADDIN RW.CITE{{343 Jastrab,J.B. 2015}}ADDIN RW.CITE{{343 Jastrab,J.B. 2015}}ADDIN RW.CITE{{343 Jastrab,J.B. 2015}}ADDIN RW.CITE{{343 Jastrab,J.B. 2015}}</w:instrText>
      </w:r>
      <w:r w:rsidRPr="0044416C">
        <w:rPr>
          <w:rFonts w:ascii="Arial" w:hAnsi="Arial" w:cs="Arial"/>
          <w:sz w:val="24"/>
          <w:szCs w:val="24"/>
        </w:rPr>
        <w:fldChar w:fldCharType="separate"/>
      </w:r>
      <w:r>
        <w:rPr>
          <w:rFonts w:ascii="Arial" w:eastAsia="Times New Roman" w:hAnsi="Arial" w:cs="Arial"/>
          <w:sz w:val="24"/>
          <w:szCs w:val="24"/>
        </w:rPr>
        <w:t>[51]</w:t>
      </w:r>
      <w:r w:rsidRPr="0044416C">
        <w:rPr>
          <w:rFonts w:ascii="Arial" w:hAnsi="Arial" w:cs="Arial"/>
          <w:sz w:val="24"/>
          <w:szCs w:val="24"/>
        </w:rPr>
        <w:fldChar w:fldCharType="end"/>
      </w:r>
      <w:r w:rsidRPr="0044416C">
        <w:rPr>
          <w:rFonts w:ascii="Arial" w:hAnsi="Arial" w:cs="Arial"/>
          <w:sz w:val="24"/>
          <w:szCs w:val="24"/>
        </w:rPr>
        <w:t xml:space="preserve">. A protein from the superfamily II of RNA and DNA helicases, a UDP-galactose-4-epimerase, two hydrolases and two hypothetical proteins are also encoded in this gene cluster. However, the products of the </w:t>
      </w:r>
      <w:r w:rsidRPr="0044416C">
        <w:rPr>
          <w:rFonts w:ascii="Arial" w:hAnsi="Arial" w:cs="Arial"/>
          <w:b/>
          <w:sz w:val="24"/>
          <w:szCs w:val="24"/>
        </w:rPr>
        <w:t>Other-5</w:t>
      </w:r>
      <w:r w:rsidRPr="0044416C">
        <w:rPr>
          <w:rFonts w:ascii="Arial" w:hAnsi="Arial" w:cs="Arial"/>
          <w:sz w:val="24"/>
          <w:szCs w:val="24"/>
        </w:rPr>
        <w:t xml:space="preserve"> clusters remain unknown. Also for </w:t>
      </w:r>
      <w:r w:rsidRPr="0044416C">
        <w:rPr>
          <w:rFonts w:ascii="Arial" w:hAnsi="Arial" w:cs="Arial"/>
          <w:b/>
          <w:sz w:val="24"/>
          <w:szCs w:val="24"/>
        </w:rPr>
        <w:t>Other-6</w:t>
      </w:r>
      <w:r w:rsidRPr="0044416C">
        <w:rPr>
          <w:rFonts w:ascii="Arial" w:hAnsi="Arial" w:cs="Arial"/>
          <w:sz w:val="24"/>
          <w:szCs w:val="24"/>
        </w:rPr>
        <w:t xml:space="preserve"> we could not identify a function. It encodes two multidrug transporters, which indicates that this cluster may be producing a bioactive compound. It also contains genes coding for three transcriptional regulators, a putative esterase, two dehydrogenases, a glutamate decarboxylase, a glutathione S-transferase, an acetyl transferase, a possible glycolate oxidase FAD-</w:t>
      </w:r>
      <w:r w:rsidRPr="0044416C">
        <w:rPr>
          <w:rFonts w:ascii="Arial" w:hAnsi="Arial" w:cs="Arial"/>
          <w:sz w:val="24"/>
          <w:szCs w:val="24"/>
        </w:rPr>
        <w:lastRenderedPageBreak/>
        <w:t>linked subunit, a possible enoyl-CoA hydratase, a monooxygenase and four hypothetical proteins.</w:t>
      </w:r>
    </w:p>
    <w:p w14:paraId="6CCBAF09" w14:textId="77777777" w:rsidR="00FC3440" w:rsidRPr="005074A9" w:rsidRDefault="00FC3440" w:rsidP="00FC3440">
      <w:pPr>
        <w:spacing w:line="480" w:lineRule="auto"/>
        <w:rPr>
          <w:rFonts w:ascii="Arial" w:hAnsi="Arial" w:cs="Arial"/>
        </w:rPr>
      </w:pPr>
    </w:p>
    <w:sectPr w:rsidR="00FC3440" w:rsidRPr="00507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egoe UI">
    <w:altName w:val="Times New Roman Bold"/>
    <w:charset w:val="00"/>
    <w:family w:val="swiss"/>
    <w:pitch w:val="variable"/>
    <w:sig w:usb0="E10022FF" w:usb1="C000E47F" w:usb2="00000029" w:usb3="00000000" w:csb0="000001DF" w:csb1="00000000"/>
  </w:font>
  <w:font w:name="宋体">
    <w:charset w:val="50"/>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40"/>
    <w:rsid w:val="0001452E"/>
    <w:rsid w:val="00032038"/>
    <w:rsid w:val="0004238C"/>
    <w:rsid w:val="00047100"/>
    <w:rsid w:val="00066E6C"/>
    <w:rsid w:val="000917B3"/>
    <w:rsid w:val="00094DF3"/>
    <w:rsid w:val="000B2F8A"/>
    <w:rsid w:val="00107350"/>
    <w:rsid w:val="0011072E"/>
    <w:rsid w:val="001331E0"/>
    <w:rsid w:val="0013688A"/>
    <w:rsid w:val="0014765A"/>
    <w:rsid w:val="00170482"/>
    <w:rsid w:val="00181CEC"/>
    <w:rsid w:val="00181D86"/>
    <w:rsid w:val="001A2CC4"/>
    <w:rsid w:val="001A6167"/>
    <w:rsid w:val="001C53F2"/>
    <w:rsid w:val="001D2C33"/>
    <w:rsid w:val="001E1F37"/>
    <w:rsid w:val="001E23EA"/>
    <w:rsid w:val="001E5540"/>
    <w:rsid w:val="00203EAF"/>
    <w:rsid w:val="00217467"/>
    <w:rsid w:val="00220411"/>
    <w:rsid w:val="00223AF3"/>
    <w:rsid w:val="0024092D"/>
    <w:rsid w:val="00241C86"/>
    <w:rsid w:val="0025021B"/>
    <w:rsid w:val="0025272B"/>
    <w:rsid w:val="0025451D"/>
    <w:rsid w:val="0026058A"/>
    <w:rsid w:val="00265E73"/>
    <w:rsid w:val="00294B09"/>
    <w:rsid w:val="002B4463"/>
    <w:rsid w:val="002D3B92"/>
    <w:rsid w:val="002F3DE0"/>
    <w:rsid w:val="00320E89"/>
    <w:rsid w:val="00351D95"/>
    <w:rsid w:val="00355A5E"/>
    <w:rsid w:val="00364F39"/>
    <w:rsid w:val="003665B5"/>
    <w:rsid w:val="003676A8"/>
    <w:rsid w:val="00375297"/>
    <w:rsid w:val="00381063"/>
    <w:rsid w:val="003C0F56"/>
    <w:rsid w:val="003F190F"/>
    <w:rsid w:val="00404102"/>
    <w:rsid w:val="004128B6"/>
    <w:rsid w:val="00436AC5"/>
    <w:rsid w:val="00437CC6"/>
    <w:rsid w:val="00453D56"/>
    <w:rsid w:val="00473C46"/>
    <w:rsid w:val="00483BED"/>
    <w:rsid w:val="004A5BE4"/>
    <w:rsid w:val="004B0B4A"/>
    <w:rsid w:val="004C15A7"/>
    <w:rsid w:val="004C5D8F"/>
    <w:rsid w:val="004C6281"/>
    <w:rsid w:val="004D41F6"/>
    <w:rsid w:val="004E220D"/>
    <w:rsid w:val="004E7D21"/>
    <w:rsid w:val="004F15F7"/>
    <w:rsid w:val="004F51F3"/>
    <w:rsid w:val="004F619F"/>
    <w:rsid w:val="0050004A"/>
    <w:rsid w:val="00506EB7"/>
    <w:rsid w:val="00510B8D"/>
    <w:rsid w:val="00516B26"/>
    <w:rsid w:val="005171B7"/>
    <w:rsid w:val="00544597"/>
    <w:rsid w:val="00566CD3"/>
    <w:rsid w:val="005B0717"/>
    <w:rsid w:val="005B2FC3"/>
    <w:rsid w:val="005B48AF"/>
    <w:rsid w:val="005E45D1"/>
    <w:rsid w:val="005F1423"/>
    <w:rsid w:val="005F2A00"/>
    <w:rsid w:val="00607F66"/>
    <w:rsid w:val="006274A7"/>
    <w:rsid w:val="00634B9D"/>
    <w:rsid w:val="00635F55"/>
    <w:rsid w:val="00641E64"/>
    <w:rsid w:val="006623A1"/>
    <w:rsid w:val="006624BD"/>
    <w:rsid w:val="00666F47"/>
    <w:rsid w:val="00685C2A"/>
    <w:rsid w:val="00687810"/>
    <w:rsid w:val="00691131"/>
    <w:rsid w:val="00691ACA"/>
    <w:rsid w:val="006A2739"/>
    <w:rsid w:val="006A57D8"/>
    <w:rsid w:val="006B67FA"/>
    <w:rsid w:val="006B6A44"/>
    <w:rsid w:val="006B6F29"/>
    <w:rsid w:val="006C00FB"/>
    <w:rsid w:val="006F6929"/>
    <w:rsid w:val="0070406B"/>
    <w:rsid w:val="00705B05"/>
    <w:rsid w:val="0071039B"/>
    <w:rsid w:val="007660DA"/>
    <w:rsid w:val="007769BA"/>
    <w:rsid w:val="00785DC7"/>
    <w:rsid w:val="0079284A"/>
    <w:rsid w:val="00795C7B"/>
    <w:rsid w:val="007B10B1"/>
    <w:rsid w:val="007E6B34"/>
    <w:rsid w:val="007F318B"/>
    <w:rsid w:val="007F4917"/>
    <w:rsid w:val="00824E4F"/>
    <w:rsid w:val="0083191C"/>
    <w:rsid w:val="00856EA0"/>
    <w:rsid w:val="00865943"/>
    <w:rsid w:val="00884CC9"/>
    <w:rsid w:val="00885BBA"/>
    <w:rsid w:val="00887596"/>
    <w:rsid w:val="008939CB"/>
    <w:rsid w:val="00896E3A"/>
    <w:rsid w:val="008A333E"/>
    <w:rsid w:val="008A497C"/>
    <w:rsid w:val="008B537E"/>
    <w:rsid w:val="008C615F"/>
    <w:rsid w:val="00920EAE"/>
    <w:rsid w:val="00923FD4"/>
    <w:rsid w:val="009301DB"/>
    <w:rsid w:val="009478AB"/>
    <w:rsid w:val="00970369"/>
    <w:rsid w:val="00973F81"/>
    <w:rsid w:val="009A098B"/>
    <w:rsid w:val="009D0ACE"/>
    <w:rsid w:val="009D4D87"/>
    <w:rsid w:val="009E6A16"/>
    <w:rsid w:val="009F214C"/>
    <w:rsid w:val="00A0497E"/>
    <w:rsid w:val="00A3122C"/>
    <w:rsid w:val="00A40C20"/>
    <w:rsid w:val="00A60DED"/>
    <w:rsid w:val="00A6502E"/>
    <w:rsid w:val="00A857A4"/>
    <w:rsid w:val="00A92B95"/>
    <w:rsid w:val="00AA0F8D"/>
    <w:rsid w:val="00AA7EE6"/>
    <w:rsid w:val="00AB79A0"/>
    <w:rsid w:val="00AC376A"/>
    <w:rsid w:val="00AE28A5"/>
    <w:rsid w:val="00AF78F0"/>
    <w:rsid w:val="00B03163"/>
    <w:rsid w:val="00B2269D"/>
    <w:rsid w:val="00B23200"/>
    <w:rsid w:val="00B32553"/>
    <w:rsid w:val="00B57B9A"/>
    <w:rsid w:val="00B70397"/>
    <w:rsid w:val="00B85CDB"/>
    <w:rsid w:val="00B87D7A"/>
    <w:rsid w:val="00B976E4"/>
    <w:rsid w:val="00BB041F"/>
    <w:rsid w:val="00BB0A4F"/>
    <w:rsid w:val="00BD17BA"/>
    <w:rsid w:val="00BD4A38"/>
    <w:rsid w:val="00BE1AB6"/>
    <w:rsid w:val="00BE4C30"/>
    <w:rsid w:val="00C020C3"/>
    <w:rsid w:val="00C14B1E"/>
    <w:rsid w:val="00C345C6"/>
    <w:rsid w:val="00C45DD5"/>
    <w:rsid w:val="00C55DBC"/>
    <w:rsid w:val="00C633EC"/>
    <w:rsid w:val="00C70F0A"/>
    <w:rsid w:val="00C94A92"/>
    <w:rsid w:val="00CA6B5E"/>
    <w:rsid w:val="00CB1D6D"/>
    <w:rsid w:val="00CE1753"/>
    <w:rsid w:val="00CF0194"/>
    <w:rsid w:val="00CF63D4"/>
    <w:rsid w:val="00D0022F"/>
    <w:rsid w:val="00D01C46"/>
    <w:rsid w:val="00D1072D"/>
    <w:rsid w:val="00D21C85"/>
    <w:rsid w:val="00D22F8A"/>
    <w:rsid w:val="00D2525A"/>
    <w:rsid w:val="00D432BF"/>
    <w:rsid w:val="00D4392E"/>
    <w:rsid w:val="00D47E53"/>
    <w:rsid w:val="00D57FD1"/>
    <w:rsid w:val="00D87977"/>
    <w:rsid w:val="00DA69FB"/>
    <w:rsid w:val="00DC4E43"/>
    <w:rsid w:val="00DD33C6"/>
    <w:rsid w:val="00DE4FBA"/>
    <w:rsid w:val="00DE5E80"/>
    <w:rsid w:val="00DF011A"/>
    <w:rsid w:val="00DF6518"/>
    <w:rsid w:val="00E0792E"/>
    <w:rsid w:val="00E07967"/>
    <w:rsid w:val="00E12080"/>
    <w:rsid w:val="00E336C7"/>
    <w:rsid w:val="00E47584"/>
    <w:rsid w:val="00E55662"/>
    <w:rsid w:val="00E61118"/>
    <w:rsid w:val="00E71BDE"/>
    <w:rsid w:val="00E80E98"/>
    <w:rsid w:val="00E82A4E"/>
    <w:rsid w:val="00E837F3"/>
    <w:rsid w:val="00EA7ECF"/>
    <w:rsid w:val="00EB5DFF"/>
    <w:rsid w:val="00EC33B6"/>
    <w:rsid w:val="00EF6FD3"/>
    <w:rsid w:val="00F03D65"/>
    <w:rsid w:val="00F252C9"/>
    <w:rsid w:val="00F3235B"/>
    <w:rsid w:val="00F54DB2"/>
    <w:rsid w:val="00F55346"/>
    <w:rsid w:val="00F55E15"/>
    <w:rsid w:val="00FB68DD"/>
    <w:rsid w:val="00FC2B3F"/>
    <w:rsid w:val="00FC3440"/>
    <w:rsid w:val="00FC7910"/>
    <w:rsid w:val="00FC7EA9"/>
    <w:rsid w:val="00FE0D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75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44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C3440"/>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181D86"/>
    <w:rPr>
      <w:sz w:val="16"/>
      <w:szCs w:val="16"/>
    </w:rPr>
  </w:style>
  <w:style w:type="paragraph" w:styleId="CommentText">
    <w:name w:val="annotation text"/>
    <w:basedOn w:val="Normal"/>
    <w:link w:val="CommentTextChar"/>
    <w:uiPriority w:val="99"/>
    <w:semiHidden/>
    <w:unhideWhenUsed/>
    <w:rsid w:val="00181D86"/>
    <w:pPr>
      <w:spacing w:line="240" w:lineRule="auto"/>
    </w:pPr>
    <w:rPr>
      <w:sz w:val="20"/>
      <w:szCs w:val="20"/>
    </w:rPr>
  </w:style>
  <w:style w:type="character" w:customStyle="1" w:styleId="CommentTextChar">
    <w:name w:val="Comment Text Char"/>
    <w:basedOn w:val="DefaultParagraphFont"/>
    <w:link w:val="CommentText"/>
    <w:uiPriority w:val="99"/>
    <w:semiHidden/>
    <w:rsid w:val="00181D86"/>
    <w:rPr>
      <w:sz w:val="20"/>
      <w:szCs w:val="20"/>
      <w:lang w:val="en-GB"/>
    </w:rPr>
  </w:style>
  <w:style w:type="paragraph" w:styleId="BalloonText">
    <w:name w:val="Balloon Text"/>
    <w:basedOn w:val="Normal"/>
    <w:link w:val="BalloonTextChar"/>
    <w:uiPriority w:val="99"/>
    <w:semiHidden/>
    <w:unhideWhenUsed/>
    <w:rsid w:val="00181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D86"/>
    <w:rPr>
      <w:rFonts w:ascii="Segoe UI" w:hAnsi="Segoe UI" w:cs="Segoe UI"/>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44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C3440"/>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181D86"/>
    <w:rPr>
      <w:sz w:val="16"/>
      <w:szCs w:val="16"/>
    </w:rPr>
  </w:style>
  <w:style w:type="paragraph" w:styleId="CommentText">
    <w:name w:val="annotation text"/>
    <w:basedOn w:val="Normal"/>
    <w:link w:val="CommentTextChar"/>
    <w:uiPriority w:val="99"/>
    <w:semiHidden/>
    <w:unhideWhenUsed/>
    <w:rsid w:val="00181D86"/>
    <w:pPr>
      <w:spacing w:line="240" w:lineRule="auto"/>
    </w:pPr>
    <w:rPr>
      <w:sz w:val="20"/>
      <w:szCs w:val="20"/>
    </w:rPr>
  </w:style>
  <w:style w:type="character" w:customStyle="1" w:styleId="CommentTextChar">
    <w:name w:val="Comment Text Char"/>
    <w:basedOn w:val="DefaultParagraphFont"/>
    <w:link w:val="CommentText"/>
    <w:uiPriority w:val="99"/>
    <w:semiHidden/>
    <w:rsid w:val="00181D86"/>
    <w:rPr>
      <w:sz w:val="20"/>
      <w:szCs w:val="20"/>
      <w:lang w:val="en-GB"/>
    </w:rPr>
  </w:style>
  <w:style w:type="paragraph" w:styleId="BalloonText">
    <w:name w:val="Balloon Text"/>
    <w:basedOn w:val="Normal"/>
    <w:link w:val="BalloonTextChar"/>
    <w:uiPriority w:val="99"/>
    <w:semiHidden/>
    <w:unhideWhenUsed/>
    <w:rsid w:val="00181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D8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612</Words>
  <Characters>3491</Characters>
  <Application>Microsoft Macintosh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Ceniceros Medrano</dc:creator>
  <cp:keywords/>
  <dc:description/>
  <cp:lastModifiedBy>Marnix Medema</cp:lastModifiedBy>
  <cp:revision>8</cp:revision>
  <dcterms:created xsi:type="dcterms:W3CDTF">2017-03-09T08:39:00Z</dcterms:created>
  <dcterms:modified xsi:type="dcterms:W3CDTF">2017-06-24T20:55:00Z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14089</vt:lpwstr>
  </property>
  <property fmtid="{D5CDD505-2E9C-101B-9397-08002B2CF9AE}" pid="3" name="WnCSubscriberId">
    <vt:lpwstr>5225</vt:lpwstr>
  </property>
  <property fmtid="{D5CDD505-2E9C-101B-9397-08002B2CF9AE}" pid="4" name="WnCOutputStyleId">
    <vt:lpwstr>15613</vt:lpwstr>
  </property>
  <property fmtid="{D5CDD505-2E9C-101B-9397-08002B2CF9AE}" pid="5" name="RWProductId">
    <vt:lpwstr>WnC</vt:lpwstr>
  </property>
  <property fmtid="{D5CDD505-2E9C-101B-9397-08002B2CF9AE}" pid="6" name="WnC4Folder">
    <vt:lpwstr>Documents///Additional file 1</vt:lpwstr>
  </property>
</Properties>
</file>