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28AE" w:rsidRDefault="00985DFA">
      <w:r>
        <w:t>Additional File 1:</w:t>
      </w:r>
    </w:p>
    <w:p w:rsidR="00985DFA" w:rsidRDefault="00985DFA" w:rsidP="00985DFA">
      <w:pPr>
        <w:spacing w:line="480" w:lineRule="auto"/>
        <w:jc w:val="both"/>
        <w:rPr>
          <w:i/>
          <w:iCs/>
          <w:sz w:val="22"/>
          <w:szCs w:val="22"/>
        </w:rPr>
      </w:pPr>
    </w:p>
    <w:p w:rsidR="00985DFA" w:rsidRDefault="00985DFA" w:rsidP="00985DFA">
      <w:pPr>
        <w:spacing w:line="480" w:lineRule="auto"/>
        <w:jc w:val="both"/>
        <w:rPr>
          <w:sz w:val="22"/>
          <w:szCs w:val="22"/>
        </w:rPr>
      </w:pPr>
      <w:r w:rsidRPr="0088306E">
        <w:rPr>
          <w:i/>
          <w:iCs/>
          <w:sz w:val="22"/>
          <w:szCs w:val="22"/>
        </w:rPr>
        <w:t xml:space="preserve">The Maf-S-cnc-Keap1 pathway in </w:t>
      </w:r>
      <w:r w:rsidRPr="002050E4">
        <w:rPr>
          <w:sz w:val="22"/>
          <w:szCs w:val="22"/>
        </w:rPr>
        <w:t>Anopheles gambiae</w:t>
      </w:r>
    </w:p>
    <w:p w:rsidR="00985DFA" w:rsidRPr="002050E4" w:rsidRDefault="00985DFA" w:rsidP="00985DFA">
      <w:pPr>
        <w:spacing w:line="480" w:lineRule="auto"/>
        <w:jc w:val="both"/>
        <w:rPr>
          <w:sz w:val="22"/>
          <w:szCs w:val="22"/>
        </w:rPr>
      </w:pPr>
    </w:p>
    <w:p w:rsidR="00985DFA" w:rsidRPr="00946A34" w:rsidRDefault="00985DFA" w:rsidP="00985DFA">
      <w:pPr>
        <w:spacing w:line="480" w:lineRule="auto"/>
        <w:jc w:val="both"/>
        <w:rPr>
          <w:sz w:val="22"/>
          <w:szCs w:val="22"/>
        </w:rPr>
      </w:pPr>
      <w:r w:rsidRPr="00C250EC">
        <w:rPr>
          <w:sz w:val="22"/>
          <w:szCs w:val="22"/>
        </w:rPr>
        <w:t>A single ortholog of the</w:t>
      </w:r>
      <w:r w:rsidRPr="0088306E">
        <w:rPr>
          <w:i/>
          <w:iCs/>
          <w:sz w:val="22"/>
          <w:szCs w:val="22"/>
        </w:rPr>
        <w:t xml:space="preserve"> Drosophila </w:t>
      </w:r>
      <w:proofErr w:type="spellStart"/>
      <w:r w:rsidRPr="0088306E">
        <w:rPr>
          <w:i/>
          <w:iCs/>
          <w:sz w:val="22"/>
          <w:szCs w:val="22"/>
        </w:rPr>
        <w:t>Maf</w:t>
      </w:r>
      <w:proofErr w:type="spellEnd"/>
      <w:r w:rsidRPr="0088306E">
        <w:rPr>
          <w:i/>
          <w:iCs/>
          <w:sz w:val="22"/>
          <w:szCs w:val="22"/>
        </w:rPr>
        <w:t>-S (CG9954</w:t>
      </w:r>
      <w:r w:rsidRPr="00F77F19">
        <w:rPr>
          <w:i/>
          <w:iCs/>
          <w:sz w:val="22"/>
          <w:szCs w:val="22"/>
        </w:rPr>
        <w:t xml:space="preserve">) </w:t>
      </w:r>
      <w:r>
        <w:rPr>
          <w:sz w:val="22"/>
          <w:szCs w:val="22"/>
        </w:rPr>
        <w:t xml:space="preserve">is present in the genome of </w:t>
      </w:r>
      <w:r w:rsidRPr="0088306E">
        <w:rPr>
          <w:i/>
          <w:iCs/>
          <w:sz w:val="22"/>
          <w:szCs w:val="22"/>
        </w:rPr>
        <w:t>An.</w:t>
      </w:r>
      <w:r w:rsidRPr="00F77F19">
        <w:rPr>
          <w:i/>
          <w:iCs/>
          <w:sz w:val="22"/>
          <w:szCs w:val="22"/>
        </w:rPr>
        <w:t xml:space="preserve"> gambiae</w:t>
      </w:r>
      <w:r>
        <w:rPr>
          <w:sz w:val="22"/>
          <w:szCs w:val="22"/>
        </w:rPr>
        <w:t xml:space="preserve"> on chromosome arm 3L. Anopheles </w:t>
      </w:r>
      <w:proofErr w:type="spellStart"/>
      <w:r>
        <w:rPr>
          <w:sz w:val="22"/>
          <w:szCs w:val="22"/>
        </w:rPr>
        <w:t>gambiae</w:t>
      </w:r>
      <w:proofErr w:type="spellEnd"/>
      <w:r>
        <w:rPr>
          <w:sz w:val="22"/>
          <w:szCs w:val="22"/>
        </w:rPr>
        <w:t xml:space="preserve"> </w:t>
      </w:r>
      <w:proofErr w:type="spellStart"/>
      <w:r>
        <w:rPr>
          <w:sz w:val="22"/>
          <w:szCs w:val="22"/>
        </w:rPr>
        <w:t>Maf</w:t>
      </w:r>
      <w:proofErr w:type="spellEnd"/>
      <w:r>
        <w:rPr>
          <w:sz w:val="22"/>
          <w:szCs w:val="22"/>
        </w:rPr>
        <w:t xml:space="preserve">-S has two splice variants: AGAP010405-RA contains two coding exons and encodes a putative protein of 146 amino acids; AGAP010405-RB encodes a putative protein of 136 amino acids encoded by a single exon (Figure S1). Both splice variants contain the </w:t>
      </w:r>
      <w:proofErr w:type="spellStart"/>
      <w:r>
        <w:rPr>
          <w:sz w:val="22"/>
          <w:szCs w:val="22"/>
        </w:rPr>
        <w:t>bZip-Maf</w:t>
      </w:r>
      <w:proofErr w:type="spellEnd"/>
      <w:r>
        <w:rPr>
          <w:sz w:val="22"/>
          <w:szCs w:val="22"/>
        </w:rPr>
        <w:t xml:space="preserve"> domain which is a basic leucine zipper motif, allowing dimerization and DNA binding  </w:t>
      </w:r>
      <w:r w:rsidRPr="00BA40D4">
        <w:fldChar w:fldCharType="begin" w:fldLock="1"/>
      </w:r>
      <w:r w:rsidR="00323595">
        <w:rPr>
          <w:sz w:val="22"/>
          <w:szCs w:val="22"/>
        </w:rPr>
        <w:instrText>ADDIN CSL_CITATION { "citationItems" : [ { "id" : "ITEM-1", "itemData" : { "DOI" : "10.1016/j.gene.2016.03.058", "ISSN" : "1879-0038", "PMID" : "27058431", "abstract" : "The small Maf proteins (sMafs) are basic region leucine zipper (bZIP)-type transcription factors. The basic region of the Maf family is unique among the bZIP factors, and it contributes to the distinct DNA-binding mode of this class of proteins. MafF, MafG and MafK are the three vertebrate sMafs, and no functional differences have been observed among them in terms of their bZIP structures. sMafs form homodimers by themselves, and they form heterodimers with cap 'n' collar (CNC) proteins (p45 NF-E2, Nrf1, Nrf2, and Nrf3) and also with Bach proteins (Bach1 and Bach2). Because CNC and Bach proteins cannot bind to DNA as monomers, sMafs are indispensable partners that are required by CNC and Bach proteins to exert their functions. sMafs lack the transcriptional activation domain; hence, their homodimers act as transcriptional repressors. In contrast, sMafs participate in transcriptional activation or repression depending on their heterodimeric partner molecules and context. Mouse genetic analyses have revealed that various biological pathways are under the regulation of CNC-sMaf heterodimers. In this review, we summarize the history and current progress of sMaf studies in relation to their partners.", "author" : [ { "dropping-particle" : "", "family" : "Katsuoka", "given" : "Fumiki", "non-dropping-particle" : "", "parse-names" : false, "suffix" : "" }, { "dropping-particle" : "", "family" : "Yamamoto", "given" : "Masayuki", "non-dropping-particle" : "", "parse-names" : false, "suffix" : "" } ], "container-title" : "Gene", "id" : "ITEM-1", "issue" : "2", "issued" : { "date-parts" : [ [ "2016", "4", "4" ] ] }, "page" : "197-205", "title" : "Small Maf proteins (MafF, MafG, MafK): History, structure and function.", "type" : "article-journal", "volume" : "586" }, "uris" : [ "http://www.mendeley.com/documents/?uuid=26e7f786-a21a-4c67-a1e2-19129ed0625f" ] } ], "mendeley" : { "formattedCitation" : "[1]", "plainTextFormattedCitation" : "[1]", "previouslyFormattedCitation" : "(1)" }, "properties" : { "noteIndex" : 0 }, "schema" : "https://github.com/citation-style-language/schema/raw/master/csl-citation.json" }</w:instrText>
      </w:r>
      <w:r w:rsidRPr="00BA40D4">
        <w:rPr>
          <w:sz w:val="22"/>
          <w:szCs w:val="22"/>
        </w:rPr>
        <w:fldChar w:fldCharType="separate"/>
      </w:r>
      <w:r w:rsidR="00323595" w:rsidRPr="00323595">
        <w:rPr>
          <w:noProof/>
          <w:sz w:val="22"/>
          <w:szCs w:val="22"/>
        </w:rPr>
        <w:t>[1]</w:t>
      </w:r>
      <w:r w:rsidRPr="00BA40D4">
        <w:fldChar w:fldCharType="end"/>
      </w:r>
      <w:r w:rsidRPr="00BA40D4">
        <w:rPr>
          <w:sz w:val="22"/>
          <w:szCs w:val="22"/>
        </w:rPr>
        <w:t>.</w:t>
      </w:r>
    </w:p>
    <w:p w:rsidR="00985DFA" w:rsidRDefault="00985DFA" w:rsidP="00985DFA">
      <w:pPr>
        <w:spacing w:line="480" w:lineRule="auto"/>
        <w:jc w:val="both"/>
        <w:rPr>
          <w:sz w:val="22"/>
          <w:szCs w:val="22"/>
        </w:rPr>
      </w:pPr>
    </w:p>
    <w:p w:rsidR="00985DFA" w:rsidRDefault="00985DFA" w:rsidP="00985DFA">
      <w:pPr>
        <w:spacing w:line="480" w:lineRule="auto"/>
        <w:jc w:val="both"/>
      </w:pPr>
      <w:r w:rsidRPr="0088306E">
        <w:rPr>
          <w:i/>
          <w:iCs/>
          <w:sz w:val="22"/>
          <w:szCs w:val="22"/>
        </w:rPr>
        <w:t xml:space="preserve">Keap1 </w:t>
      </w:r>
      <w:r w:rsidRPr="004741B4">
        <w:rPr>
          <w:sz w:val="22"/>
          <w:szCs w:val="22"/>
        </w:rPr>
        <w:t xml:space="preserve">is present in </w:t>
      </w:r>
      <w:r w:rsidRPr="0088306E">
        <w:rPr>
          <w:i/>
          <w:iCs/>
          <w:sz w:val="22"/>
          <w:szCs w:val="22"/>
        </w:rPr>
        <w:t>An.</w:t>
      </w:r>
      <w:r w:rsidRPr="00F77F19">
        <w:rPr>
          <w:i/>
          <w:iCs/>
          <w:sz w:val="22"/>
          <w:szCs w:val="22"/>
        </w:rPr>
        <w:t xml:space="preserve"> gambiae </w:t>
      </w:r>
      <w:r w:rsidRPr="004741B4">
        <w:rPr>
          <w:sz w:val="22"/>
          <w:szCs w:val="22"/>
        </w:rPr>
        <w:t xml:space="preserve">in a </w:t>
      </w:r>
      <w:r>
        <w:rPr>
          <w:sz w:val="22"/>
          <w:szCs w:val="22"/>
        </w:rPr>
        <w:t>two</w:t>
      </w:r>
      <w:r w:rsidRPr="004741B4">
        <w:rPr>
          <w:sz w:val="22"/>
          <w:szCs w:val="22"/>
        </w:rPr>
        <w:t>-to-</w:t>
      </w:r>
      <w:r>
        <w:rPr>
          <w:sz w:val="22"/>
          <w:szCs w:val="22"/>
        </w:rPr>
        <w:t xml:space="preserve">one </w:t>
      </w:r>
      <w:r w:rsidRPr="004741B4">
        <w:rPr>
          <w:sz w:val="22"/>
          <w:szCs w:val="22"/>
        </w:rPr>
        <w:t>homology</w:t>
      </w:r>
      <w:r>
        <w:rPr>
          <w:sz w:val="22"/>
          <w:szCs w:val="22"/>
        </w:rPr>
        <w:t xml:space="preserve"> relationship with </w:t>
      </w:r>
      <w:r w:rsidRPr="0088306E">
        <w:rPr>
          <w:i/>
          <w:iCs/>
          <w:sz w:val="22"/>
          <w:szCs w:val="22"/>
        </w:rPr>
        <w:t>D.</w:t>
      </w:r>
      <w:r w:rsidRPr="00F77F19">
        <w:rPr>
          <w:i/>
          <w:iCs/>
          <w:sz w:val="22"/>
          <w:szCs w:val="22"/>
        </w:rPr>
        <w:t xml:space="preserve"> melanogaster</w:t>
      </w:r>
      <w:r w:rsidRPr="004741B4">
        <w:rPr>
          <w:sz w:val="22"/>
          <w:szCs w:val="22"/>
        </w:rPr>
        <w:t xml:space="preserve">; both </w:t>
      </w:r>
      <w:r>
        <w:rPr>
          <w:sz w:val="22"/>
          <w:szCs w:val="22"/>
        </w:rPr>
        <w:t>paralog</w:t>
      </w:r>
      <w:r w:rsidRPr="004741B4">
        <w:rPr>
          <w:sz w:val="22"/>
          <w:szCs w:val="22"/>
        </w:rPr>
        <w:t xml:space="preserve">s </w:t>
      </w:r>
      <w:r>
        <w:rPr>
          <w:sz w:val="22"/>
          <w:szCs w:val="22"/>
        </w:rPr>
        <w:t xml:space="preserve">(AGAP003645 (1014 amino acids) and AGAP012550 (256 amino acids)) </w:t>
      </w:r>
      <w:r w:rsidRPr="004741B4">
        <w:rPr>
          <w:sz w:val="22"/>
          <w:szCs w:val="22"/>
        </w:rPr>
        <w:t xml:space="preserve">are annotated as </w:t>
      </w:r>
      <w:proofErr w:type="spellStart"/>
      <w:r w:rsidRPr="004741B4">
        <w:rPr>
          <w:sz w:val="22"/>
          <w:szCs w:val="22"/>
        </w:rPr>
        <w:t>Kelch</w:t>
      </w:r>
      <w:proofErr w:type="spellEnd"/>
      <w:r w:rsidRPr="004741B4">
        <w:rPr>
          <w:sz w:val="22"/>
          <w:szCs w:val="22"/>
        </w:rPr>
        <w:t xml:space="preserve">-like proteins showing relatively low query coverage (&lt;40%) </w:t>
      </w:r>
      <w:r>
        <w:rPr>
          <w:sz w:val="22"/>
          <w:szCs w:val="22"/>
        </w:rPr>
        <w:t>but high</w:t>
      </w:r>
      <w:r w:rsidRPr="004741B4">
        <w:rPr>
          <w:sz w:val="22"/>
          <w:szCs w:val="22"/>
        </w:rPr>
        <w:t xml:space="preserve"> identity</w:t>
      </w:r>
      <w:r>
        <w:rPr>
          <w:sz w:val="22"/>
          <w:szCs w:val="22"/>
        </w:rPr>
        <w:t xml:space="preserve"> when compared to </w:t>
      </w:r>
      <w:r w:rsidRPr="0088306E">
        <w:rPr>
          <w:i/>
          <w:iCs/>
          <w:sz w:val="22"/>
          <w:szCs w:val="22"/>
        </w:rPr>
        <w:t>D.</w:t>
      </w:r>
      <w:r w:rsidRPr="00F77F19">
        <w:rPr>
          <w:i/>
          <w:iCs/>
          <w:sz w:val="22"/>
          <w:szCs w:val="22"/>
        </w:rPr>
        <w:t xml:space="preserve"> melanogaster</w:t>
      </w:r>
      <w:r>
        <w:rPr>
          <w:sz w:val="22"/>
          <w:szCs w:val="22"/>
        </w:rPr>
        <w:t xml:space="preserve"> </w:t>
      </w:r>
      <w:r w:rsidRPr="0088306E">
        <w:rPr>
          <w:i/>
          <w:iCs/>
          <w:sz w:val="22"/>
          <w:szCs w:val="22"/>
        </w:rPr>
        <w:t xml:space="preserve">Keap1 </w:t>
      </w:r>
      <w:r w:rsidRPr="00853B67">
        <w:rPr>
          <w:sz w:val="22"/>
          <w:szCs w:val="22"/>
        </w:rPr>
        <w:t>(</w:t>
      </w:r>
      <w:r w:rsidRPr="0088306E">
        <w:rPr>
          <w:i/>
          <w:iCs/>
          <w:sz w:val="22"/>
          <w:szCs w:val="22"/>
        </w:rPr>
        <w:t>CG3962</w:t>
      </w:r>
      <w:r w:rsidRPr="00853B67">
        <w:rPr>
          <w:sz w:val="22"/>
          <w:szCs w:val="22"/>
        </w:rPr>
        <w:t>)</w:t>
      </w:r>
      <w:r w:rsidRPr="0088306E">
        <w:rPr>
          <w:i/>
          <w:iCs/>
          <w:sz w:val="22"/>
          <w:szCs w:val="22"/>
        </w:rPr>
        <w:t xml:space="preserve"> </w:t>
      </w:r>
      <w:r w:rsidRPr="004741B4">
        <w:rPr>
          <w:sz w:val="22"/>
          <w:szCs w:val="22"/>
        </w:rPr>
        <w:t>of 73% and 75%</w:t>
      </w:r>
      <w:r>
        <w:rPr>
          <w:sz w:val="22"/>
          <w:szCs w:val="22"/>
        </w:rPr>
        <w:t>,</w:t>
      </w:r>
      <w:r w:rsidRPr="004741B4">
        <w:rPr>
          <w:sz w:val="22"/>
          <w:szCs w:val="22"/>
        </w:rPr>
        <w:t xml:space="preserve"> indicative of shared </w:t>
      </w:r>
      <w:r>
        <w:rPr>
          <w:sz w:val="22"/>
          <w:szCs w:val="22"/>
        </w:rPr>
        <w:t xml:space="preserve">functional </w:t>
      </w:r>
      <w:r w:rsidRPr="004741B4">
        <w:rPr>
          <w:sz w:val="22"/>
          <w:szCs w:val="22"/>
        </w:rPr>
        <w:t xml:space="preserve">domains. The two homologs of </w:t>
      </w:r>
      <w:r w:rsidRPr="0088306E">
        <w:rPr>
          <w:i/>
          <w:iCs/>
          <w:sz w:val="22"/>
          <w:szCs w:val="22"/>
        </w:rPr>
        <w:t>Keap1</w:t>
      </w:r>
      <w:r w:rsidRPr="004741B4">
        <w:rPr>
          <w:sz w:val="22"/>
          <w:szCs w:val="22"/>
        </w:rPr>
        <w:t xml:space="preserve"> present in </w:t>
      </w:r>
      <w:r w:rsidRPr="0088306E">
        <w:rPr>
          <w:i/>
          <w:iCs/>
          <w:sz w:val="22"/>
          <w:szCs w:val="22"/>
        </w:rPr>
        <w:t xml:space="preserve">Anopheles </w:t>
      </w:r>
      <w:r w:rsidRPr="004741B4">
        <w:rPr>
          <w:sz w:val="22"/>
          <w:szCs w:val="22"/>
        </w:rPr>
        <w:t xml:space="preserve">were </w:t>
      </w:r>
      <w:r>
        <w:rPr>
          <w:sz w:val="22"/>
          <w:szCs w:val="22"/>
        </w:rPr>
        <w:t xml:space="preserve">manually </w:t>
      </w:r>
      <w:r w:rsidRPr="004741B4">
        <w:rPr>
          <w:sz w:val="22"/>
          <w:szCs w:val="22"/>
        </w:rPr>
        <w:t>examined</w:t>
      </w:r>
      <w:r>
        <w:rPr>
          <w:sz w:val="22"/>
          <w:szCs w:val="22"/>
        </w:rPr>
        <w:t xml:space="preserve"> using </w:t>
      </w:r>
      <w:proofErr w:type="spellStart"/>
      <w:r>
        <w:rPr>
          <w:sz w:val="22"/>
          <w:szCs w:val="22"/>
        </w:rPr>
        <w:t>VectorBase</w:t>
      </w:r>
      <w:proofErr w:type="spellEnd"/>
      <w:r w:rsidRPr="004741B4">
        <w:rPr>
          <w:sz w:val="22"/>
          <w:szCs w:val="22"/>
        </w:rPr>
        <w:t xml:space="preserve"> for the presence of both a BTB/POZ domain and </w:t>
      </w:r>
      <w:r>
        <w:rPr>
          <w:sz w:val="22"/>
          <w:szCs w:val="22"/>
        </w:rPr>
        <w:t xml:space="preserve">the </w:t>
      </w:r>
      <w:r w:rsidRPr="004741B4">
        <w:rPr>
          <w:sz w:val="22"/>
          <w:szCs w:val="22"/>
        </w:rPr>
        <w:t xml:space="preserve">6 </w:t>
      </w:r>
      <w:proofErr w:type="spellStart"/>
      <w:r w:rsidRPr="004741B4">
        <w:rPr>
          <w:sz w:val="22"/>
          <w:szCs w:val="22"/>
        </w:rPr>
        <w:t>kelch</w:t>
      </w:r>
      <w:proofErr w:type="spellEnd"/>
      <w:r w:rsidRPr="004741B4">
        <w:rPr>
          <w:sz w:val="22"/>
          <w:szCs w:val="22"/>
        </w:rPr>
        <w:t xml:space="preserve"> repeats</w:t>
      </w:r>
      <w:r>
        <w:rPr>
          <w:sz w:val="22"/>
          <w:szCs w:val="22"/>
        </w:rPr>
        <w:t xml:space="preserve"> </w:t>
      </w:r>
      <w:r w:rsidRPr="004741B4">
        <w:rPr>
          <w:sz w:val="22"/>
          <w:szCs w:val="22"/>
        </w:rPr>
        <w:t xml:space="preserve">necessary for binding to </w:t>
      </w:r>
      <w:proofErr w:type="spellStart"/>
      <w:r w:rsidRPr="0088306E">
        <w:rPr>
          <w:i/>
          <w:iCs/>
          <w:sz w:val="22"/>
          <w:szCs w:val="22"/>
        </w:rPr>
        <w:t>cnc</w:t>
      </w:r>
      <w:proofErr w:type="spellEnd"/>
      <w:r w:rsidRPr="0088306E">
        <w:rPr>
          <w:i/>
          <w:iCs/>
          <w:sz w:val="22"/>
          <w:szCs w:val="22"/>
        </w:rPr>
        <w:t xml:space="preserve"> </w:t>
      </w:r>
      <w:r w:rsidRPr="00333EF4">
        <w:fldChar w:fldCharType="begin" w:fldLock="1"/>
      </w:r>
      <w:r w:rsidR="00323595">
        <w:rPr>
          <w:sz w:val="22"/>
          <w:szCs w:val="22"/>
        </w:rPr>
        <w:instrText>ADDIN CSL_CITATION { "citationItems" : [ { "id" : "ITEM-1", "itemData" : { "ISSN" : "1534-5807", "author" : [ { "dropping-particle" : "", "family" : "Sykiotis", "given" : "Gerasimos P", "non-dropping-particle" : "", "parse-names" : false, "suffix" : "" }, { "dropping-particle" : "", "family" : "Bohmann", "given" : "Dirk", "non-dropping-particle" : "", "parse-names" : false, "suffix" : "" } ], "container-title" : "Developmental cell", "id" : "ITEM-1", "issue" : "1", "issued" : { "date-parts" : [ [ "2008" ] ] }, "page" : "76-85", "publisher" : "Elsevier", "title" : "Keap1/Nrf2 signaling regulates oxidative stress tolerance and lifespan in Drosophila", "type" : "article-journal", "volume" : "14" }, "uris" : [ "http://www.mendeley.com/documents/?uuid=4be44ec9-1f00-4df3-a373-296e64c0a0b5" ] } ], "mendeley" : { "formattedCitation" : "[2]", "plainTextFormattedCitation" : "[2]", "previouslyFormattedCitation" : "(2)" }, "properties" : { "noteIndex" : 0 }, "schema" : "https://github.com/citation-style-language/schema/raw/master/csl-citation.json" }</w:instrText>
      </w:r>
      <w:r w:rsidRPr="00333EF4">
        <w:rPr>
          <w:sz w:val="22"/>
          <w:szCs w:val="22"/>
        </w:rPr>
        <w:fldChar w:fldCharType="separate"/>
      </w:r>
      <w:r w:rsidR="00323595" w:rsidRPr="00323595">
        <w:rPr>
          <w:noProof/>
          <w:sz w:val="22"/>
          <w:szCs w:val="22"/>
        </w:rPr>
        <w:t>[2]</w:t>
      </w:r>
      <w:r w:rsidRPr="00333EF4">
        <w:fldChar w:fldCharType="end"/>
      </w:r>
      <w:r w:rsidRPr="004741B4">
        <w:rPr>
          <w:sz w:val="22"/>
          <w:szCs w:val="22"/>
        </w:rPr>
        <w:t xml:space="preserve">. </w:t>
      </w:r>
      <w:r>
        <w:rPr>
          <w:sz w:val="22"/>
          <w:szCs w:val="22"/>
        </w:rPr>
        <w:t>Only</w:t>
      </w:r>
      <w:r w:rsidRPr="004741B4">
        <w:rPr>
          <w:sz w:val="22"/>
          <w:szCs w:val="22"/>
        </w:rPr>
        <w:t xml:space="preserve"> AGAP003645 contained </w:t>
      </w:r>
      <w:r>
        <w:rPr>
          <w:sz w:val="22"/>
          <w:szCs w:val="22"/>
        </w:rPr>
        <w:t>all these features with</w:t>
      </w:r>
      <w:r w:rsidRPr="004741B4">
        <w:rPr>
          <w:sz w:val="22"/>
          <w:szCs w:val="22"/>
        </w:rPr>
        <w:t xml:space="preserve"> AGAP012550 </w:t>
      </w:r>
      <w:r>
        <w:rPr>
          <w:sz w:val="22"/>
          <w:szCs w:val="22"/>
        </w:rPr>
        <w:t xml:space="preserve">representing a truncated version of AGAP003645, </w:t>
      </w:r>
      <w:r w:rsidRPr="004741B4">
        <w:rPr>
          <w:sz w:val="22"/>
          <w:szCs w:val="22"/>
        </w:rPr>
        <w:t xml:space="preserve">lacking </w:t>
      </w:r>
      <w:r>
        <w:rPr>
          <w:sz w:val="22"/>
          <w:szCs w:val="22"/>
        </w:rPr>
        <w:t xml:space="preserve">the </w:t>
      </w:r>
      <w:proofErr w:type="spellStart"/>
      <w:r w:rsidRPr="004741B4">
        <w:rPr>
          <w:sz w:val="22"/>
          <w:szCs w:val="22"/>
        </w:rPr>
        <w:t>ke</w:t>
      </w:r>
      <w:r w:rsidRPr="00A46FDB">
        <w:rPr>
          <w:sz w:val="22"/>
          <w:szCs w:val="22"/>
        </w:rPr>
        <w:t>lch</w:t>
      </w:r>
      <w:proofErr w:type="spellEnd"/>
      <w:r w:rsidRPr="00A46FDB">
        <w:rPr>
          <w:sz w:val="22"/>
          <w:szCs w:val="22"/>
        </w:rPr>
        <w:t xml:space="preserve"> repeats (Figure S1).</w:t>
      </w:r>
      <w:r>
        <w:rPr>
          <w:sz w:val="22"/>
          <w:szCs w:val="22"/>
        </w:rPr>
        <w:t xml:space="preserve"> </w:t>
      </w:r>
      <w:r w:rsidRPr="00A46FDB">
        <w:rPr>
          <w:sz w:val="22"/>
          <w:szCs w:val="22"/>
        </w:rPr>
        <w:t>Thus</w:t>
      </w:r>
      <w:r>
        <w:rPr>
          <w:sz w:val="22"/>
          <w:szCs w:val="22"/>
        </w:rPr>
        <w:t>,</w:t>
      </w:r>
      <w:r w:rsidRPr="00A46FDB">
        <w:rPr>
          <w:sz w:val="22"/>
          <w:szCs w:val="22"/>
        </w:rPr>
        <w:t xml:space="preserve"> AGAP003645 </w:t>
      </w:r>
      <w:r>
        <w:rPr>
          <w:sz w:val="22"/>
          <w:szCs w:val="22"/>
        </w:rPr>
        <w:t>is therefore the probable</w:t>
      </w:r>
      <w:r w:rsidRPr="00A46FDB">
        <w:rPr>
          <w:sz w:val="22"/>
          <w:szCs w:val="22"/>
        </w:rPr>
        <w:t xml:space="preserve"> </w:t>
      </w:r>
      <w:r>
        <w:rPr>
          <w:sz w:val="22"/>
          <w:szCs w:val="22"/>
        </w:rPr>
        <w:t>functional</w:t>
      </w:r>
      <w:r w:rsidRPr="00A46FDB">
        <w:rPr>
          <w:sz w:val="22"/>
          <w:szCs w:val="22"/>
        </w:rPr>
        <w:t xml:space="preserve"> ortholog of Keap1.</w:t>
      </w:r>
    </w:p>
    <w:p w:rsidR="00985DFA" w:rsidRDefault="00985DFA" w:rsidP="00985DFA">
      <w:pPr>
        <w:spacing w:line="480" w:lineRule="auto"/>
        <w:jc w:val="both"/>
      </w:pPr>
    </w:p>
    <w:p w:rsidR="00985DFA" w:rsidRDefault="00985DFA" w:rsidP="00985DFA">
      <w:pPr>
        <w:spacing w:line="480" w:lineRule="auto"/>
        <w:jc w:val="both"/>
        <w:rPr>
          <w:sz w:val="22"/>
          <w:szCs w:val="22"/>
        </w:rPr>
      </w:pPr>
      <w:r>
        <w:rPr>
          <w:sz w:val="22"/>
          <w:szCs w:val="22"/>
        </w:rPr>
        <w:t xml:space="preserve">The single ortholog of </w:t>
      </w:r>
      <w:r w:rsidRPr="0088306E">
        <w:rPr>
          <w:i/>
          <w:iCs/>
          <w:sz w:val="22"/>
          <w:szCs w:val="22"/>
        </w:rPr>
        <w:t xml:space="preserve">Drosophila </w:t>
      </w:r>
      <w:proofErr w:type="spellStart"/>
      <w:r w:rsidRPr="0088306E">
        <w:rPr>
          <w:i/>
          <w:iCs/>
          <w:sz w:val="22"/>
          <w:szCs w:val="22"/>
        </w:rPr>
        <w:t>cnc</w:t>
      </w:r>
      <w:proofErr w:type="spellEnd"/>
      <w:r w:rsidRPr="0088306E">
        <w:rPr>
          <w:i/>
          <w:iCs/>
          <w:sz w:val="22"/>
          <w:szCs w:val="22"/>
        </w:rPr>
        <w:t xml:space="preserve"> </w:t>
      </w:r>
      <w:r>
        <w:rPr>
          <w:sz w:val="22"/>
          <w:szCs w:val="22"/>
        </w:rPr>
        <w:t xml:space="preserve">found in </w:t>
      </w:r>
      <w:r w:rsidRPr="0088306E">
        <w:rPr>
          <w:i/>
          <w:iCs/>
          <w:sz w:val="22"/>
          <w:szCs w:val="22"/>
        </w:rPr>
        <w:t xml:space="preserve">An. gambiae </w:t>
      </w:r>
      <w:r>
        <w:rPr>
          <w:sz w:val="22"/>
          <w:szCs w:val="22"/>
        </w:rPr>
        <w:t>(AGAP005300)</w:t>
      </w:r>
      <w:r w:rsidRPr="0088306E">
        <w:rPr>
          <w:i/>
          <w:iCs/>
          <w:sz w:val="22"/>
          <w:szCs w:val="22"/>
        </w:rPr>
        <w:t xml:space="preserve"> </w:t>
      </w:r>
      <w:r w:rsidRPr="004741B4">
        <w:rPr>
          <w:sz w:val="22"/>
          <w:szCs w:val="22"/>
        </w:rPr>
        <w:t>is pre</w:t>
      </w:r>
      <w:r>
        <w:rPr>
          <w:sz w:val="22"/>
          <w:szCs w:val="22"/>
        </w:rPr>
        <w:t>dicted to have</w:t>
      </w:r>
      <w:r w:rsidRPr="004741B4">
        <w:rPr>
          <w:sz w:val="22"/>
          <w:szCs w:val="22"/>
        </w:rPr>
        <w:t xml:space="preserve"> three </w:t>
      </w:r>
      <w:r>
        <w:rPr>
          <w:sz w:val="22"/>
          <w:szCs w:val="22"/>
        </w:rPr>
        <w:t>iso</w:t>
      </w:r>
      <w:r w:rsidRPr="004741B4">
        <w:rPr>
          <w:sz w:val="22"/>
          <w:szCs w:val="22"/>
        </w:rPr>
        <w:t xml:space="preserve">forms: </w:t>
      </w:r>
      <w:proofErr w:type="spellStart"/>
      <w:r w:rsidRPr="0088306E">
        <w:rPr>
          <w:i/>
          <w:iCs/>
          <w:sz w:val="22"/>
          <w:szCs w:val="22"/>
        </w:rPr>
        <w:t>cncA</w:t>
      </w:r>
      <w:proofErr w:type="spellEnd"/>
      <w:r w:rsidRPr="0088306E">
        <w:rPr>
          <w:i/>
          <w:iCs/>
          <w:sz w:val="22"/>
          <w:szCs w:val="22"/>
        </w:rPr>
        <w:t xml:space="preserve">, </w:t>
      </w:r>
      <w:proofErr w:type="spellStart"/>
      <w:r w:rsidRPr="0088306E">
        <w:rPr>
          <w:i/>
          <w:iCs/>
          <w:sz w:val="22"/>
          <w:szCs w:val="22"/>
        </w:rPr>
        <w:t>cncB</w:t>
      </w:r>
      <w:proofErr w:type="spellEnd"/>
      <w:r w:rsidRPr="0088306E">
        <w:rPr>
          <w:i/>
          <w:iCs/>
          <w:sz w:val="22"/>
          <w:szCs w:val="22"/>
        </w:rPr>
        <w:t xml:space="preserve"> </w:t>
      </w:r>
      <w:r w:rsidRPr="004741B4">
        <w:rPr>
          <w:sz w:val="22"/>
          <w:szCs w:val="22"/>
        </w:rPr>
        <w:t xml:space="preserve">and </w:t>
      </w:r>
      <w:proofErr w:type="spellStart"/>
      <w:r w:rsidRPr="0088306E">
        <w:rPr>
          <w:i/>
          <w:iCs/>
          <w:sz w:val="22"/>
          <w:szCs w:val="22"/>
        </w:rPr>
        <w:t>cncC</w:t>
      </w:r>
      <w:proofErr w:type="spellEnd"/>
      <w:r w:rsidRPr="004741B4">
        <w:rPr>
          <w:sz w:val="22"/>
          <w:szCs w:val="22"/>
        </w:rPr>
        <w:t xml:space="preserve">, all splice variants contain the </w:t>
      </w:r>
      <w:proofErr w:type="spellStart"/>
      <w:r w:rsidRPr="004741B4">
        <w:rPr>
          <w:sz w:val="22"/>
          <w:szCs w:val="22"/>
        </w:rPr>
        <w:t>bZIP</w:t>
      </w:r>
      <w:proofErr w:type="spellEnd"/>
      <w:r w:rsidRPr="004741B4">
        <w:rPr>
          <w:sz w:val="22"/>
          <w:szCs w:val="22"/>
        </w:rPr>
        <w:t xml:space="preserve"> motif necessary for binding </w:t>
      </w:r>
      <w:proofErr w:type="spellStart"/>
      <w:r w:rsidRPr="0088306E">
        <w:rPr>
          <w:i/>
          <w:iCs/>
          <w:sz w:val="22"/>
          <w:szCs w:val="22"/>
        </w:rPr>
        <w:t>Maf</w:t>
      </w:r>
      <w:proofErr w:type="spellEnd"/>
      <w:r w:rsidRPr="0088306E">
        <w:rPr>
          <w:i/>
          <w:iCs/>
          <w:sz w:val="22"/>
          <w:szCs w:val="22"/>
        </w:rPr>
        <w:t>-</w:t>
      </w:r>
      <w:r w:rsidRPr="004741B4">
        <w:rPr>
          <w:sz w:val="22"/>
          <w:szCs w:val="22"/>
        </w:rPr>
        <w:t xml:space="preserve">S; however, only </w:t>
      </w:r>
      <w:proofErr w:type="spellStart"/>
      <w:r w:rsidRPr="0088306E">
        <w:rPr>
          <w:i/>
          <w:iCs/>
          <w:sz w:val="22"/>
          <w:szCs w:val="22"/>
        </w:rPr>
        <w:t>cncA</w:t>
      </w:r>
      <w:proofErr w:type="spellEnd"/>
      <w:r w:rsidRPr="0088306E">
        <w:rPr>
          <w:i/>
          <w:iCs/>
          <w:sz w:val="22"/>
          <w:szCs w:val="22"/>
        </w:rPr>
        <w:t xml:space="preserve"> </w:t>
      </w:r>
      <w:r w:rsidRPr="004741B4">
        <w:rPr>
          <w:sz w:val="22"/>
          <w:szCs w:val="22"/>
        </w:rPr>
        <w:t>and</w:t>
      </w:r>
      <w:r w:rsidRPr="0088306E">
        <w:rPr>
          <w:i/>
          <w:iCs/>
          <w:sz w:val="22"/>
          <w:szCs w:val="22"/>
        </w:rPr>
        <w:t xml:space="preserve"> </w:t>
      </w:r>
      <w:proofErr w:type="spellStart"/>
      <w:r w:rsidRPr="0088306E">
        <w:rPr>
          <w:i/>
          <w:iCs/>
          <w:sz w:val="22"/>
          <w:szCs w:val="22"/>
        </w:rPr>
        <w:t>cncB</w:t>
      </w:r>
      <w:proofErr w:type="spellEnd"/>
      <w:r w:rsidRPr="004741B4">
        <w:rPr>
          <w:sz w:val="22"/>
          <w:szCs w:val="22"/>
        </w:rPr>
        <w:t xml:space="preserve"> contain </w:t>
      </w:r>
      <w:r>
        <w:rPr>
          <w:sz w:val="22"/>
          <w:szCs w:val="22"/>
        </w:rPr>
        <w:t>an</w:t>
      </w:r>
      <w:r w:rsidRPr="004741B4">
        <w:rPr>
          <w:sz w:val="22"/>
          <w:szCs w:val="22"/>
        </w:rPr>
        <w:t xml:space="preserve"> ETGE motif </w:t>
      </w:r>
      <w:r>
        <w:rPr>
          <w:sz w:val="22"/>
          <w:szCs w:val="22"/>
        </w:rPr>
        <w:t xml:space="preserve">thought </w:t>
      </w:r>
      <w:r w:rsidRPr="004741B4">
        <w:rPr>
          <w:sz w:val="22"/>
          <w:szCs w:val="22"/>
        </w:rPr>
        <w:t xml:space="preserve">necessary to bind </w:t>
      </w:r>
      <w:r w:rsidRPr="0088306E">
        <w:rPr>
          <w:i/>
          <w:iCs/>
          <w:sz w:val="22"/>
          <w:szCs w:val="22"/>
        </w:rPr>
        <w:t xml:space="preserve">Keap1 </w:t>
      </w:r>
      <w:r w:rsidRPr="00333EF4">
        <w:fldChar w:fldCharType="begin" w:fldLock="1"/>
      </w:r>
      <w:r w:rsidR="00323595">
        <w:rPr>
          <w:i/>
          <w:sz w:val="22"/>
          <w:szCs w:val="22"/>
        </w:rPr>
        <w:instrText>ADDIN CSL_CITATION { "citationItems" : [ { "id" : "ITEM-1", "itemData" : { "ISSN" : "1365-2443", "author" : [ { "dropping-particle" : "", "family" : "Kobayashi", "given" : "Makoto", "non-dropping-particle" : "", "parse-names" : false, "suffix" : "" }, { "dropping-particle" : "", "family" : "Itoh", "given" : "Ken", "non-dropping-particle" : "", "parse-names" : false, "suffix" : "" }, { "dropping-particle" : "", "family" : "Suzuki", "given" : "Takafumi", "non-dropping-particle" : "", "parse-names" : false, "suffix" : "" }, { "dropping-particle" : "", "family" : "Osanai", "given" : "Hitoshi", "non-dropping-particle" : "", "parse-names" : false, "suffix" : "" }, { "dropping-particle" : "", "family" : "Nishikawa", "given" : "Keizo", "non-dropping-particle" : "", "parse-names" : false, "suffix" : "" }, { "dropping-particle" : "", "family" : "Katoh", "given" : "Yasutake", "non-dropping-particle" : "", "parse-names" : false, "suffix" : "" }, { "dropping-particle" : "", "family" : "Takagi", "given" : "Yaeko", "non-dropping-particle" : "", "parse-names" : false, "suffix" : "" }, { "dropping-particle" : "", "family" : "Yamamoto", "given" : "Masayuki", "non-dropping-particle" : "", "parse-names" : false, "suffix" : "" } ], "container-title" : "Genes to Cells", "id" : "ITEM-1", "issue" : "8", "issued" : { "date-parts" : [ [ "2002" ] ] }, "page" : "807-820", "publisher" : "Wiley Online Library", "title" : "Identification of the interactive interface and phylogenic conservation of the Nrf2\u2010Keap1 system", "type" : "article-journal", "volume" : "7" }, "uris" : [ "http://www.mendeley.com/documents/?uuid=ec2405bc-6aff-4c40-a262-1b4e437feb15" ] } ], "mendeley" : { "formattedCitation" : "[3]", "plainTextFormattedCitation" : "[3]", "previouslyFormattedCitation" : "(3)" }, "properties" : { "noteIndex" : 0 }, "schema" : "https://github.com/citation-style-language/schema/raw/master/csl-citation.json" }</w:instrText>
      </w:r>
      <w:r w:rsidRPr="00333EF4">
        <w:rPr>
          <w:i/>
          <w:sz w:val="22"/>
          <w:szCs w:val="22"/>
        </w:rPr>
        <w:fldChar w:fldCharType="separate"/>
      </w:r>
      <w:r w:rsidR="00323595" w:rsidRPr="00323595">
        <w:rPr>
          <w:noProof/>
          <w:sz w:val="22"/>
          <w:szCs w:val="22"/>
        </w:rPr>
        <w:t>[3]</w:t>
      </w:r>
      <w:r w:rsidRPr="00333EF4">
        <w:fldChar w:fldCharType="end"/>
      </w:r>
      <w:r w:rsidRPr="0088306E">
        <w:rPr>
          <w:i/>
          <w:iCs/>
          <w:sz w:val="22"/>
          <w:szCs w:val="22"/>
        </w:rPr>
        <w:t xml:space="preserve"> </w:t>
      </w:r>
      <w:r w:rsidRPr="004741B4">
        <w:rPr>
          <w:sz w:val="22"/>
          <w:szCs w:val="22"/>
        </w:rPr>
        <w:t>(Figure S1).</w:t>
      </w:r>
      <w:r>
        <w:rPr>
          <w:sz w:val="22"/>
          <w:szCs w:val="22"/>
        </w:rPr>
        <w:t xml:space="preserve"> </w:t>
      </w:r>
    </w:p>
    <w:p w:rsidR="00985DFA" w:rsidRDefault="00985DFA" w:rsidP="00985DFA">
      <w:pPr>
        <w:spacing w:line="480" w:lineRule="auto"/>
        <w:jc w:val="both"/>
        <w:rPr>
          <w:sz w:val="22"/>
          <w:szCs w:val="22"/>
        </w:rPr>
      </w:pPr>
    </w:p>
    <w:p w:rsidR="00985DFA" w:rsidRDefault="00985DFA" w:rsidP="00985DFA">
      <w:pPr>
        <w:spacing w:line="480" w:lineRule="auto"/>
        <w:jc w:val="both"/>
        <w:rPr>
          <w:sz w:val="22"/>
          <w:szCs w:val="22"/>
        </w:rPr>
      </w:pPr>
    </w:p>
    <w:p w:rsidR="00985DFA" w:rsidRDefault="00985DFA" w:rsidP="00985DFA">
      <w:pPr>
        <w:spacing w:line="480" w:lineRule="auto"/>
        <w:jc w:val="both"/>
        <w:rPr>
          <w:sz w:val="22"/>
          <w:szCs w:val="22"/>
        </w:rPr>
      </w:pPr>
      <w:r>
        <w:rPr>
          <w:sz w:val="22"/>
          <w:szCs w:val="22"/>
        </w:rPr>
        <w:t xml:space="preserve">Figure S1:  </w:t>
      </w:r>
      <w:r w:rsidRPr="0088306E">
        <w:rPr>
          <w:b/>
          <w:bCs/>
          <w:sz w:val="22"/>
          <w:szCs w:val="22"/>
        </w:rPr>
        <w:t xml:space="preserve">Schematic of </w:t>
      </w:r>
      <w:proofErr w:type="spellStart"/>
      <w:r w:rsidRPr="00F77F19">
        <w:rPr>
          <w:b/>
          <w:bCs/>
          <w:i/>
          <w:iCs/>
          <w:sz w:val="22"/>
          <w:szCs w:val="22"/>
        </w:rPr>
        <w:t>Maf</w:t>
      </w:r>
      <w:proofErr w:type="spellEnd"/>
      <w:r w:rsidRPr="00F77F19">
        <w:rPr>
          <w:b/>
          <w:bCs/>
          <w:i/>
          <w:iCs/>
          <w:sz w:val="22"/>
          <w:szCs w:val="22"/>
        </w:rPr>
        <w:t>-S</w:t>
      </w:r>
      <w:r w:rsidRPr="00333EF4">
        <w:rPr>
          <w:b/>
          <w:bCs/>
          <w:sz w:val="22"/>
          <w:szCs w:val="22"/>
        </w:rPr>
        <w:t xml:space="preserve"> </w:t>
      </w:r>
      <w:proofErr w:type="spellStart"/>
      <w:r w:rsidRPr="00333EF4">
        <w:rPr>
          <w:b/>
          <w:bCs/>
          <w:i/>
          <w:iCs/>
          <w:sz w:val="22"/>
          <w:szCs w:val="22"/>
        </w:rPr>
        <w:t>cnc</w:t>
      </w:r>
      <w:proofErr w:type="spellEnd"/>
      <w:r w:rsidRPr="00333EF4">
        <w:rPr>
          <w:b/>
          <w:bCs/>
          <w:i/>
          <w:iCs/>
          <w:sz w:val="22"/>
          <w:szCs w:val="22"/>
        </w:rPr>
        <w:t xml:space="preserve"> and Keap1</w:t>
      </w:r>
      <w:r w:rsidRPr="00333EF4">
        <w:rPr>
          <w:b/>
          <w:bCs/>
          <w:sz w:val="22"/>
          <w:szCs w:val="22"/>
        </w:rPr>
        <w:t xml:space="preserve"> in </w:t>
      </w:r>
      <w:proofErr w:type="gramStart"/>
      <w:r w:rsidRPr="00333EF4">
        <w:rPr>
          <w:b/>
          <w:bCs/>
          <w:i/>
          <w:iCs/>
          <w:sz w:val="22"/>
          <w:szCs w:val="22"/>
        </w:rPr>
        <w:t>An</w:t>
      </w:r>
      <w:proofErr w:type="gramEnd"/>
      <w:r w:rsidRPr="00333EF4">
        <w:rPr>
          <w:b/>
          <w:bCs/>
          <w:i/>
          <w:iCs/>
          <w:sz w:val="22"/>
          <w:szCs w:val="22"/>
        </w:rPr>
        <w:t xml:space="preserve"> gambiae</w:t>
      </w:r>
      <w:r w:rsidRPr="00333EF4">
        <w:rPr>
          <w:b/>
          <w:bCs/>
          <w:sz w:val="22"/>
          <w:szCs w:val="22"/>
        </w:rPr>
        <w:t>.</w:t>
      </w:r>
      <w:r w:rsidRPr="004741B4">
        <w:rPr>
          <w:sz w:val="22"/>
          <w:szCs w:val="22"/>
        </w:rPr>
        <w:t xml:space="preserve"> </w:t>
      </w:r>
      <w:r>
        <w:rPr>
          <w:sz w:val="22"/>
          <w:szCs w:val="22"/>
        </w:rPr>
        <w:t xml:space="preserve">The two splice variants of </w:t>
      </w:r>
      <w:proofErr w:type="spellStart"/>
      <w:r w:rsidRPr="0088306E">
        <w:rPr>
          <w:i/>
          <w:iCs/>
          <w:sz w:val="22"/>
          <w:szCs w:val="22"/>
        </w:rPr>
        <w:t>Maf</w:t>
      </w:r>
      <w:proofErr w:type="spellEnd"/>
      <w:r w:rsidRPr="0088306E">
        <w:rPr>
          <w:i/>
          <w:iCs/>
          <w:sz w:val="22"/>
          <w:szCs w:val="22"/>
        </w:rPr>
        <w:t>-S</w:t>
      </w:r>
      <w:r>
        <w:rPr>
          <w:sz w:val="22"/>
          <w:szCs w:val="22"/>
        </w:rPr>
        <w:t xml:space="preserve"> (AGAP010405) are shown with the leucine-zipper motif represented in green. Splice sites are shown by dashed black lines.  The two </w:t>
      </w:r>
      <w:r w:rsidRPr="0088306E">
        <w:rPr>
          <w:i/>
          <w:iCs/>
          <w:sz w:val="22"/>
          <w:szCs w:val="22"/>
        </w:rPr>
        <w:t>Keap</w:t>
      </w:r>
      <w:r w:rsidRPr="00F77F19">
        <w:rPr>
          <w:i/>
          <w:iCs/>
          <w:sz w:val="22"/>
          <w:szCs w:val="22"/>
        </w:rPr>
        <w:t>1</w:t>
      </w:r>
      <w:r>
        <w:rPr>
          <w:sz w:val="22"/>
          <w:szCs w:val="22"/>
        </w:rPr>
        <w:t xml:space="preserve"> homologs (AGAP003645 and AGAP012550) are shown</w:t>
      </w:r>
      <w:r w:rsidRPr="004741B4">
        <w:rPr>
          <w:sz w:val="22"/>
          <w:szCs w:val="22"/>
        </w:rPr>
        <w:t xml:space="preserve"> with </w:t>
      </w:r>
      <w:r>
        <w:rPr>
          <w:sz w:val="22"/>
          <w:szCs w:val="22"/>
        </w:rPr>
        <w:t xml:space="preserve">the </w:t>
      </w:r>
      <w:r w:rsidRPr="004741B4">
        <w:rPr>
          <w:sz w:val="22"/>
          <w:szCs w:val="22"/>
        </w:rPr>
        <w:t xml:space="preserve">BTB/POZ and </w:t>
      </w:r>
      <w:proofErr w:type="spellStart"/>
      <w:r w:rsidRPr="004741B4">
        <w:rPr>
          <w:sz w:val="22"/>
          <w:szCs w:val="22"/>
        </w:rPr>
        <w:t>Kelch</w:t>
      </w:r>
      <w:proofErr w:type="spellEnd"/>
      <w:r w:rsidRPr="004741B4">
        <w:rPr>
          <w:sz w:val="22"/>
          <w:szCs w:val="22"/>
        </w:rPr>
        <w:t xml:space="preserve"> domains represented in red and blue respectively. The presence of both these domains are necessary for </w:t>
      </w:r>
      <w:proofErr w:type="spellStart"/>
      <w:r w:rsidRPr="0088306E">
        <w:rPr>
          <w:i/>
          <w:iCs/>
          <w:sz w:val="22"/>
          <w:szCs w:val="22"/>
        </w:rPr>
        <w:t>cnc</w:t>
      </w:r>
      <w:proofErr w:type="spellEnd"/>
      <w:r w:rsidRPr="0088306E">
        <w:rPr>
          <w:i/>
          <w:iCs/>
          <w:sz w:val="22"/>
          <w:szCs w:val="22"/>
        </w:rPr>
        <w:t xml:space="preserve"> </w:t>
      </w:r>
      <w:r w:rsidRPr="004741B4">
        <w:rPr>
          <w:sz w:val="22"/>
          <w:szCs w:val="22"/>
        </w:rPr>
        <w:t>binding</w:t>
      </w:r>
      <w:r>
        <w:rPr>
          <w:sz w:val="22"/>
          <w:szCs w:val="22"/>
        </w:rPr>
        <w:t xml:space="preserve"> </w:t>
      </w:r>
      <w:r w:rsidRPr="00BA40D4">
        <w:fldChar w:fldCharType="begin" w:fldLock="1"/>
      </w:r>
      <w:r w:rsidR="00323595">
        <w:rPr>
          <w:sz w:val="22"/>
          <w:szCs w:val="22"/>
        </w:rPr>
        <w:instrText>ADDIN CSL_CITATION { "citationItems" : [ { "id" : "ITEM-1", "itemData" : { "ISSN" : "0021-9258", "author" : [ { "dropping-particle" : "", "family" : "Zipper", "given" : "Laurie M", "non-dropping-particle" : "", "parse-names" : false, "suffix" : "" }, { "dropping-particle" : "", "family" : "Mulcahy", "given" : "R Timothy", "non-dropping-particle" : "", "parse-names" : false, "suffix" : "" } ], "container-title" : "Journal of Biological Chemistry", "id" : "ITEM-1", "issue" : "39", "issued" : { "date-parts" : [ [ "2002" ] ] }, "page" : "36544-36552", "publisher" : "ASBMB", "title" : "The Keap1 BTB/POZ dimerization function is required to sequester Nrf2 in cytoplasm", "type" : "article-journal", "volume" : "277" }, "uris" : [ "http://www.mendeley.com/documents/?uuid=80892c1f-2788-4869-9b43-b86863e8d23f" ] } ], "mendeley" : { "formattedCitation" : "[4]", "plainTextFormattedCitation" : "[4]", "previouslyFormattedCitation" : "(4)" }, "properties" : { "noteIndex" : 0 }, "schema" : "https://github.com/citation-style-language/schema/raw/master/csl-citation.json" }</w:instrText>
      </w:r>
      <w:r w:rsidRPr="00BA40D4">
        <w:rPr>
          <w:sz w:val="22"/>
          <w:szCs w:val="22"/>
        </w:rPr>
        <w:fldChar w:fldCharType="separate"/>
      </w:r>
      <w:r w:rsidR="00323595" w:rsidRPr="00323595">
        <w:rPr>
          <w:noProof/>
          <w:sz w:val="22"/>
          <w:szCs w:val="22"/>
        </w:rPr>
        <w:t>[4]</w:t>
      </w:r>
      <w:r w:rsidRPr="00BA40D4">
        <w:fldChar w:fldCharType="end"/>
      </w:r>
      <w:r w:rsidRPr="00BA40D4">
        <w:rPr>
          <w:sz w:val="22"/>
          <w:szCs w:val="22"/>
        </w:rPr>
        <w:t>.</w:t>
      </w:r>
      <w:r w:rsidRPr="004741B4">
        <w:rPr>
          <w:sz w:val="22"/>
          <w:szCs w:val="22"/>
        </w:rPr>
        <w:t xml:space="preserve"> </w:t>
      </w:r>
      <w:r>
        <w:rPr>
          <w:sz w:val="22"/>
          <w:szCs w:val="22"/>
        </w:rPr>
        <w:t>The three</w:t>
      </w:r>
      <w:r w:rsidRPr="004741B4">
        <w:rPr>
          <w:sz w:val="22"/>
          <w:szCs w:val="22"/>
        </w:rPr>
        <w:t xml:space="preserve"> </w:t>
      </w:r>
      <w:proofErr w:type="spellStart"/>
      <w:r w:rsidRPr="0088306E">
        <w:rPr>
          <w:i/>
          <w:iCs/>
          <w:sz w:val="22"/>
          <w:szCs w:val="22"/>
        </w:rPr>
        <w:t>cnc</w:t>
      </w:r>
      <w:proofErr w:type="spellEnd"/>
      <w:r w:rsidRPr="0088306E">
        <w:rPr>
          <w:i/>
          <w:iCs/>
          <w:sz w:val="22"/>
          <w:szCs w:val="22"/>
        </w:rPr>
        <w:t xml:space="preserve"> </w:t>
      </w:r>
      <w:r>
        <w:rPr>
          <w:sz w:val="22"/>
          <w:szCs w:val="22"/>
        </w:rPr>
        <w:t xml:space="preserve">(AGAP005300) </w:t>
      </w:r>
      <w:r w:rsidRPr="004741B4">
        <w:rPr>
          <w:sz w:val="22"/>
          <w:szCs w:val="22"/>
        </w:rPr>
        <w:t xml:space="preserve">splice variants </w:t>
      </w:r>
      <w:proofErr w:type="spellStart"/>
      <w:r w:rsidRPr="0088306E">
        <w:rPr>
          <w:i/>
          <w:iCs/>
          <w:sz w:val="22"/>
          <w:szCs w:val="22"/>
        </w:rPr>
        <w:t>cncA</w:t>
      </w:r>
      <w:proofErr w:type="spellEnd"/>
      <w:r w:rsidRPr="0088306E">
        <w:rPr>
          <w:i/>
          <w:iCs/>
          <w:sz w:val="22"/>
          <w:szCs w:val="22"/>
        </w:rPr>
        <w:t xml:space="preserve">, </w:t>
      </w:r>
      <w:proofErr w:type="spellStart"/>
      <w:r w:rsidRPr="0088306E">
        <w:rPr>
          <w:i/>
          <w:iCs/>
          <w:sz w:val="22"/>
          <w:szCs w:val="22"/>
        </w:rPr>
        <w:t>cncB</w:t>
      </w:r>
      <w:proofErr w:type="spellEnd"/>
      <w:r w:rsidRPr="0088306E">
        <w:rPr>
          <w:i/>
          <w:iCs/>
          <w:sz w:val="22"/>
          <w:szCs w:val="22"/>
        </w:rPr>
        <w:t xml:space="preserve"> </w:t>
      </w:r>
      <w:r w:rsidRPr="004741B4">
        <w:rPr>
          <w:sz w:val="22"/>
          <w:szCs w:val="22"/>
        </w:rPr>
        <w:t xml:space="preserve">and </w:t>
      </w:r>
      <w:proofErr w:type="spellStart"/>
      <w:r w:rsidRPr="0088306E">
        <w:rPr>
          <w:i/>
          <w:iCs/>
          <w:sz w:val="22"/>
          <w:szCs w:val="22"/>
        </w:rPr>
        <w:t>cncC</w:t>
      </w:r>
      <w:proofErr w:type="spellEnd"/>
      <w:r w:rsidRPr="0088306E">
        <w:rPr>
          <w:i/>
          <w:iCs/>
          <w:sz w:val="22"/>
          <w:szCs w:val="22"/>
        </w:rPr>
        <w:t xml:space="preserve"> </w:t>
      </w:r>
      <w:r w:rsidRPr="004741B4">
        <w:rPr>
          <w:sz w:val="22"/>
          <w:szCs w:val="22"/>
        </w:rPr>
        <w:t xml:space="preserve">are illustrated with </w:t>
      </w:r>
      <w:r>
        <w:rPr>
          <w:sz w:val="22"/>
          <w:szCs w:val="22"/>
        </w:rPr>
        <w:t>the</w:t>
      </w:r>
      <w:r w:rsidRPr="004741B4">
        <w:rPr>
          <w:sz w:val="22"/>
          <w:szCs w:val="22"/>
        </w:rPr>
        <w:t xml:space="preserve"> b-zip domain and the ETGE motif in </w:t>
      </w:r>
      <w:r>
        <w:rPr>
          <w:sz w:val="22"/>
          <w:szCs w:val="22"/>
        </w:rPr>
        <w:t xml:space="preserve">yellow and </w:t>
      </w:r>
      <w:r w:rsidRPr="004741B4">
        <w:rPr>
          <w:sz w:val="22"/>
          <w:szCs w:val="22"/>
        </w:rPr>
        <w:t xml:space="preserve">black respectively. Again, the presence of both are necessary for </w:t>
      </w:r>
      <w:proofErr w:type="spellStart"/>
      <w:r w:rsidRPr="0088306E">
        <w:rPr>
          <w:i/>
          <w:iCs/>
          <w:sz w:val="22"/>
          <w:szCs w:val="22"/>
        </w:rPr>
        <w:t>Maf</w:t>
      </w:r>
      <w:proofErr w:type="spellEnd"/>
      <w:r w:rsidRPr="0088306E">
        <w:rPr>
          <w:i/>
          <w:iCs/>
          <w:sz w:val="22"/>
          <w:szCs w:val="22"/>
        </w:rPr>
        <w:t xml:space="preserve">-S </w:t>
      </w:r>
      <w:r>
        <w:rPr>
          <w:sz w:val="22"/>
          <w:szCs w:val="22"/>
        </w:rPr>
        <w:t xml:space="preserve">binding </w:t>
      </w:r>
      <w:r w:rsidRPr="00BA40D4">
        <w:fldChar w:fldCharType="begin" w:fldLock="1"/>
      </w:r>
      <w:r w:rsidR="00323595">
        <w:rPr>
          <w:sz w:val="22"/>
          <w:szCs w:val="22"/>
        </w:rPr>
        <w:instrText>ADDIN CSL_CITATION { "citationItems" : [ { "id" : "ITEM-1", "itemData" : { "ISSN" : "0270-7306", "author" : [ { "dropping-particle" : "", "family" : "Tong", "given" : "Kit I", "non-dropping-particle" : "", "parse-names" : false, "suffix" : "" }, { "dropping-particle" : "", "family" : "Katoh", "given" : "Yasutake", "non-dropping-particle" : "", "parse-names" : false, "suffix" : "" }, { "dropping-particle" : "", "family" : "Kusunoki", "given" : "Hideki", "non-dropping-particle" : "", "parse-names" : false, "suffix" : "" }, { "dropping-particle" : "", "family" : "Itoh", "given" : "Ken", "non-dropping-particle" : "", "parse-names" : false, "suffix" : "" }, { "dropping-particle" : "", "family" : "Tanaka", "given" : "Toshiyuki", "non-dropping-particle" : "", "parse-names" : false, "suffix" : "" }, { "dropping-particle" : "", "family" : "Yamamoto", "given" : "Masayuki", "non-dropping-particle" : "", "parse-names" : false, "suffix" : "" } ], "container-title" : "Molecular and cellular biology", "id" : "ITEM-1", "issue" : "8", "issued" : { "date-parts" : [ [ "2006" ] ] }, "page" : "2887-2900", "publisher" : "Am Soc Microbiol", "title" : "Keap1 recruits Neh2 through binding to ETGE and DLG motifs: characterization of the two-site molecular recognition model", "type" : "article-journal", "volume" : "26" }, "uris" : [ "http://www.mendeley.com/documents/?uuid=ea957694-7505-453a-8e2c-2ece1e51196f" ] } ], "mendeley" : { "formattedCitation" : "[5]", "plainTextFormattedCitation" : "[5]", "previouslyFormattedCitation" : "(5)" }, "properties" : { "noteIndex" : 0 }, "schema" : "https://github.com/citation-style-language/schema/raw/master/csl-citation.json" }</w:instrText>
      </w:r>
      <w:r w:rsidRPr="00BA40D4">
        <w:rPr>
          <w:sz w:val="22"/>
          <w:szCs w:val="22"/>
        </w:rPr>
        <w:fldChar w:fldCharType="separate"/>
      </w:r>
      <w:r w:rsidR="00323595" w:rsidRPr="00323595">
        <w:rPr>
          <w:noProof/>
          <w:sz w:val="22"/>
          <w:szCs w:val="22"/>
        </w:rPr>
        <w:t>[5]</w:t>
      </w:r>
      <w:r w:rsidRPr="00BA40D4">
        <w:fldChar w:fldCharType="end"/>
      </w:r>
      <w:r w:rsidRPr="00BA40D4">
        <w:rPr>
          <w:sz w:val="22"/>
          <w:szCs w:val="22"/>
        </w:rPr>
        <w:t>.</w:t>
      </w:r>
      <w:r>
        <w:rPr>
          <w:sz w:val="22"/>
          <w:szCs w:val="22"/>
        </w:rPr>
        <w:t xml:space="preserve"> </w:t>
      </w:r>
    </w:p>
    <w:p w:rsidR="00985DFA" w:rsidRDefault="00985DFA" w:rsidP="00985DFA">
      <w:pPr>
        <w:spacing w:line="480" w:lineRule="auto"/>
        <w:jc w:val="both"/>
        <w:rPr>
          <w:sz w:val="22"/>
          <w:szCs w:val="22"/>
        </w:rPr>
      </w:pPr>
    </w:p>
    <w:p w:rsidR="00985DFA" w:rsidRDefault="00985DFA" w:rsidP="00985DFA">
      <w:pPr>
        <w:spacing w:line="480" w:lineRule="auto"/>
        <w:jc w:val="both"/>
        <w:rPr>
          <w:sz w:val="22"/>
          <w:szCs w:val="22"/>
        </w:rPr>
      </w:pPr>
    </w:p>
    <w:p w:rsidR="00985DFA" w:rsidRDefault="00985DFA" w:rsidP="00985DFA">
      <w:pPr>
        <w:spacing w:line="480" w:lineRule="auto"/>
        <w:jc w:val="both"/>
        <w:rPr>
          <w:sz w:val="22"/>
          <w:szCs w:val="22"/>
        </w:rPr>
      </w:pPr>
    </w:p>
    <w:p w:rsidR="00985DFA" w:rsidRDefault="00985DFA" w:rsidP="00985DFA">
      <w:pPr>
        <w:spacing w:line="480" w:lineRule="auto"/>
        <w:jc w:val="both"/>
        <w:rPr>
          <w:sz w:val="22"/>
          <w:szCs w:val="22"/>
        </w:rPr>
      </w:pPr>
      <w:r>
        <w:rPr>
          <w:noProof/>
          <w:sz w:val="22"/>
          <w:szCs w:val="22"/>
          <w:lang w:val="en-GB" w:eastAsia="en-GB"/>
        </w:rPr>
        <w:drawing>
          <wp:inline distT="0" distB="0" distL="0" distR="0">
            <wp:extent cx="5270500" cy="1910715"/>
            <wp:effectExtent l="0" t="0" r="1270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1.png"/>
                    <pic:cNvPicPr/>
                  </pic:nvPicPr>
                  <pic:blipFill>
                    <a:blip r:embed="rId5">
                      <a:extLst>
                        <a:ext uri="{28A0092B-C50C-407E-A947-70E740481C1C}">
                          <a14:useLocalDpi xmlns:a14="http://schemas.microsoft.com/office/drawing/2010/main" val="0"/>
                        </a:ext>
                      </a:extLst>
                    </a:blip>
                    <a:stretch>
                      <a:fillRect/>
                    </a:stretch>
                  </pic:blipFill>
                  <pic:spPr>
                    <a:xfrm>
                      <a:off x="0" y="0"/>
                      <a:ext cx="5270500" cy="1910715"/>
                    </a:xfrm>
                    <a:prstGeom prst="rect">
                      <a:avLst/>
                    </a:prstGeom>
                  </pic:spPr>
                </pic:pic>
              </a:graphicData>
            </a:graphic>
          </wp:inline>
        </w:drawing>
      </w:r>
    </w:p>
    <w:p w:rsidR="00BA40D4" w:rsidRDefault="00BA40D4" w:rsidP="00985DFA">
      <w:pPr>
        <w:spacing w:line="480" w:lineRule="auto"/>
        <w:jc w:val="both"/>
        <w:rPr>
          <w:sz w:val="22"/>
          <w:szCs w:val="22"/>
        </w:rPr>
      </w:pPr>
    </w:p>
    <w:p w:rsidR="00BA40D4" w:rsidRDefault="00BA40D4" w:rsidP="00985DFA">
      <w:pPr>
        <w:spacing w:line="480" w:lineRule="auto"/>
        <w:jc w:val="both"/>
        <w:rPr>
          <w:sz w:val="22"/>
          <w:szCs w:val="22"/>
        </w:rPr>
      </w:pPr>
      <w:r>
        <w:rPr>
          <w:sz w:val="22"/>
          <w:szCs w:val="22"/>
        </w:rPr>
        <w:t>References</w:t>
      </w:r>
    </w:p>
    <w:p w:rsidR="00323595" w:rsidRPr="00323595" w:rsidRDefault="00BA40D4" w:rsidP="00323595">
      <w:pPr>
        <w:widowControl w:val="0"/>
        <w:autoSpaceDE w:val="0"/>
        <w:autoSpaceDN w:val="0"/>
        <w:adjustRightInd w:val="0"/>
        <w:spacing w:line="480" w:lineRule="auto"/>
        <w:rPr>
          <w:rFonts w:ascii="Cambria" w:hAnsi="Cambria" w:cs="Times New Roman"/>
          <w:noProof/>
          <w:sz w:val="22"/>
        </w:rPr>
      </w:pPr>
      <w:r>
        <w:rPr>
          <w:sz w:val="22"/>
          <w:szCs w:val="22"/>
        </w:rPr>
        <w:fldChar w:fldCharType="begin" w:fldLock="1"/>
      </w:r>
      <w:r>
        <w:rPr>
          <w:sz w:val="22"/>
          <w:szCs w:val="22"/>
        </w:rPr>
        <w:instrText xml:space="preserve">ADDIN Mendeley Bibliography CSL_BIBLIOGRAPHY </w:instrText>
      </w:r>
      <w:r>
        <w:rPr>
          <w:sz w:val="22"/>
          <w:szCs w:val="22"/>
        </w:rPr>
        <w:fldChar w:fldCharType="separate"/>
      </w:r>
      <w:r w:rsidR="00323595" w:rsidRPr="00323595">
        <w:rPr>
          <w:rFonts w:ascii="Cambria" w:hAnsi="Cambria" w:cs="Times New Roman"/>
          <w:noProof/>
          <w:sz w:val="22"/>
        </w:rPr>
        <w:t xml:space="preserve">1. Katsuoka F, Yamamoto M. Small Maf proteins (MafF, MafG, MafK): History, structure and function. Gene. 2016;586:197–205. </w:t>
      </w:r>
    </w:p>
    <w:p w:rsidR="00323595" w:rsidRPr="00323595" w:rsidRDefault="00323595" w:rsidP="00323595">
      <w:pPr>
        <w:widowControl w:val="0"/>
        <w:autoSpaceDE w:val="0"/>
        <w:autoSpaceDN w:val="0"/>
        <w:adjustRightInd w:val="0"/>
        <w:spacing w:line="480" w:lineRule="auto"/>
        <w:rPr>
          <w:rFonts w:ascii="Cambria" w:hAnsi="Cambria" w:cs="Times New Roman"/>
          <w:noProof/>
          <w:sz w:val="22"/>
        </w:rPr>
      </w:pPr>
      <w:r w:rsidRPr="00323595">
        <w:rPr>
          <w:rFonts w:ascii="Cambria" w:hAnsi="Cambria" w:cs="Times New Roman"/>
          <w:noProof/>
          <w:sz w:val="22"/>
        </w:rPr>
        <w:t xml:space="preserve">2. Sykiotis GP, Bohmann D. Keap1/Nrf2 signaling regulates oxidative stress tolerance and lifespan in Drosophila. Dev. Cell. Elsevier; 2008;14:76–85. </w:t>
      </w:r>
    </w:p>
    <w:p w:rsidR="00323595" w:rsidRPr="00323595" w:rsidRDefault="00323595" w:rsidP="00323595">
      <w:pPr>
        <w:widowControl w:val="0"/>
        <w:autoSpaceDE w:val="0"/>
        <w:autoSpaceDN w:val="0"/>
        <w:adjustRightInd w:val="0"/>
        <w:spacing w:line="480" w:lineRule="auto"/>
        <w:rPr>
          <w:rFonts w:ascii="Cambria" w:hAnsi="Cambria" w:cs="Times New Roman"/>
          <w:noProof/>
          <w:sz w:val="22"/>
        </w:rPr>
      </w:pPr>
      <w:r w:rsidRPr="00323595">
        <w:rPr>
          <w:rFonts w:ascii="Cambria" w:hAnsi="Cambria" w:cs="Times New Roman"/>
          <w:noProof/>
          <w:sz w:val="22"/>
        </w:rPr>
        <w:t>3. Kobayashi M, Itoh K, Suzuki T, Osanai H, Nishikawa K, Katoh Y, et al. Identification of the interactive interface and phylogenic conservation of the Nrf2</w:t>
      </w:r>
      <w:r w:rsidRPr="00323595">
        <w:rPr>
          <w:rFonts w:ascii="Cambria" w:hAnsi="Cambria" w:cs="Cambria Math"/>
          <w:noProof/>
          <w:sz w:val="22"/>
        </w:rPr>
        <w:t>‐</w:t>
      </w:r>
      <w:r w:rsidRPr="00323595">
        <w:rPr>
          <w:rFonts w:ascii="Cambria" w:hAnsi="Cambria" w:cs="Times New Roman"/>
          <w:noProof/>
          <w:sz w:val="22"/>
        </w:rPr>
        <w:t xml:space="preserve">Keap1 system. Genes to Cells. Wiley Online Library; 2002;7:807–20. </w:t>
      </w:r>
    </w:p>
    <w:p w:rsidR="00323595" w:rsidRPr="00323595" w:rsidRDefault="00323595" w:rsidP="00323595">
      <w:pPr>
        <w:widowControl w:val="0"/>
        <w:autoSpaceDE w:val="0"/>
        <w:autoSpaceDN w:val="0"/>
        <w:adjustRightInd w:val="0"/>
        <w:spacing w:line="480" w:lineRule="auto"/>
        <w:rPr>
          <w:rFonts w:ascii="Cambria" w:hAnsi="Cambria" w:cs="Times New Roman"/>
          <w:noProof/>
          <w:sz w:val="22"/>
        </w:rPr>
      </w:pPr>
      <w:r w:rsidRPr="00323595">
        <w:rPr>
          <w:rFonts w:ascii="Cambria" w:hAnsi="Cambria" w:cs="Times New Roman"/>
          <w:noProof/>
          <w:sz w:val="22"/>
        </w:rPr>
        <w:lastRenderedPageBreak/>
        <w:t xml:space="preserve">4. Zipper LM, Mulcahy RT. The Keap1 BTB/POZ dimerization function is required to sequester Nrf2 in cytoplasm. J. Biol. Chem. ASBMB; 2002;277:36544–52. </w:t>
      </w:r>
    </w:p>
    <w:p w:rsidR="00323595" w:rsidRPr="00323595" w:rsidRDefault="00323595" w:rsidP="00323595">
      <w:pPr>
        <w:widowControl w:val="0"/>
        <w:autoSpaceDE w:val="0"/>
        <w:autoSpaceDN w:val="0"/>
        <w:adjustRightInd w:val="0"/>
        <w:spacing w:line="480" w:lineRule="auto"/>
        <w:rPr>
          <w:rFonts w:ascii="Cambria" w:hAnsi="Cambria"/>
          <w:noProof/>
          <w:sz w:val="22"/>
        </w:rPr>
      </w:pPr>
      <w:r w:rsidRPr="00323595">
        <w:rPr>
          <w:rFonts w:ascii="Cambria" w:hAnsi="Cambria" w:cs="Times New Roman"/>
          <w:noProof/>
          <w:sz w:val="22"/>
        </w:rPr>
        <w:t xml:space="preserve">5. Tong KI, Katoh Y, Kusunoki H, Itoh K, Tanaka T, Yamamoto M. Keap1 recruits Neh2 through binding to ETGE and DLG motifs: characterization of the two-site molecular recognition model. Mol. Cell. Biol. Am Soc Microbiol; 2006;26:2887–900. </w:t>
      </w:r>
    </w:p>
    <w:p w:rsidR="00BA40D4" w:rsidRDefault="00BA40D4" w:rsidP="00985DFA">
      <w:pPr>
        <w:spacing w:line="480" w:lineRule="auto"/>
        <w:jc w:val="both"/>
        <w:rPr>
          <w:sz w:val="22"/>
          <w:szCs w:val="22"/>
        </w:rPr>
      </w:pPr>
      <w:r>
        <w:rPr>
          <w:sz w:val="22"/>
          <w:szCs w:val="22"/>
        </w:rPr>
        <w:fldChar w:fldCharType="end"/>
      </w:r>
      <w:bookmarkStart w:id="0" w:name="_GoBack"/>
      <w:bookmarkEnd w:id="0"/>
    </w:p>
    <w:p w:rsidR="00985DFA" w:rsidRDefault="00985DFA" w:rsidP="00985DFA">
      <w:pPr>
        <w:spacing w:line="480" w:lineRule="auto"/>
        <w:jc w:val="both"/>
        <w:rPr>
          <w:sz w:val="22"/>
          <w:szCs w:val="22"/>
        </w:rPr>
      </w:pPr>
    </w:p>
    <w:p w:rsidR="00985DFA" w:rsidRDefault="00985DFA"/>
    <w:sectPr w:rsidR="00985DFA" w:rsidSect="00D228AE">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 w:name="Times New Roman">
    <w:panose1 w:val="02020603050405020304"/>
    <w:charset w:val="00"/>
    <w:family w:val="roman"/>
    <w:pitch w:val="variable"/>
    <w:sig w:usb0="E0002EFF" w:usb1="C0007843" w:usb2="00000009" w:usb3="00000000" w:csb0="000001FF" w:csb1="00000000"/>
  </w:font>
  <w:font w:name="Lucida Grande">
    <w:altName w:val="Arial"/>
    <w:charset w:val="00"/>
    <w:family w:val="auto"/>
    <w:pitch w:val="variable"/>
    <w:sig w:usb0="E1000AEF" w:usb1="5000A1FF" w:usb2="00000000" w:usb3="00000000" w:csb0="000001B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5DFA"/>
    <w:rsid w:val="00323595"/>
    <w:rsid w:val="00985DFA"/>
    <w:rsid w:val="00BA40D4"/>
    <w:rsid w:val="00D228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C0C2E7C"/>
  <w14:defaultImageDpi w14:val="300"/>
  <w15:docId w15:val="{825EE3A9-CB97-45EF-9CB1-9FAE26A910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85DF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85DFA"/>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15AA8E-BDBB-499D-8B4A-D106A1B02A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1681</Words>
  <Characters>9587</Characters>
  <Application>Microsoft Office Word</Application>
  <DocSecurity>0</DocSecurity>
  <Lines>79</Lines>
  <Paragraphs>22</Paragraphs>
  <ScaleCrop>false</ScaleCrop>
  <Company>LSTM</Company>
  <LinksUpToDate>false</LinksUpToDate>
  <CharactersWithSpaces>11246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Hilary Ranson</dc:creator>
  <cp:keywords/>
  <dc:description/>
  <cp:lastModifiedBy>Victoria Ingham</cp:lastModifiedBy>
  <cp:revision>3</cp:revision>
  <dcterms:created xsi:type="dcterms:W3CDTF">2017-05-11T18:24:00Z</dcterms:created>
  <dcterms:modified xsi:type="dcterms:W3CDTF">2017-05-12T16:44:00Z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http://www.zotero.org/styles/bmc-genomics</vt:lpwstr>
  </property>
  <property fmtid="{D5CDD505-2E9C-101B-9397-08002B2CF9AE}" pid="3" name="Mendeley Recent Style Name 0_1">
    <vt:lpwstr>BMC Genomics</vt:lpwstr>
  </property>
  <property fmtid="{D5CDD505-2E9C-101B-9397-08002B2CF9AE}" pid="4" name="Mendeley Recent Style Id 1_1">
    <vt:lpwstr>http://www.zotero.org/styles/biochemistry-and-cell-biology</vt:lpwstr>
  </property>
  <property fmtid="{D5CDD505-2E9C-101B-9397-08002B2CF9AE}" pid="5" name="Mendeley Recent Style Name 1_1">
    <vt:lpwstr>Biochemistry and Cell Biology</vt:lpwstr>
  </property>
  <property fmtid="{D5CDD505-2E9C-101B-9397-08002B2CF9AE}" pid="6" name="Mendeley Recent Style Id 2_1">
    <vt:lpwstr>http://www.zotero.org/styles/cell</vt:lpwstr>
  </property>
  <property fmtid="{D5CDD505-2E9C-101B-9397-08002B2CF9AE}" pid="7" name="Mendeley Recent Style Name 2_1">
    <vt:lpwstr>Cell</vt:lpwstr>
  </property>
  <property fmtid="{D5CDD505-2E9C-101B-9397-08002B2CF9AE}" pid="8" name="Mendeley Recent Style Id 3_1">
    <vt:lpwstr>http://www.zotero.org/styles/ieee</vt:lpwstr>
  </property>
  <property fmtid="{D5CDD505-2E9C-101B-9397-08002B2CF9AE}" pid="9" name="Mendeley Recent Style Name 3_1">
    <vt:lpwstr>IEEE</vt:lpwstr>
  </property>
  <property fmtid="{D5CDD505-2E9C-101B-9397-08002B2CF9AE}" pid="10" name="Mendeley Recent Style Id 4_1">
    <vt:lpwstr>http://www.zotero.org/styles/malaria-journal</vt:lpwstr>
  </property>
  <property fmtid="{D5CDD505-2E9C-101B-9397-08002B2CF9AE}" pid="11" name="Mendeley Recent Style Name 4_1">
    <vt:lpwstr>Malaria Journal</vt:lpwstr>
  </property>
  <property fmtid="{D5CDD505-2E9C-101B-9397-08002B2CF9AE}" pid="12" name="Mendeley Recent Style Id 5_1">
    <vt:lpwstr>http://www.zotero.org/styles/modern-humanities-research-association</vt:lpwstr>
  </property>
  <property fmtid="{D5CDD505-2E9C-101B-9397-08002B2CF9AE}" pid="13" name="Mendeley Recent Style Name 5_1">
    <vt:lpwstr>Modern Humanities Research Association 3rd edition (note with bibliography)</vt:lpwstr>
  </property>
  <property fmtid="{D5CDD505-2E9C-101B-9397-08002B2CF9AE}" pid="14" name="Mendeley Recent Style Id 6_1">
    <vt:lpwstr>http://www.zotero.org/styles/nature</vt:lpwstr>
  </property>
  <property fmtid="{D5CDD505-2E9C-101B-9397-08002B2CF9AE}" pid="15" name="Mendeley Recent Style Name 6_1">
    <vt:lpwstr>Nature</vt:lpwstr>
  </property>
  <property fmtid="{D5CDD505-2E9C-101B-9397-08002B2CF9AE}" pid="16" name="Mendeley Recent Style Id 7_1">
    <vt:lpwstr>http://csl.mendeley.com/styles/19559271/genomebiology2</vt:lpwstr>
  </property>
  <property fmtid="{D5CDD505-2E9C-101B-9397-08002B2CF9AE}" pid="17" name="Mendeley Recent Style Name 7_1">
    <vt:lpwstr>Springer Vancouver (brackets) - Vicky Ingham</vt:lpwstr>
  </property>
  <property fmtid="{D5CDD505-2E9C-101B-9397-08002B2CF9AE}" pid="18" name="Mendeley Recent Style Id 8_1">
    <vt:lpwstr>http://www.zotero.org/styles/trends-in-cell-biology</vt:lpwstr>
  </property>
  <property fmtid="{D5CDD505-2E9C-101B-9397-08002B2CF9AE}" pid="19" name="Mendeley Recent Style Name 8_1">
    <vt:lpwstr>Trends in Cell Biology</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bab60188-7b57-3c9e-8b26-843735ec89aa</vt:lpwstr>
  </property>
  <property fmtid="{D5CDD505-2E9C-101B-9397-08002B2CF9AE}" pid="24" name="Mendeley Citation Style_1">
    <vt:lpwstr>http://www.zotero.org/styles/bmc-genomics</vt:lpwstr>
  </property>
</Properties>
</file>