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6CA" w:rsidRDefault="003413A7" w:rsidP="00BA65C0">
      <w:pPr>
        <w:widowControl w:val="0"/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Additional file 3: </w:t>
      </w:r>
      <w:r w:rsidR="003C36CA" w:rsidRPr="00A076CF">
        <w:rPr>
          <w:rFonts w:ascii="Times New Roman" w:hAnsi="Times New Roman"/>
          <w:b/>
          <w:sz w:val="24"/>
        </w:rPr>
        <w:t xml:space="preserve">Table </w:t>
      </w:r>
      <w:r w:rsidR="003C36CA">
        <w:rPr>
          <w:rFonts w:ascii="Times New Roman" w:hAnsi="Times New Roman"/>
          <w:b/>
          <w:sz w:val="24"/>
        </w:rPr>
        <w:t>S1</w:t>
      </w:r>
      <w:r w:rsidR="003C36CA">
        <w:rPr>
          <w:rFonts w:ascii="Times New Roman" w:hAnsi="Times New Roman"/>
          <w:sz w:val="24"/>
        </w:rPr>
        <w:t xml:space="preserve"> Genes with regions deviating from neutrality</w:t>
      </w:r>
      <w:r w:rsidR="00005157">
        <w:rPr>
          <w:rFonts w:ascii="Times New Roman" w:hAnsi="Times New Roman"/>
          <w:sz w:val="24"/>
        </w:rPr>
        <w:t>.</w:t>
      </w:r>
    </w:p>
    <w:tbl>
      <w:tblPr>
        <w:tblW w:w="5000" w:type="pct"/>
        <w:tblLook w:val="04A0"/>
      </w:tblPr>
      <w:tblGrid>
        <w:gridCol w:w="1334"/>
        <w:gridCol w:w="8242"/>
      </w:tblGrid>
      <w:tr w:rsidR="003C36CA" w:rsidRPr="00C70849" w:rsidTr="00993AC3">
        <w:trPr>
          <w:trHeight w:val="300"/>
        </w:trPr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4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Function*</w:t>
            </w:r>
          </w:p>
        </w:tc>
      </w:tr>
      <w:tr w:rsidR="003C36CA" w:rsidRPr="00C70849" w:rsidTr="00993AC3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Contained region(s) with positive Tajima's </w:t>
            </w:r>
            <w:r w:rsidRPr="00C7084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AQP4</w:t>
            </w:r>
          </w:p>
        </w:tc>
        <w:tc>
          <w:tcPr>
            <w:tcW w:w="43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plays a role in survival of damaged and injured proliferating cells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BCAP29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may be involved in transport of proteins from endoplasmic reticulum to Golgi complex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C1R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along with other proteins forms first part of classical pathway of complement system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C4BPA-like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regulates the classical pathway of complement system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CFH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plays an essential role in regulation of complement system activation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FCN2-like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may operate in a </w:t>
            </w:r>
            <w:proofErr w:type="spellStart"/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postreplication</w:t>
            </w:r>
            <w:proofErr w:type="spellEnd"/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repair or a cell cycle checkpoint function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IFI44-like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product forms an aggregate that creates </w:t>
            </w:r>
            <w:proofErr w:type="spellStart"/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microtubular</w:t>
            </w:r>
            <w:proofErr w:type="spellEnd"/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structures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KLRF1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involved in the regulation of Natural Killer cell function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OVOS-like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has serine-type endopeptidase inhibitor activity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SBNO1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Strawberry Notch Homolog 1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SEC61A1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may play a role in inserting secretory and membrane proteins into the endoplasmic reticulum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uncharacterized locus LOC101949947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ZP3-like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essential for sperm binding and zona matrix formation</w:t>
            </w:r>
          </w:p>
        </w:tc>
      </w:tr>
      <w:tr w:rsidR="003C36CA" w:rsidRPr="00C70849" w:rsidTr="00993AC3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Contained region(s) with negative Tajima's </w:t>
            </w:r>
            <w:r w:rsidRPr="00C7084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BMPR1A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transmembrane serine/threonine kinases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DAPK1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plays role in cell death and apoptosis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CD247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plays important role in assembly of T cell receptors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CDC37L1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complexes with Heat Shock Protein 90 (HSP90), which regulates protein folding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LCK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an important signaling molecule in selection and maturation of developing T cells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LRRC70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makes cells highly sensitive to activation by cytokines and lipopolysaccharide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LRRFIP2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may be involved with Toll-like receptor signaling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OIT3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may be involved in hepatocellular function and development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OTULIN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acts as a regulator of new blood vessel development and innate immune response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PLEKHA1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may be involved in the formation of signaling complexes in the plasma membrane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RAB17</w:t>
            </w:r>
          </w:p>
        </w:tc>
        <w:tc>
          <w:tcPr>
            <w:tcW w:w="43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plays an important role in regulation of membrane </w:t>
            </w:r>
            <w:proofErr w:type="spellStart"/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traficking</w:t>
            </w:r>
            <w:proofErr w:type="spellEnd"/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RIPK2</w:t>
            </w:r>
          </w:p>
        </w:tc>
        <w:tc>
          <w:tcPr>
            <w:tcW w:w="432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plays an essential role in modulating both the innate and adaptive branches of immune system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RPS6KA3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implicated in controlling cell growth and differentiation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TMEM125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Transmembrane Protein 125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TRIM27-like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inhibits helper T-cell activation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TRIM56-like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plays a key role in innate immunity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VAV3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acts</w:t>
            </w:r>
            <w:proofErr w:type="gramEnd"/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 guanine nucleotide exchange factors and plays important role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new blood vessel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devel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ZBP1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plays a role in innate immune response by binding to foreign DNA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ZNF271-like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zinc finger protein 271</w:t>
            </w:r>
          </w:p>
        </w:tc>
      </w:tr>
      <w:tr w:rsidR="003C36CA" w:rsidRPr="00C70849" w:rsidTr="00993AC3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Contained region(s) with positive and negative Tajima's </w:t>
            </w:r>
            <w:r w:rsidRPr="00C7084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IPO11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mediates nucleocytoplasmic transport of proteins and RNAs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SIN3A</w:t>
            </w:r>
          </w:p>
        </w:tc>
        <w:tc>
          <w:tcPr>
            <w:tcW w:w="4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acts as a transcriptional repressor</w:t>
            </w:r>
          </w:p>
        </w:tc>
      </w:tr>
      <w:tr w:rsidR="003C36CA" w:rsidRPr="00C70849" w:rsidTr="00993AC3">
        <w:trPr>
          <w:trHeight w:val="300"/>
        </w:trPr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TRAF6</w:t>
            </w:r>
          </w:p>
        </w:tc>
        <w:tc>
          <w:tcPr>
            <w:tcW w:w="4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6CA" w:rsidRPr="00C70849" w:rsidRDefault="003C36CA" w:rsidP="00BA65C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849">
              <w:rPr>
                <w:rFonts w:ascii="Times New Roman" w:eastAsia="Times New Roman" w:hAnsi="Times New Roman" w:cs="Times New Roman"/>
                <w:sz w:val="24"/>
                <w:szCs w:val="24"/>
              </w:rPr>
              <w:t>may play a role in dendritic cell maturation and activation</w:t>
            </w:r>
          </w:p>
        </w:tc>
      </w:tr>
    </w:tbl>
    <w:p w:rsidR="00C02D59" w:rsidRPr="00BA65C0" w:rsidRDefault="003C36CA" w:rsidP="00BA65C0">
      <w:pPr>
        <w:widowControl w:val="0"/>
        <w:spacing w:after="0" w:line="480" w:lineRule="auto"/>
        <w:rPr>
          <w:rFonts w:ascii="Times New Roman" w:hAnsi="Times New Roman"/>
          <w:sz w:val="24"/>
        </w:rPr>
      </w:pPr>
      <w:r w:rsidRPr="00C70849">
        <w:rPr>
          <w:rFonts w:ascii="Times New Roman" w:hAnsi="Times New Roman"/>
          <w:sz w:val="24"/>
        </w:rPr>
        <w:t xml:space="preserve">*Gene functions adapted from </w:t>
      </w:r>
      <w:r w:rsidR="00BA65C0" w:rsidRPr="00BA65C0">
        <w:rPr>
          <w:rFonts w:ascii="Times New Roman" w:hAnsi="Times New Roman"/>
          <w:sz w:val="24"/>
        </w:rPr>
        <w:t>http://www.genecards.org</w:t>
      </w:r>
      <w:bookmarkStart w:id="0" w:name="_GoBack"/>
      <w:bookmarkEnd w:id="0"/>
    </w:p>
    <w:sectPr w:rsidR="00C02D59" w:rsidRPr="00BA65C0" w:rsidSect="007F0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0"/>
  </w:docVars>
  <w:rsids>
    <w:rsidRoot w:val="00E32602"/>
    <w:rsid w:val="00005157"/>
    <w:rsid w:val="001C7EC7"/>
    <w:rsid w:val="0025036D"/>
    <w:rsid w:val="003413A7"/>
    <w:rsid w:val="003C36CA"/>
    <w:rsid w:val="0048325E"/>
    <w:rsid w:val="00520F0D"/>
    <w:rsid w:val="0059533B"/>
    <w:rsid w:val="007F0AAF"/>
    <w:rsid w:val="00905B21"/>
    <w:rsid w:val="00993AC3"/>
    <w:rsid w:val="009B26F6"/>
    <w:rsid w:val="00BA65C0"/>
    <w:rsid w:val="00C02D59"/>
    <w:rsid w:val="00E31476"/>
    <w:rsid w:val="00E32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6CA"/>
    <w:pPr>
      <w:contextualSpacing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36CA"/>
    <w:pPr>
      <w:widowControl w:val="0"/>
      <w:autoSpaceDE w:val="0"/>
      <w:autoSpaceDN w:val="0"/>
      <w:adjustRightInd w:val="0"/>
      <w:spacing w:after="0" w:line="240" w:lineRule="auto"/>
    </w:pPr>
    <w:rPr>
      <w:rFonts w:ascii="Baskerville Old Face" w:eastAsia="Times New Roman" w:hAnsi="Baskerville Old Face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6CA"/>
    <w:rPr>
      <w:rFonts w:ascii="Tahoma" w:eastAsia="Calibri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65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6CA"/>
    <w:pPr>
      <w:contextualSpacing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36CA"/>
    <w:pPr>
      <w:widowControl w:val="0"/>
      <w:autoSpaceDE w:val="0"/>
      <w:autoSpaceDN w:val="0"/>
      <w:adjustRightInd w:val="0"/>
      <w:spacing w:after="0" w:line="240" w:lineRule="auto"/>
    </w:pPr>
    <w:rPr>
      <w:rFonts w:ascii="Baskerville Old Face" w:eastAsia="Times New Roman" w:hAnsi="Baskerville Old Face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6CA"/>
    <w:rPr>
      <w:rFonts w:ascii="Tahoma" w:eastAsia="Calibri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65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2210</Characters>
  <Application>Microsoft Office Word</Application>
  <DocSecurity>0</DocSecurity>
  <Lines>315</Lines>
  <Paragraphs>298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P Elbers</dc:creator>
  <cp:lastModifiedBy>LCAYETANO</cp:lastModifiedBy>
  <cp:revision>4</cp:revision>
  <dcterms:created xsi:type="dcterms:W3CDTF">2017-03-07T15:28:00Z</dcterms:created>
  <dcterms:modified xsi:type="dcterms:W3CDTF">2018-01-16T13:40:00Z</dcterms:modified>
</cp:coreProperties>
</file>