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54" w:rsidRPr="001A0C45" w:rsidRDefault="003E4C54" w:rsidP="003E4C54">
      <w:pPr>
        <w:spacing w:line="480" w:lineRule="auto"/>
        <w:rPr>
          <w:b/>
          <w:sz w:val="28"/>
          <w:szCs w:val="28"/>
        </w:rPr>
      </w:pPr>
      <w:r w:rsidRPr="001A0C45">
        <w:rPr>
          <w:b/>
          <w:sz w:val="28"/>
          <w:szCs w:val="28"/>
        </w:rPr>
        <w:t xml:space="preserve">Genomic prediction using </w:t>
      </w:r>
      <w:proofErr w:type="spellStart"/>
      <w:r w:rsidRPr="001A0C45">
        <w:rPr>
          <w:b/>
          <w:sz w:val="28"/>
          <w:szCs w:val="28"/>
        </w:rPr>
        <w:t>DArT-Seq</w:t>
      </w:r>
      <w:proofErr w:type="spellEnd"/>
      <w:r w:rsidRPr="001A0C45">
        <w:rPr>
          <w:b/>
          <w:sz w:val="28"/>
          <w:szCs w:val="28"/>
        </w:rPr>
        <w:t xml:space="preserve"> technology for yellowtail kingfish </w:t>
      </w:r>
      <w:proofErr w:type="spellStart"/>
      <w:r>
        <w:rPr>
          <w:b/>
          <w:i/>
          <w:sz w:val="28"/>
          <w:szCs w:val="28"/>
        </w:rPr>
        <w:t>S</w:t>
      </w:r>
      <w:r w:rsidRPr="001A0C45">
        <w:rPr>
          <w:b/>
          <w:i/>
          <w:sz w:val="28"/>
          <w:szCs w:val="28"/>
        </w:rPr>
        <w:t>eriola</w:t>
      </w:r>
      <w:proofErr w:type="spellEnd"/>
      <w:r w:rsidRPr="001A0C45">
        <w:rPr>
          <w:b/>
          <w:i/>
          <w:sz w:val="28"/>
          <w:szCs w:val="28"/>
        </w:rPr>
        <w:t xml:space="preserve"> </w:t>
      </w:r>
      <w:proofErr w:type="spellStart"/>
      <w:r w:rsidRPr="001A0C45">
        <w:rPr>
          <w:b/>
          <w:i/>
          <w:sz w:val="28"/>
          <w:szCs w:val="28"/>
        </w:rPr>
        <w:t>lalandi</w:t>
      </w:r>
      <w:proofErr w:type="spellEnd"/>
    </w:p>
    <w:p w:rsidR="003E4C54" w:rsidRPr="002A78E9" w:rsidRDefault="003E4C54" w:rsidP="003E4C54">
      <w:pPr>
        <w:pStyle w:val="HTMLPreformatted"/>
        <w:spacing w:line="480" w:lineRule="auto"/>
        <w:rPr>
          <w:rFonts w:asciiTheme="minorHAnsi" w:hAnsiTheme="minorHAnsi"/>
          <w:sz w:val="22"/>
          <w:szCs w:val="22"/>
        </w:rPr>
      </w:pPr>
      <w:r w:rsidRPr="002A78E9">
        <w:rPr>
          <w:rFonts w:asciiTheme="minorHAnsi" w:hAnsiTheme="minorHAnsi"/>
          <w:sz w:val="22"/>
          <w:szCs w:val="22"/>
        </w:rPr>
        <w:t>Nguyen H Nguyen</w:t>
      </w:r>
      <w:r w:rsidRPr="002A78E9">
        <w:rPr>
          <w:rFonts w:asciiTheme="minorHAnsi" w:hAnsiTheme="minorHAnsi"/>
          <w:sz w:val="22"/>
          <w:szCs w:val="22"/>
          <w:vertAlign w:val="superscript"/>
        </w:rPr>
        <w:t>1,</w:t>
      </w:r>
      <w:r w:rsidRPr="002A78E9">
        <w:rPr>
          <w:rFonts w:asciiTheme="minorHAnsi" w:hAnsiTheme="minorHAnsi"/>
          <w:sz w:val="22"/>
          <w:szCs w:val="22"/>
        </w:rPr>
        <w:t>*, Ajith Premachandra</w:t>
      </w:r>
      <w:r w:rsidRPr="002A78E9">
        <w:rPr>
          <w:rFonts w:asciiTheme="minorHAnsi" w:hAnsiTheme="minorHAnsi"/>
          <w:sz w:val="22"/>
          <w:szCs w:val="22"/>
          <w:vertAlign w:val="superscript"/>
        </w:rPr>
        <w:t>1</w:t>
      </w:r>
      <w:r w:rsidRPr="002A78E9">
        <w:rPr>
          <w:rFonts w:asciiTheme="minorHAnsi" w:hAnsiTheme="minorHAnsi"/>
          <w:sz w:val="22"/>
          <w:szCs w:val="22"/>
        </w:rPr>
        <w:t>, Andrzej Kilian</w:t>
      </w:r>
      <w:r w:rsidRPr="002A78E9">
        <w:rPr>
          <w:rFonts w:asciiTheme="minorHAnsi" w:hAnsiTheme="minorHAnsi"/>
          <w:sz w:val="22"/>
          <w:szCs w:val="22"/>
          <w:vertAlign w:val="superscript"/>
        </w:rPr>
        <w:t>2</w:t>
      </w:r>
      <w:r w:rsidRPr="002A78E9">
        <w:rPr>
          <w:rFonts w:asciiTheme="minorHAnsi" w:hAnsiTheme="minorHAnsi"/>
          <w:sz w:val="22"/>
          <w:szCs w:val="22"/>
        </w:rPr>
        <w:t xml:space="preserve"> and Wayne Knibb</w:t>
      </w:r>
      <w:r>
        <w:rPr>
          <w:rFonts w:asciiTheme="minorHAnsi" w:hAnsiTheme="minorHAnsi"/>
          <w:sz w:val="22"/>
          <w:szCs w:val="22"/>
          <w:vertAlign w:val="superscript"/>
        </w:rPr>
        <w:t>1</w:t>
      </w:r>
    </w:p>
    <w:p w:rsidR="003E4C54" w:rsidRDefault="003E4C54" w:rsidP="003E4C54">
      <w:pPr>
        <w:spacing w:line="480" w:lineRule="auto"/>
        <w:rPr>
          <w:vertAlign w:val="superscript"/>
        </w:rPr>
      </w:pPr>
    </w:p>
    <w:p w:rsidR="003E4C54" w:rsidRPr="002A78E9" w:rsidRDefault="003E4C54" w:rsidP="003E4C54">
      <w:pPr>
        <w:spacing w:line="480" w:lineRule="auto"/>
      </w:pPr>
      <w:r w:rsidRPr="002A78E9">
        <w:rPr>
          <w:vertAlign w:val="superscript"/>
        </w:rPr>
        <w:t>1</w:t>
      </w:r>
      <w:r w:rsidRPr="002A78E9">
        <w:t>The University of the Sunshine Coast, Maroochydore DC, QLD 4558, Australia</w:t>
      </w:r>
    </w:p>
    <w:p w:rsidR="003E4C54" w:rsidRPr="002A78E9" w:rsidRDefault="003E4C54" w:rsidP="003E4C54">
      <w:pPr>
        <w:pStyle w:val="HTMLPreformatted"/>
        <w:spacing w:line="480" w:lineRule="auto"/>
        <w:rPr>
          <w:rFonts w:asciiTheme="minorHAnsi" w:hAnsiTheme="minorHAnsi"/>
          <w:sz w:val="22"/>
          <w:szCs w:val="22"/>
        </w:rPr>
      </w:pPr>
      <w:r w:rsidRPr="002A78E9">
        <w:rPr>
          <w:rFonts w:asciiTheme="minorHAnsi" w:hAnsiTheme="minorHAnsi"/>
          <w:sz w:val="22"/>
          <w:szCs w:val="22"/>
          <w:vertAlign w:val="superscript"/>
        </w:rPr>
        <w:t>2</w:t>
      </w:r>
      <w:r w:rsidRPr="002A78E9">
        <w:rPr>
          <w:rFonts w:asciiTheme="minorHAnsi" w:hAnsiTheme="minorHAnsi"/>
          <w:sz w:val="22"/>
          <w:szCs w:val="22"/>
        </w:rPr>
        <w:t xml:space="preserve">Diversity Arrays Technology Pty Ltd, </w:t>
      </w:r>
      <w:proofErr w:type="spellStart"/>
      <w:r w:rsidRPr="002A78E9">
        <w:rPr>
          <w:rFonts w:asciiTheme="minorHAnsi" w:hAnsiTheme="minorHAnsi"/>
          <w:sz w:val="22"/>
          <w:szCs w:val="22"/>
        </w:rPr>
        <w:t>Kirinari</w:t>
      </w:r>
      <w:proofErr w:type="spellEnd"/>
      <w:r w:rsidRPr="002A78E9">
        <w:rPr>
          <w:rFonts w:asciiTheme="minorHAnsi" w:hAnsiTheme="minorHAnsi"/>
          <w:sz w:val="22"/>
          <w:szCs w:val="22"/>
        </w:rPr>
        <w:t xml:space="preserve"> St. Bruce, ACT2617, Australia</w:t>
      </w:r>
    </w:p>
    <w:p w:rsidR="003E4C54" w:rsidRDefault="003E4C54" w:rsidP="000A24C0">
      <w:pPr>
        <w:spacing w:line="480" w:lineRule="auto"/>
        <w:rPr>
          <w:rStyle w:val="Hyperlink"/>
          <w:b/>
        </w:rPr>
      </w:pPr>
      <w:r w:rsidRPr="002A78E9">
        <w:rPr>
          <w:b/>
        </w:rPr>
        <w:t xml:space="preserve">*Correspondence to </w:t>
      </w:r>
      <w:hyperlink r:id="rId4" w:history="1">
        <w:r w:rsidRPr="002A78E9">
          <w:rPr>
            <w:rStyle w:val="Hyperlink"/>
            <w:b/>
          </w:rPr>
          <w:t>NNguyen@usc.edu.au</w:t>
        </w:r>
      </w:hyperlink>
    </w:p>
    <w:p w:rsidR="003E4C54" w:rsidRDefault="003E4C54" w:rsidP="000A24C0">
      <w:pPr>
        <w:spacing w:line="480" w:lineRule="auto"/>
      </w:pPr>
    </w:p>
    <w:p w:rsidR="000A24C0" w:rsidRPr="00AB0BD1" w:rsidRDefault="000A24C0" w:rsidP="000A24C0">
      <w:pPr>
        <w:spacing w:line="480" w:lineRule="auto"/>
        <w:rPr>
          <w:color w:val="FF0000"/>
        </w:rPr>
      </w:pPr>
      <w:r>
        <w:t xml:space="preserve">Table </w:t>
      </w:r>
      <w:proofErr w:type="spellStart"/>
      <w:r>
        <w:t>S1</w:t>
      </w:r>
      <w:proofErr w:type="spellEnd"/>
      <w:r>
        <w:t xml:space="preserve">. Basic statistics </w:t>
      </w:r>
      <w:r w:rsidR="00771B82">
        <w:t>of</w:t>
      </w:r>
      <w:r>
        <w:t xml:space="preserve"> the sequence data</w:t>
      </w:r>
      <w:r w:rsidR="00771B82">
        <w:t xml:space="preserve"> used</w:t>
      </w:r>
      <w:r>
        <w:t xml:space="preserve">. </w:t>
      </w:r>
    </w:p>
    <w:tbl>
      <w:tblPr>
        <w:tblStyle w:val="TableGrid"/>
        <w:tblW w:w="0" w:type="auto"/>
        <w:tblLook w:val="04A0"/>
      </w:tblPr>
      <w:tblGrid>
        <w:gridCol w:w="5382"/>
        <w:gridCol w:w="2410"/>
        <w:gridCol w:w="1224"/>
      </w:tblGrid>
      <w:tr w:rsidR="000A24C0" w:rsidTr="00547798">
        <w:tc>
          <w:tcPr>
            <w:tcW w:w="5382" w:type="dxa"/>
          </w:tcPr>
          <w:p w:rsidR="000A24C0" w:rsidRDefault="000A24C0" w:rsidP="00547798">
            <w:r>
              <w:rPr>
                <w:b/>
              </w:rPr>
              <w:t>SNP</w:t>
            </w:r>
            <w:r w:rsidRPr="000C5E7A">
              <w:rPr>
                <w:b/>
              </w:rPr>
              <w:t xml:space="preserve"> statistics</w:t>
            </w:r>
          </w:p>
        </w:tc>
        <w:tc>
          <w:tcPr>
            <w:tcW w:w="2410" w:type="dxa"/>
          </w:tcPr>
          <w:p w:rsidR="000A24C0" w:rsidRDefault="000A24C0" w:rsidP="00547798">
            <w:r>
              <w:t>Mean</w:t>
            </w:r>
          </w:p>
        </w:tc>
        <w:tc>
          <w:tcPr>
            <w:tcW w:w="1224" w:type="dxa"/>
          </w:tcPr>
          <w:p w:rsidR="000A24C0" w:rsidRDefault="000A24C0" w:rsidP="00547798">
            <w:r>
              <w:t>Range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r w:rsidRPr="00BF2C80">
              <w:t>Total SNPs</w:t>
            </w:r>
          </w:p>
        </w:tc>
        <w:tc>
          <w:tcPr>
            <w:tcW w:w="2410" w:type="dxa"/>
          </w:tcPr>
          <w:p w:rsidR="000A24C0" w:rsidRDefault="000A24C0" w:rsidP="00547798">
            <w:r>
              <w:t>14,448</w:t>
            </w:r>
          </w:p>
        </w:tc>
        <w:tc>
          <w:tcPr>
            <w:tcW w:w="1224" w:type="dxa"/>
          </w:tcPr>
          <w:p w:rsidR="000A24C0" w:rsidRDefault="000A24C0" w:rsidP="00547798"/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roofErr w:type="spellStart"/>
            <w:r w:rsidRPr="00BF2C80">
              <w:rPr>
                <w:rFonts w:cs="Tahoma"/>
                <w:color w:val="000000" w:themeColor="text1"/>
              </w:rPr>
              <w:t>AvgReadDepth</w:t>
            </w:r>
            <w:proofErr w:type="spellEnd"/>
          </w:p>
        </w:tc>
        <w:tc>
          <w:tcPr>
            <w:tcW w:w="2410" w:type="dxa"/>
          </w:tcPr>
          <w:p w:rsidR="000A24C0" w:rsidRDefault="000A24C0" w:rsidP="00547798">
            <w:r>
              <w:t>614.8</w:t>
            </w:r>
          </w:p>
        </w:tc>
        <w:tc>
          <w:tcPr>
            <w:tcW w:w="1224" w:type="dxa"/>
          </w:tcPr>
          <w:p w:rsidR="000A24C0" w:rsidRDefault="000A24C0" w:rsidP="00547798">
            <w:r>
              <w:t>3 – 363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Pr>
              <w:rPr>
                <w:rFonts w:cs="Tahoma"/>
                <w:color w:val="000000" w:themeColor="text1"/>
              </w:rPr>
            </w:pPr>
            <w:proofErr w:type="spellStart"/>
            <w:r w:rsidRPr="00BF2C80">
              <w:rPr>
                <w:rFonts w:cs="Tahoma"/>
              </w:rPr>
              <w:t>AvgCountSnp</w:t>
            </w:r>
            <w:proofErr w:type="spellEnd"/>
          </w:p>
        </w:tc>
        <w:tc>
          <w:tcPr>
            <w:tcW w:w="2410" w:type="dxa"/>
          </w:tcPr>
          <w:p w:rsidR="000A24C0" w:rsidRDefault="000A24C0" w:rsidP="00547798">
            <w:r>
              <w:t>25.9</w:t>
            </w:r>
          </w:p>
        </w:tc>
        <w:tc>
          <w:tcPr>
            <w:tcW w:w="1224" w:type="dxa"/>
          </w:tcPr>
          <w:p w:rsidR="000A24C0" w:rsidRDefault="000A24C0" w:rsidP="00547798">
            <w:r>
              <w:t>2 – 252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r w:rsidRPr="00BF2C80">
              <w:t>Call rate</w:t>
            </w:r>
          </w:p>
        </w:tc>
        <w:tc>
          <w:tcPr>
            <w:tcW w:w="2410" w:type="dxa"/>
          </w:tcPr>
          <w:p w:rsidR="000A24C0" w:rsidRDefault="000A24C0" w:rsidP="00547798">
            <w:r>
              <w:t>0.92</w:t>
            </w:r>
          </w:p>
        </w:tc>
        <w:tc>
          <w:tcPr>
            <w:tcW w:w="1224" w:type="dxa"/>
          </w:tcPr>
          <w:p w:rsidR="000A24C0" w:rsidRDefault="000A24C0" w:rsidP="00547798">
            <w:r>
              <w:t>0.39 – 1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roofErr w:type="spellStart"/>
            <w:r w:rsidRPr="00BF2C80">
              <w:rPr>
                <w:rFonts w:cs="Tahoma"/>
              </w:rPr>
              <w:t>OneRatioSnp</w:t>
            </w:r>
            <w:proofErr w:type="spellEnd"/>
            <w:r w:rsidRPr="00BF2C80">
              <w:rPr>
                <w:rFonts w:cs="Tahoma"/>
              </w:rPr>
              <w:t xml:space="preserve"> (% samples for which SNP = 1)</w:t>
            </w:r>
          </w:p>
        </w:tc>
        <w:tc>
          <w:tcPr>
            <w:tcW w:w="2410" w:type="dxa"/>
          </w:tcPr>
          <w:p w:rsidR="000A24C0" w:rsidRDefault="000A24C0" w:rsidP="00547798">
            <w:r>
              <w:t>0.25</w:t>
            </w:r>
          </w:p>
        </w:tc>
        <w:tc>
          <w:tcPr>
            <w:tcW w:w="1224" w:type="dxa"/>
          </w:tcPr>
          <w:p w:rsidR="000A24C0" w:rsidRDefault="000A24C0" w:rsidP="00547798">
            <w:r>
              <w:t>0 – 1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roofErr w:type="spellStart"/>
            <w:r w:rsidRPr="00BF2C80">
              <w:rPr>
                <w:rFonts w:cs="Tahoma"/>
              </w:rPr>
              <w:t>FreqHomSnp</w:t>
            </w:r>
            <w:proofErr w:type="spellEnd"/>
            <w:r w:rsidRPr="00BF2C80">
              <w:rPr>
                <w:rFonts w:cs="Tahoma"/>
              </w:rPr>
              <w:t xml:space="preserve"> (%samples which score homo</w:t>
            </w:r>
            <w:r>
              <w:rPr>
                <w:rFonts w:cs="Tahoma"/>
              </w:rPr>
              <w:t>zygote</w:t>
            </w:r>
            <w:r w:rsidRPr="00BF2C80">
              <w:rPr>
                <w:rFonts w:cs="Tahoma"/>
              </w:rPr>
              <w:t>)</w:t>
            </w:r>
          </w:p>
        </w:tc>
        <w:tc>
          <w:tcPr>
            <w:tcW w:w="2410" w:type="dxa"/>
          </w:tcPr>
          <w:p w:rsidR="000A24C0" w:rsidRDefault="000A24C0" w:rsidP="00547798">
            <w:r>
              <w:t>0.16</w:t>
            </w:r>
          </w:p>
        </w:tc>
        <w:tc>
          <w:tcPr>
            <w:tcW w:w="1224" w:type="dxa"/>
          </w:tcPr>
          <w:p w:rsidR="000A24C0" w:rsidRDefault="000A24C0" w:rsidP="00547798">
            <w:r>
              <w:t>0 – 1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roofErr w:type="spellStart"/>
            <w:r w:rsidRPr="00BF2C80">
              <w:rPr>
                <w:rFonts w:cs="Tahoma"/>
              </w:rPr>
              <w:t>FreqHets</w:t>
            </w:r>
            <w:proofErr w:type="spellEnd"/>
            <w:r w:rsidRPr="00BF2C80">
              <w:rPr>
                <w:rFonts w:cs="Tahoma"/>
              </w:rPr>
              <w:t xml:space="preserve"> (%samples which score hetero</w:t>
            </w:r>
            <w:r>
              <w:rPr>
                <w:rFonts w:cs="Tahoma"/>
              </w:rPr>
              <w:t>zygote</w:t>
            </w:r>
            <w:r w:rsidRPr="00BF2C80">
              <w:rPr>
                <w:rFonts w:cs="Tahoma"/>
              </w:rPr>
              <w:t>)</w:t>
            </w:r>
          </w:p>
        </w:tc>
        <w:tc>
          <w:tcPr>
            <w:tcW w:w="2410" w:type="dxa"/>
          </w:tcPr>
          <w:p w:rsidR="000A24C0" w:rsidRDefault="000A24C0" w:rsidP="00547798">
            <w:r>
              <w:t>0.09</w:t>
            </w:r>
          </w:p>
        </w:tc>
        <w:tc>
          <w:tcPr>
            <w:tcW w:w="1224" w:type="dxa"/>
          </w:tcPr>
          <w:p w:rsidR="000A24C0" w:rsidRDefault="000A24C0" w:rsidP="00547798">
            <w:r>
              <w:t>0 – 1</w:t>
            </w:r>
          </w:p>
        </w:tc>
      </w:tr>
      <w:tr w:rsidR="000A24C0" w:rsidTr="00547798">
        <w:tc>
          <w:tcPr>
            <w:tcW w:w="5382" w:type="dxa"/>
          </w:tcPr>
          <w:p w:rsidR="000A24C0" w:rsidRPr="00BF2C80" w:rsidRDefault="000A24C0" w:rsidP="00547798">
            <w:pPr>
              <w:rPr>
                <w:rFonts w:cs="Tahoma"/>
              </w:rPr>
            </w:pPr>
            <w:r w:rsidRPr="00BF2C80">
              <w:rPr>
                <w:rFonts w:cs="Tahoma"/>
              </w:rPr>
              <w:t>PIC SNP</w:t>
            </w:r>
          </w:p>
        </w:tc>
        <w:tc>
          <w:tcPr>
            <w:tcW w:w="2410" w:type="dxa"/>
          </w:tcPr>
          <w:p w:rsidR="000A24C0" w:rsidRDefault="000A24C0" w:rsidP="00547798">
            <w:r>
              <w:t>0.16</w:t>
            </w:r>
          </w:p>
        </w:tc>
        <w:tc>
          <w:tcPr>
            <w:tcW w:w="1224" w:type="dxa"/>
          </w:tcPr>
          <w:p w:rsidR="000A24C0" w:rsidRDefault="000A24C0" w:rsidP="00547798">
            <w:r>
              <w:t>0 – 0.5</w:t>
            </w:r>
          </w:p>
        </w:tc>
      </w:tr>
    </w:tbl>
    <w:p w:rsidR="000A24C0" w:rsidRDefault="000A24C0" w:rsidP="000A24C0"/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2"/>
        <w:gridCol w:w="8056"/>
      </w:tblGrid>
      <w:tr w:rsidR="000A24C0" w:rsidTr="00547798">
        <w:tc>
          <w:tcPr>
            <w:tcW w:w="1442" w:type="dxa"/>
          </w:tcPr>
          <w:p w:rsidR="000A24C0" w:rsidRDefault="000A24C0" w:rsidP="00547798">
            <w:r>
              <w:t>Call rate</w:t>
            </w:r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>The proportion of samples for which the genotype call is either '1' or '0', rather than '-'.</w:t>
            </w:r>
          </w:p>
        </w:tc>
      </w:tr>
      <w:tr w:rsidR="000A24C0" w:rsidTr="00547798">
        <w:tc>
          <w:tcPr>
            <w:tcW w:w="1442" w:type="dxa"/>
          </w:tcPr>
          <w:p w:rsidR="000A24C0" w:rsidRDefault="000A24C0" w:rsidP="00547798">
            <w:proofErr w:type="spellStart"/>
            <w:r>
              <w:t>OneRatioSNP</w:t>
            </w:r>
            <w:proofErr w:type="spellEnd"/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>The proportion of samples for which the genotype score is '1', in the SNP allele row.</w:t>
            </w:r>
          </w:p>
        </w:tc>
      </w:tr>
      <w:tr w:rsidR="000A24C0" w:rsidTr="00547798">
        <w:tc>
          <w:tcPr>
            <w:tcW w:w="1442" w:type="dxa"/>
          </w:tcPr>
          <w:p w:rsidR="000A24C0" w:rsidRDefault="000A24C0" w:rsidP="00547798">
            <w:proofErr w:type="spellStart"/>
            <w:r>
              <w:t>FredHomSNP</w:t>
            </w:r>
            <w:proofErr w:type="spellEnd"/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 xml:space="preserve">The </w:t>
            </w:r>
            <w:proofErr w:type="spellStart"/>
            <w:r w:rsidRPr="008B14A1">
              <w:rPr>
                <w:rFonts w:ascii="Calibri" w:eastAsia="Times New Roman" w:hAnsi="Calibri" w:cs="Times New Roman"/>
                <w:color w:val="000000"/>
              </w:rPr>
              <w:t>proprtion</w:t>
            </w:r>
            <w:proofErr w:type="spellEnd"/>
            <w:r w:rsidRPr="008B14A1">
              <w:rPr>
                <w:rFonts w:ascii="Calibri" w:eastAsia="Times New Roman" w:hAnsi="Calibri" w:cs="Times New Roman"/>
                <w:color w:val="000000"/>
              </w:rPr>
              <w:t xml:space="preserve"> of samples which score as homozygous for the SNP allele.</w:t>
            </w:r>
          </w:p>
        </w:tc>
      </w:tr>
      <w:tr w:rsidR="000A24C0" w:rsidTr="00547798">
        <w:tc>
          <w:tcPr>
            <w:tcW w:w="1442" w:type="dxa"/>
          </w:tcPr>
          <w:p w:rsidR="000A24C0" w:rsidRDefault="000A24C0" w:rsidP="00547798">
            <w:proofErr w:type="spellStart"/>
            <w:r>
              <w:t>FredHets</w:t>
            </w:r>
            <w:proofErr w:type="spellEnd"/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 xml:space="preserve">The </w:t>
            </w:r>
            <w:proofErr w:type="spellStart"/>
            <w:r w:rsidRPr="008B14A1">
              <w:rPr>
                <w:rFonts w:ascii="Calibri" w:eastAsia="Times New Roman" w:hAnsi="Calibri" w:cs="Times New Roman"/>
                <w:color w:val="000000"/>
              </w:rPr>
              <w:t>proprtion</w:t>
            </w:r>
            <w:proofErr w:type="spellEnd"/>
            <w:r w:rsidRPr="008B14A1">
              <w:rPr>
                <w:rFonts w:ascii="Calibri" w:eastAsia="Times New Roman" w:hAnsi="Calibri" w:cs="Times New Roman"/>
                <w:color w:val="000000"/>
              </w:rPr>
              <w:t xml:space="preserve"> of samples which score as heterozygous.</w:t>
            </w:r>
          </w:p>
        </w:tc>
      </w:tr>
      <w:tr w:rsidR="000A24C0" w:rsidTr="00547798">
        <w:tc>
          <w:tcPr>
            <w:tcW w:w="1442" w:type="dxa"/>
          </w:tcPr>
          <w:p w:rsidR="000A24C0" w:rsidRDefault="000A24C0" w:rsidP="00547798">
            <w:r>
              <w:t>PIC SNP</w:t>
            </w:r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>The polymorphism information content (PIC) of the SNP allele row.</w:t>
            </w:r>
          </w:p>
        </w:tc>
      </w:tr>
      <w:tr w:rsidR="000A24C0" w:rsidTr="00547798">
        <w:tc>
          <w:tcPr>
            <w:tcW w:w="1442" w:type="dxa"/>
          </w:tcPr>
          <w:p w:rsidR="000A24C0" w:rsidRDefault="000A24C0" w:rsidP="00547798">
            <w:proofErr w:type="spellStart"/>
            <w:r>
              <w:t>AvgCountSNP</w:t>
            </w:r>
            <w:proofErr w:type="spellEnd"/>
          </w:p>
        </w:tc>
        <w:tc>
          <w:tcPr>
            <w:tcW w:w="8056" w:type="dxa"/>
            <w:vAlign w:val="bottom"/>
          </w:tcPr>
          <w:p w:rsidR="000A24C0" w:rsidRPr="008B14A1" w:rsidRDefault="000A24C0" w:rsidP="00547798">
            <w:pPr>
              <w:rPr>
                <w:rFonts w:ascii="Calibri" w:eastAsia="Times New Roman" w:hAnsi="Calibri" w:cs="Times New Roman"/>
                <w:color w:val="000000"/>
              </w:rPr>
            </w:pPr>
            <w:r w:rsidRPr="008B14A1">
              <w:rPr>
                <w:rFonts w:ascii="Calibri" w:eastAsia="Times New Roman" w:hAnsi="Calibri" w:cs="Times New Roman"/>
                <w:color w:val="000000"/>
              </w:rPr>
              <w:t>The sum of the tag read counts for all samples, divided by the number of samples with non-zero tag read counts, for the SNP allele row.</w:t>
            </w:r>
          </w:p>
        </w:tc>
      </w:tr>
    </w:tbl>
    <w:p w:rsidR="00F8786D" w:rsidRDefault="00F8786D"/>
    <w:p w:rsidR="003E4C54" w:rsidRDefault="003E4C54">
      <w:r>
        <w:br w:type="page"/>
      </w:r>
    </w:p>
    <w:p w:rsidR="003E4C54" w:rsidRDefault="003E4C54" w:rsidP="003E4C54">
      <w:r>
        <w:lastRenderedPageBreak/>
        <w:t xml:space="preserve">Table S2: Descriptive population genetic estimates and statistics </w:t>
      </w:r>
      <w:r w:rsidR="00F97CDF">
        <w:t>of single nucleotide polymorphisms</w:t>
      </w:r>
      <w:r>
        <w:t xml:space="preserve"> </w:t>
      </w:r>
      <w:r w:rsidR="00F97CDF">
        <w:t>(</w:t>
      </w:r>
      <w:r>
        <w:t>SNPs</w:t>
      </w:r>
      <w:r w:rsidR="00F97CDF">
        <w:t>)</w:t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3256"/>
        <w:gridCol w:w="1842"/>
        <w:gridCol w:w="1843"/>
        <w:gridCol w:w="2075"/>
      </w:tblGrid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t>Markers statistics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Mean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Minimum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Maximum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Call Rate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0.98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Minor Allele Frequency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0.29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Major Allele Frequency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0.71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0.95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Expected HWE P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Minor Allele Count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428.57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752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Major Allele Count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1045.87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678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1428</w:t>
            </w:r>
          </w:p>
        </w:tc>
      </w:tr>
      <w:tr w:rsidR="003E4C54" w:rsidTr="00A12102">
        <w:tc>
          <w:tcPr>
            <w:tcW w:w="3256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Missing Allele Count</w:t>
            </w:r>
          </w:p>
        </w:tc>
        <w:tc>
          <w:tcPr>
            <w:tcW w:w="1842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29.56</w:t>
            </w:r>
          </w:p>
        </w:tc>
        <w:tc>
          <w:tcPr>
            <w:tcW w:w="1843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2075" w:type="dxa"/>
            <w:vAlign w:val="bottom"/>
          </w:tcPr>
          <w:p w:rsidR="003E4C54" w:rsidRDefault="003E4C54" w:rsidP="00A1210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150</w:t>
            </w:r>
          </w:p>
        </w:tc>
      </w:tr>
    </w:tbl>
    <w:p w:rsidR="003E4C54" w:rsidRDefault="003E4C54" w:rsidP="003E4C54"/>
    <w:p w:rsidR="003E4C54" w:rsidRDefault="003E4C54"/>
    <w:sectPr w:rsidR="003E4C54" w:rsidSect="00210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docVars>
    <w:docVar w:name="Total_Editing_Time" w:val="2"/>
  </w:docVars>
  <w:rsids>
    <w:rsidRoot w:val="000A24C0"/>
    <w:rsid w:val="000A24C0"/>
    <w:rsid w:val="002105AB"/>
    <w:rsid w:val="003E4C54"/>
    <w:rsid w:val="004A1947"/>
    <w:rsid w:val="005C6FDD"/>
    <w:rsid w:val="00771B82"/>
    <w:rsid w:val="00F8786D"/>
    <w:rsid w:val="00F9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E4C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4C54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4C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Nguyen@usc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1447</Characters>
  <Application>Microsoft Office Word</Application>
  <DocSecurity>0</DocSecurity>
  <Lines>90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Nguyen</dc:creator>
  <cp:keywords/>
  <dc:description/>
  <cp:lastModifiedBy>S3G_Apply_Fixed_Case</cp:lastModifiedBy>
  <cp:revision>6</cp:revision>
  <dcterms:created xsi:type="dcterms:W3CDTF">2016-12-08T22:46:00Z</dcterms:created>
  <dcterms:modified xsi:type="dcterms:W3CDTF">2018-01-25T12:39:00Z</dcterms:modified>
</cp:coreProperties>
</file>