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831" w:rsidRPr="00605DF4" w:rsidRDefault="00F83831" w:rsidP="00F83831">
      <w:pPr>
        <w:jc w:val="center"/>
        <w:rPr>
          <w:rFonts w:cs="Times New Roman"/>
          <w:color w:val="000000" w:themeColor="text1"/>
        </w:rPr>
      </w:pPr>
      <w:bookmarkStart w:id="0" w:name="_GoBack"/>
      <w:r w:rsidRPr="00605DF4">
        <w:rPr>
          <w:rFonts w:cs="Times New Roman"/>
          <w:noProof/>
          <w:color w:val="000000" w:themeColor="text1"/>
          <w:lang w:val="en-GB" w:eastAsia="en-GB"/>
        </w:rPr>
        <w:drawing>
          <wp:inline distT="0" distB="0" distL="0" distR="0" wp14:anchorId="4D2AEBB4" wp14:editId="02A148B6">
            <wp:extent cx="5274310" cy="8258810"/>
            <wp:effectExtent l="0" t="0" r="2540" b="8890"/>
            <wp:docPr id="6" name="图片 6" descr="J:\数据\Related Researchers\14博   武剑\manuscript  3   建库方法\A versatile NGS library construction method TLPS\Figures new\Supporting Figure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数据\Related Researchers\14博   武剑\manuscript  3   建库方法\A versatile NGS library construction method TLPS\Figures new\Supporting Figure 4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33965" w:rsidRPr="00A569B4" w:rsidRDefault="00F83831" w:rsidP="00F83831">
      <w:proofErr w:type="gramStart"/>
      <w:r w:rsidRPr="00605DF4">
        <w:rPr>
          <w:rFonts w:cs="Times New Roman"/>
          <w:b/>
          <w:color w:val="000000" w:themeColor="text1"/>
        </w:rPr>
        <w:lastRenderedPageBreak/>
        <w:t>Fig.</w:t>
      </w:r>
      <w:proofErr w:type="gramEnd"/>
      <w:r w:rsidRPr="00605DF4">
        <w:rPr>
          <w:rFonts w:cs="Times New Roman"/>
          <w:b/>
          <w:color w:val="000000" w:themeColor="text1"/>
        </w:rPr>
        <w:t xml:space="preserve"> </w:t>
      </w:r>
      <w:r>
        <w:rPr>
          <w:rFonts w:cs="Times New Roman"/>
          <w:b/>
          <w:color w:val="000000" w:themeColor="text1"/>
        </w:rPr>
        <w:t>S</w:t>
      </w:r>
      <w:r w:rsidRPr="00605DF4">
        <w:rPr>
          <w:rFonts w:cs="Times New Roman"/>
          <w:b/>
          <w:color w:val="000000" w:themeColor="text1"/>
        </w:rPr>
        <w:t xml:space="preserve">6. Comparison of the distribution of Hind III digestion library reads density and Hind III restriction sites through the whole genome. </w:t>
      </w:r>
      <w:r w:rsidRPr="00605DF4">
        <w:rPr>
          <w:rFonts w:cs="Times New Roman"/>
          <w:color w:val="000000" w:themeColor="text1"/>
        </w:rPr>
        <w:t xml:space="preserve">The Hind III digestion library reads density and Hind III restriction sites density were calculated through the whole genome scale with 1M window. </w:t>
      </w:r>
    </w:p>
    <w:sectPr w:rsidR="00033965" w:rsidRPr="00A56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65"/>
    <w:rsid w:val="00033965"/>
    <w:rsid w:val="00092624"/>
    <w:rsid w:val="001B6D52"/>
    <w:rsid w:val="00230EE2"/>
    <w:rsid w:val="0025234D"/>
    <w:rsid w:val="004850C6"/>
    <w:rsid w:val="0071498D"/>
    <w:rsid w:val="009C5AA2"/>
    <w:rsid w:val="00A569B4"/>
    <w:rsid w:val="00DE79B0"/>
    <w:rsid w:val="00F8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Glover, Catherine, BioMed Central Ltd.</cp:lastModifiedBy>
  <cp:revision>2</cp:revision>
  <dcterms:created xsi:type="dcterms:W3CDTF">2018-04-17T13:31:00Z</dcterms:created>
  <dcterms:modified xsi:type="dcterms:W3CDTF">2018-04-17T13:31:00Z</dcterms:modified>
</cp:coreProperties>
</file>