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624" w:rsidRPr="00605DF4" w:rsidRDefault="00092624" w:rsidP="00092624">
      <w:pPr>
        <w:jc w:val="center"/>
        <w:rPr>
          <w:rFonts w:cs="Times New Roman"/>
          <w:color w:val="000000" w:themeColor="text1"/>
        </w:rPr>
      </w:pPr>
      <w:bookmarkStart w:id="0" w:name="_GoBack"/>
      <w:bookmarkEnd w:id="0"/>
      <w:r w:rsidRPr="00605DF4">
        <w:rPr>
          <w:rFonts w:cs="Times New Roman"/>
          <w:noProof/>
          <w:color w:val="000000" w:themeColor="text1"/>
          <w:lang w:val="en-GB" w:eastAsia="en-GB"/>
        </w:rPr>
        <w:drawing>
          <wp:inline distT="0" distB="0" distL="0" distR="0" wp14:anchorId="403EF990" wp14:editId="4AF8EED7">
            <wp:extent cx="4890828" cy="4081882"/>
            <wp:effectExtent l="0" t="0" r="5080" b="0"/>
            <wp:docPr id="7" name="图片 7" descr="G:\manuscripts\Sequencing library construction\BMC Genomics审稿意见\Revise plots\useless production V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nuscripts\Sequencing library construction\BMC Genomics审稿意见\Revise plots\useless production V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545" cy="409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624" w:rsidRPr="00605DF4" w:rsidRDefault="00092624" w:rsidP="00092624">
      <w:pPr>
        <w:rPr>
          <w:color w:val="000000" w:themeColor="text1"/>
        </w:rPr>
      </w:pPr>
      <w:proofErr w:type="gramStart"/>
      <w:r w:rsidRPr="00605DF4">
        <w:rPr>
          <w:rFonts w:hint="eastAsia"/>
          <w:b/>
          <w:color w:val="000000" w:themeColor="text1"/>
        </w:rPr>
        <w:t>Fig</w:t>
      </w:r>
      <w:r w:rsidRPr="00605DF4">
        <w:rPr>
          <w:b/>
          <w:color w:val="000000" w:themeColor="text1"/>
        </w:rPr>
        <w:t>.</w:t>
      </w:r>
      <w:r w:rsidRPr="00605DF4">
        <w:rPr>
          <w:rFonts w:hint="eastAsia"/>
          <w:b/>
          <w:color w:val="000000" w:themeColor="text1"/>
        </w:rPr>
        <w:t xml:space="preserve"> </w:t>
      </w:r>
      <w:r w:rsidR="004809CF">
        <w:rPr>
          <w:b/>
          <w:color w:val="000000" w:themeColor="text1"/>
        </w:rPr>
        <w:t>s</w:t>
      </w:r>
      <w:r w:rsidRPr="00605DF4">
        <w:rPr>
          <w:b/>
          <w:color w:val="000000" w:themeColor="text1"/>
        </w:rPr>
        <w:t>3.</w:t>
      </w:r>
      <w:proofErr w:type="gramEnd"/>
      <w:r w:rsidRPr="00605DF4">
        <w:rPr>
          <w:b/>
          <w:color w:val="000000" w:themeColor="text1"/>
        </w:rPr>
        <w:t xml:space="preserve"> </w:t>
      </w:r>
      <w:proofErr w:type="gramStart"/>
      <w:r w:rsidRPr="00605DF4">
        <w:rPr>
          <w:b/>
          <w:color w:val="000000" w:themeColor="text1"/>
        </w:rPr>
        <w:t>Verification of the ligation efficiency of SSA adaptors.</w:t>
      </w:r>
      <w:proofErr w:type="gramEnd"/>
      <w:r w:rsidRPr="00605DF4">
        <w:rPr>
          <w:color w:val="000000" w:themeColor="text1"/>
        </w:rPr>
        <w:t xml:space="preserve"> (A) Schematic of </w:t>
      </w:r>
      <w:proofErr w:type="spellStart"/>
      <w:r w:rsidRPr="00605DF4">
        <w:rPr>
          <w:color w:val="000000" w:themeColor="text1"/>
        </w:rPr>
        <w:t>tagmentated</w:t>
      </w:r>
      <w:proofErr w:type="spellEnd"/>
      <w:r w:rsidRPr="00605DF4">
        <w:rPr>
          <w:color w:val="000000" w:themeColor="text1"/>
        </w:rPr>
        <w:t xml:space="preserve">-based SALP with successful SSA adaptor ligation. The fragments ligated with SSA-3N were amplified with PCR by </w:t>
      </w:r>
      <w:proofErr w:type="gramStart"/>
      <w:r w:rsidRPr="00605DF4">
        <w:rPr>
          <w:color w:val="000000" w:themeColor="text1"/>
        </w:rPr>
        <w:t>using</w:t>
      </w:r>
      <w:proofErr w:type="gramEnd"/>
      <w:r w:rsidRPr="00605DF4">
        <w:rPr>
          <w:color w:val="000000" w:themeColor="text1"/>
        </w:rPr>
        <w:t xml:space="preserve"> a single primer annealing to Tn5 adaptors for 35 cycles to check the ligation efficiency. (B) The </w:t>
      </w:r>
      <w:proofErr w:type="spellStart"/>
      <w:r w:rsidRPr="00605DF4">
        <w:rPr>
          <w:color w:val="000000" w:themeColor="text1"/>
        </w:rPr>
        <w:t>agarose</w:t>
      </w:r>
      <w:proofErr w:type="spellEnd"/>
      <w:r w:rsidRPr="00605DF4">
        <w:rPr>
          <w:color w:val="000000" w:themeColor="text1"/>
        </w:rPr>
        <w:t xml:space="preserve"> gel showing successful ligation of different SSA adaptors. Four SALP reactions were </w:t>
      </w:r>
      <w:proofErr w:type="gramStart"/>
      <w:r w:rsidRPr="00605DF4">
        <w:rPr>
          <w:color w:val="000000" w:themeColor="text1"/>
        </w:rPr>
        <w:t>performed,</w:t>
      </w:r>
      <w:proofErr w:type="gramEnd"/>
      <w:r w:rsidRPr="00605DF4">
        <w:rPr>
          <w:color w:val="000000" w:themeColor="text1"/>
        </w:rPr>
        <w:t xml:space="preserve"> each contained one of SSAs (1N‒4N). After elongation, the products were amplified with PCR by using a single primer annealing to Tn5 adaptor. A PCR negative control was also performed. The PCR products were run with </w:t>
      </w:r>
      <w:proofErr w:type="spellStart"/>
      <w:r w:rsidRPr="00605DF4">
        <w:rPr>
          <w:color w:val="000000" w:themeColor="text1"/>
        </w:rPr>
        <w:t>agarose</w:t>
      </w:r>
      <w:proofErr w:type="spellEnd"/>
      <w:r w:rsidRPr="00605DF4">
        <w:rPr>
          <w:color w:val="000000" w:themeColor="text1"/>
        </w:rPr>
        <w:t xml:space="preserve"> gel. (C) Schematic of a useless PCR amplification with a single primer annealing to Tn5 adaptors. (D) The </w:t>
      </w:r>
      <w:proofErr w:type="spellStart"/>
      <w:r w:rsidRPr="00605DF4">
        <w:rPr>
          <w:color w:val="000000" w:themeColor="text1"/>
        </w:rPr>
        <w:t>agarose</w:t>
      </w:r>
      <w:proofErr w:type="spellEnd"/>
      <w:r w:rsidRPr="00605DF4">
        <w:rPr>
          <w:color w:val="000000" w:themeColor="text1"/>
        </w:rPr>
        <w:t xml:space="preserve"> gel showing ligation efficiency of SSA adaptors. Two SALP reactions were performed. One was added with SSA-3N in the SSA ligation step (SSA-3N+). The other was not added with SSA-3N in the SSA ligation step (SSA-3N-). After elongation, the products were amplified with PCR by using a single primer annealing to Tn5 adaptor. The PCR products were run with </w:t>
      </w:r>
      <w:proofErr w:type="spellStart"/>
      <w:r w:rsidRPr="00605DF4">
        <w:rPr>
          <w:color w:val="000000" w:themeColor="text1"/>
        </w:rPr>
        <w:t>agarose</w:t>
      </w:r>
      <w:proofErr w:type="spellEnd"/>
      <w:r w:rsidRPr="00605DF4">
        <w:rPr>
          <w:color w:val="000000" w:themeColor="text1"/>
        </w:rPr>
        <w:t xml:space="preserve"> gel. It can be seen that the SSA ligation prevented the single-primer PCR amplification, indicating the successful and high-efficiency SSA ligation in SALP method (B and D). </w:t>
      </w:r>
    </w:p>
    <w:p w:rsidR="00033965" w:rsidRPr="00A569B4" w:rsidRDefault="00033965" w:rsidP="00A569B4"/>
    <w:sectPr w:rsidR="00033965" w:rsidRPr="00A5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092624"/>
    <w:rsid w:val="001B6D52"/>
    <w:rsid w:val="002C02B6"/>
    <w:rsid w:val="004809CF"/>
    <w:rsid w:val="004850C6"/>
    <w:rsid w:val="009C5AA2"/>
    <w:rsid w:val="00A569B4"/>
    <w:rsid w:val="00DE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Glover, Catherine, BioMed Central Ltd.</cp:lastModifiedBy>
  <cp:revision>2</cp:revision>
  <dcterms:created xsi:type="dcterms:W3CDTF">2018-04-17T13:47:00Z</dcterms:created>
  <dcterms:modified xsi:type="dcterms:W3CDTF">2018-04-17T13:47:00Z</dcterms:modified>
</cp:coreProperties>
</file>