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ackground w:color="FFFFFF"/>
  <w:body>
    <w:p w:rsidR="00000000" w:rsidDel="00000000" w:rsidP="00000000" w:rsidRDefault="00000000" w:rsidRPr="00000000">
      <w:pPr>
        <w:pStyle w:val="Heading1"/>
        <w:keepNext w:val="0"/>
        <w:keepLines w:val="0"/>
        <w:spacing w:after="0" w:before="480" w:line="240" w:lineRule="auto"/>
        <w:contextualSpacing w:val="0"/>
        <w:rPr>
          <w:rFonts w:ascii="Proxima Nova" w:cs="Proxima Nova" w:eastAsia="Proxima Nova" w:hAnsi="Proxima Nova"/>
          <w:color w:val="353744"/>
          <w:sz w:val="20"/>
          <w:szCs w:val="20"/>
        </w:rPr>
      </w:pPr>
      <w:bookmarkStart w:colFirst="0" w:colLast="0" w:name="_srxupkytrq1y" w:id="0"/>
      <w:bookmarkEnd w:id="0"/>
      <w:r w:rsidDel="00000000" w:rsidR="00000000" w:rsidRPr="00000000">
        <w:rPr>
          <w:rFonts w:ascii="Proxima Nova" w:cs="Proxima Nova" w:eastAsia="Proxima Nova" w:hAnsi="Proxima Nova"/>
          <w:color w:val="353744"/>
          <w:sz w:val="20"/>
          <w:szCs w:val="20"/>
          <w:rtl w:val="0"/>
        </w:rPr>
        <w:t xml:space="preserve">Table S1. Ribosome profiling datasets used in this study (Human)</w:t>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r>
    </w:p>
    <w:tbl>
      <w:tblPr>
        <w:tblStyle w:val="Table1"/>
        <w:tblW w:w="9045.0" w:type="dxa"/>
        <w:jc w:val="left"/>
        <w:tblInd w:w="0.0" w:type="pc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170"/>
        <w:gridCol w:w="1530"/>
        <w:gridCol w:w="1170"/>
        <w:gridCol w:w="1170"/>
        <w:gridCol w:w="1260"/>
        <w:gridCol w:w="2745"/>
        <w:tblGridChange w:id="0">
          <w:tblGrid>
            <w:gridCol w:w="1170"/>
            <w:gridCol w:w="1530"/>
            <w:gridCol w:w="1170"/>
            <w:gridCol w:w="1170"/>
            <w:gridCol w:w="1260"/>
            <w:gridCol w:w="2745"/>
          </w:tblGrid>
        </w:tblGridChange>
      </w:tblGrid>
      <w:tr>
        <w:trPr>
          <w:trHeight w:val="440" w:hRule="atLeast"/>
        </w:trPr>
        <w:tc>
          <w:tcPr>
            <w:tcBorders>
              <w:top w:color="000000" w:space="0" w:sz="0" w:val="nil"/>
              <w:left w:color="000000" w:space="0" w:sz="0" w:val="nil"/>
              <w:bottom w:color="000000" w:space="0" w:sz="7" w:val="single"/>
              <w:right w:color="000000" w:space="0" w:sz="0" w:val="nil"/>
            </w:tcBorders>
            <w:tcMar>
              <w:top w:w="0.0" w:type="dxa"/>
              <w:left w:w="0.0" w:type="dxa"/>
              <w:bottom w:w="0.0" w:type="dxa"/>
              <w:right w:w="0.0" w:type="dxa"/>
            </w:tcMar>
            <w:vAlign w:val="bottom"/>
          </w:tcPr>
          <w:p w:rsidR="00000000" w:rsidDel="00000000" w:rsidP="00000000" w:rsidRDefault="00000000" w:rsidRPr="00000000">
            <w:pPr>
              <w:widowControl w:val="0"/>
              <w:spacing w:line="240" w:lineRule="auto"/>
              <w:contextualSpacing w:val="0"/>
              <w:rPr>
                <w:rFonts w:ascii="Proxima Nova" w:cs="Proxima Nova" w:eastAsia="Proxima Nova" w:hAnsi="Proxima Nova"/>
                <w:b w:val="1"/>
                <w:sz w:val="14"/>
                <w:szCs w:val="14"/>
              </w:rPr>
            </w:pPr>
            <w:r w:rsidDel="00000000" w:rsidR="00000000" w:rsidRPr="00000000">
              <w:rPr>
                <w:rFonts w:ascii="Proxima Nova" w:cs="Proxima Nova" w:eastAsia="Proxima Nova" w:hAnsi="Proxima Nova"/>
                <w:b w:val="1"/>
                <w:sz w:val="16"/>
                <w:szCs w:val="16"/>
                <w:rtl w:val="0"/>
              </w:rPr>
              <w:t xml:space="preserve">Source</w:t>
            </w:r>
            <w:r w:rsidDel="00000000" w:rsidR="00000000" w:rsidRPr="00000000">
              <w:rPr>
                <w:rtl w:val="0"/>
              </w:rPr>
            </w:r>
          </w:p>
        </w:tc>
        <w:tc>
          <w:tcPr>
            <w:tcBorders>
              <w:top w:color="000000" w:space="0" w:sz="0" w:val="nil"/>
              <w:left w:color="000000" w:space="0" w:sz="0" w:val="nil"/>
              <w:bottom w:color="000000" w:space="0" w:sz="7" w:val="single"/>
              <w:right w:color="000000" w:space="0" w:sz="0" w:val="nil"/>
            </w:tcBorders>
            <w:tcMar>
              <w:top w:w="0.0" w:type="dxa"/>
              <w:left w:w="0.0" w:type="dxa"/>
              <w:bottom w:w="0.0" w:type="dxa"/>
              <w:right w:w="0.0" w:type="dxa"/>
            </w:tcMar>
            <w:vAlign w:val="bottom"/>
          </w:tcPr>
          <w:p w:rsidR="00000000" w:rsidDel="00000000" w:rsidP="00000000" w:rsidRDefault="00000000" w:rsidRPr="00000000">
            <w:pPr>
              <w:widowControl w:val="0"/>
              <w:spacing w:line="240" w:lineRule="auto"/>
              <w:contextualSpacing w:val="0"/>
              <w:rPr>
                <w:rFonts w:ascii="Proxima Nova" w:cs="Proxima Nova" w:eastAsia="Proxima Nova" w:hAnsi="Proxima Nova"/>
                <w:b w:val="1"/>
                <w:sz w:val="14"/>
                <w:szCs w:val="14"/>
              </w:rPr>
            </w:pPr>
            <w:r w:rsidDel="00000000" w:rsidR="00000000" w:rsidRPr="00000000">
              <w:rPr>
                <w:rFonts w:ascii="Proxima Nova" w:cs="Proxima Nova" w:eastAsia="Proxima Nova" w:hAnsi="Proxima Nova"/>
                <w:b w:val="1"/>
                <w:sz w:val="16"/>
                <w:szCs w:val="16"/>
                <w:rtl w:val="0"/>
              </w:rPr>
              <w:t xml:space="preserve">Reference</w:t>
            </w:r>
            <w:r w:rsidDel="00000000" w:rsidR="00000000" w:rsidRPr="00000000">
              <w:rPr>
                <w:rtl w:val="0"/>
              </w:rPr>
            </w:r>
          </w:p>
        </w:tc>
        <w:tc>
          <w:tcPr>
            <w:tcBorders>
              <w:top w:color="000000" w:space="0" w:sz="0" w:val="nil"/>
              <w:left w:color="000000" w:space="0" w:sz="0" w:val="nil"/>
              <w:bottom w:color="000000" w:space="0" w:sz="7" w:val="single"/>
              <w:right w:color="000000" w:space="0" w:sz="0" w:val="nil"/>
            </w:tcBorders>
            <w:tcMar>
              <w:top w:w="0.0" w:type="dxa"/>
              <w:left w:w="0.0" w:type="dxa"/>
              <w:bottom w:w="0.0" w:type="dxa"/>
              <w:right w:w="0.0" w:type="dxa"/>
            </w:tcMar>
            <w:vAlign w:val="bottom"/>
          </w:tcPr>
          <w:p w:rsidR="00000000" w:rsidDel="00000000" w:rsidP="00000000" w:rsidRDefault="00000000" w:rsidRPr="00000000">
            <w:pPr>
              <w:widowControl w:val="0"/>
              <w:spacing w:line="240" w:lineRule="auto"/>
              <w:contextualSpacing w:val="0"/>
              <w:rPr>
                <w:rFonts w:ascii="Proxima Nova" w:cs="Proxima Nova" w:eastAsia="Proxima Nova" w:hAnsi="Proxima Nova"/>
                <w:b w:val="1"/>
                <w:sz w:val="14"/>
                <w:szCs w:val="14"/>
              </w:rPr>
            </w:pPr>
            <w:r w:rsidDel="00000000" w:rsidR="00000000" w:rsidRPr="00000000">
              <w:rPr>
                <w:rFonts w:ascii="Proxima Nova" w:cs="Proxima Nova" w:eastAsia="Proxima Nova" w:hAnsi="Proxima Nova"/>
                <w:b w:val="1"/>
                <w:sz w:val="16"/>
                <w:szCs w:val="16"/>
                <w:rtl w:val="0"/>
              </w:rPr>
              <w:t xml:space="preserve">Sample</w:t>
            </w:r>
            <w:r w:rsidDel="00000000" w:rsidR="00000000" w:rsidRPr="00000000">
              <w:rPr>
                <w:rtl w:val="0"/>
              </w:rPr>
            </w:r>
          </w:p>
        </w:tc>
        <w:tc>
          <w:tcPr>
            <w:tcBorders>
              <w:top w:color="000000" w:space="0" w:sz="0" w:val="nil"/>
              <w:left w:color="000000" w:space="0" w:sz="0" w:val="nil"/>
              <w:bottom w:color="000000" w:space="0" w:sz="7" w:val="single"/>
              <w:right w:color="000000" w:space="0" w:sz="0" w:val="nil"/>
            </w:tcBorders>
            <w:tcMar>
              <w:top w:w="0.0" w:type="dxa"/>
              <w:left w:w="0.0" w:type="dxa"/>
              <w:bottom w:w="0.0" w:type="dxa"/>
              <w:right w:w="0.0" w:type="dxa"/>
            </w:tcMar>
            <w:vAlign w:val="bottom"/>
          </w:tcPr>
          <w:p w:rsidR="00000000" w:rsidDel="00000000" w:rsidP="00000000" w:rsidRDefault="00000000" w:rsidRPr="00000000">
            <w:pPr>
              <w:widowControl w:val="0"/>
              <w:spacing w:line="240" w:lineRule="auto"/>
              <w:contextualSpacing w:val="0"/>
              <w:rPr>
                <w:rFonts w:ascii="Proxima Nova" w:cs="Proxima Nova" w:eastAsia="Proxima Nova" w:hAnsi="Proxima Nova"/>
                <w:b w:val="1"/>
                <w:sz w:val="14"/>
                <w:szCs w:val="14"/>
              </w:rPr>
            </w:pPr>
            <w:r w:rsidDel="00000000" w:rsidR="00000000" w:rsidRPr="00000000">
              <w:rPr>
                <w:rFonts w:ascii="Proxima Nova" w:cs="Proxima Nova" w:eastAsia="Proxima Nova" w:hAnsi="Proxima Nova"/>
                <w:b w:val="1"/>
                <w:sz w:val="16"/>
                <w:szCs w:val="16"/>
                <w:rtl w:val="0"/>
              </w:rPr>
              <w:t xml:space="preserve">RNA-seq</w:t>
            </w:r>
            <w:r w:rsidDel="00000000" w:rsidR="00000000" w:rsidRPr="00000000">
              <w:rPr>
                <w:rtl w:val="0"/>
              </w:rPr>
            </w:r>
          </w:p>
        </w:tc>
        <w:tc>
          <w:tcPr>
            <w:tcBorders>
              <w:top w:color="000000" w:space="0" w:sz="0" w:val="nil"/>
              <w:left w:color="000000" w:space="0" w:sz="0" w:val="nil"/>
              <w:bottom w:color="000000" w:space="0" w:sz="7" w:val="single"/>
              <w:right w:color="000000" w:space="0" w:sz="0" w:val="nil"/>
            </w:tcBorders>
            <w:tcMar>
              <w:top w:w="0.0" w:type="dxa"/>
              <w:left w:w="0.0" w:type="dxa"/>
              <w:bottom w:w="0.0" w:type="dxa"/>
              <w:right w:w="0.0" w:type="dxa"/>
            </w:tcMar>
            <w:vAlign w:val="bottom"/>
          </w:tcPr>
          <w:p w:rsidR="00000000" w:rsidDel="00000000" w:rsidP="00000000" w:rsidRDefault="00000000" w:rsidRPr="00000000">
            <w:pPr>
              <w:widowControl w:val="0"/>
              <w:spacing w:line="240" w:lineRule="auto"/>
              <w:contextualSpacing w:val="0"/>
              <w:rPr>
                <w:rFonts w:ascii="Proxima Nova" w:cs="Proxima Nova" w:eastAsia="Proxima Nova" w:hAnsi="Proxima Nova"/>
                <w:b w:val="1"/>
                <w:sz w:val="14"/>
                <w:szCs w:val="14"/>
              </w:rPr>
            </w:pPr>
            <w:r w:rsidDel="00000000" w:rsidR="00000000" w:rsidRPr="00000000">
              <w:rPr>
                <w:rFonts w:ascii="Proxima Nova" w:cs="Proxima Nova" w:eastAsia="Proxima Nova" w:hAnsi="Proxima Nova"/>
                <w:b w:val="1"/>
                <w:sz w:val="16"/>
                <w:szCs w:val="16"/>
                <w:rtl w:val="0"/>
              </w:rPr>
              <w:t xml:space="preserve">Ribo-seq</w:t>
            </w:r>
            <w:r w:rsidDel="00000000" w:rsidR="00000000" w:rsidRPr="00000000">
              <w:rPr>
                <w:rtl w:val="0"/>
              </w:rPr>
            </w:r>
          </w:p>
        </w:tc>
        <w:tc>
          <w:tcPr>
            <w:tcBorders>
              <w:top w:color="000000" w:space="0" w:sz="0" w:val="nil"/>
              <w:left w:color="000000" w:space="0" w:sz="0" w:val="nil"/>
              <w:bottom w:color="000000" w:space="0" w:sz="7" w:val="single"/>
              <w:right w:color="000000" w:space="0" w:sz="0" w:val="nil"/>
            </w:tcBorders>
            <w:tcMar>
              <w:top w:w="0.0" w:type="dxa"/>
              <w:left w:w="0.0" w:type="dxa"/>
              <w:bottom w:w="0.0" w:type="dxa"/>
              <w:right w:w="0.0" w:type="dxa"/>
            </w:tcMar>
            <w:vAlign w:val="bottom"/>
          </w:tcPr>
          <w:p w:rsidR="00000000" w:rsidDel="00000000" w:rsidP="00000000" w:rsidRDefault="00000000" w:rsidRPr="00000000">
            <w:pPr>
              <w:widowControl w:val="0"/>
              <w:spacing w:line="240" w:lineRule="auto"/>
              <w:contextualSpacing w:val="0"/>
              <w:rPr>
                <w:rFonts w:ascii="Proxima Nova" w:cs="Proxima Nova" w:eastAsia="Proxima Nova" w:hAnsi="Proxima Nova"/>
                <w:b w:val="1"/>
                <w:sz w:val="14"/>
                <w:szCs w:val="14"/>
              </w:rPr>
            </w:pPr>
            <w:r w:rsidDel="00000000" w:rsidR="00000000" w:rsidRPr="00000000">
              <w:rPr>
                <w:rFonts w:ascii="Proxima Nova" w:cs="Proxima Nova" w:eastAsia="Proxima Nova" w:hAnsi="Proxima Nova"/>
                <w:b w:val="1"/>
                <w:sz w:val="16"/>
                <w:szCs w:val="16"/>
                <w:rtl w:val="0"/>
              </w:rPr>
              <w:t xml:space="preserve">Description</w:t>
            </w: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Brain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Gonzalez2014 </w:t>
            </w:r>
            <w:hyperlink r:id="rId6">
              <w:r w:rsidDel="00000000" w:rsidR="00000000" w:rsidRPr="00000000">
                <w:rPr>
                  <w:rFonts w:ascii="Proxima Nova" w:cs="Proxima Nova" w:eastAsia="Proxima Nova" w:hAnsi="Proxima Nova"/>
                  <w:b w:val="0"/>
                  <w:color w:val="000000"/>
                  <w:sz w:val="16"/>
                  <w:szCs w:val="16"/>
                  <w:u w:val="none"/>
                  <w:rtl w:val="0"/>
                </w:rPr>
                <w:t xml:space="preserve">[1]</w:t>
              </w:r>
            </w:hyperlink>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normal-A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GSM1495249</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GSM1495244</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Normal brain</w:t>
            </w: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normal-B</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GSM1495250</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GSM1495245</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normal-C</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GSM1495251</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GSM1495246</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tumor-A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GSM1495252</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GSM1495247</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r>
      <w:tr>
        <w:trPr>
          <w:trHeight w:val="240" w:hRule="atLeast"/>
        </w:trPr>
        <w:tc>
          <w:tcPr>
            <w:tcBorders>
              <w:top w:color="000000" w:space="0" w:sz="0" w:val="nil"/>
              <w:left w:color="000000" w:space="0" w:sz="0" w:val="nil"/>
              <w:bottom w:color="a6a6a6" w:space="0" w:sz="6" w:val="single"/>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 </w:t>
            </w:r>
            <w:r w:rsidDel="00000000" w:rsidR="00000000" w:rsidRPr="00000000">
              <w:rPr>
                <w:rtl w:val="0"/>
              </w:rPr>
            </w:r>
          </w:p>
        </w:tc>
        <w:tc>
          <w:tcPr>
            <w:tcBorders>
              <w:top w:color="000000" w:space="0" w:sz="0" w:val="nil"/>
              <w:left w:color="000000" w:space="0" w:sz="0" w:val="nil"/>
              <w:bottom w:color="a6a6a6" w:space="0" w:sz="6" w:val="single"/>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 </w:t>
            </w:r>
            <w:r w:rsidDel="00000000" w:rsidR="00000000" w:rsidRPr="00000000">
              <w:rPr>
                <w:rtl w:val="0"/>
              </w:rPr>
            </w:r>
          </w:p>
        </w:tc>
        <w:tc>
          <w:tcPr>
            <w:tcBorders>
              <w:top w:color="000000" w:space="0" w:sz="0" w:val="nil"/>
              <w:left w:color="000000" w:space="0" w:sz="0" w:val="nil"/>
              <w:bottom w:color="a6a6a6" w:space="0" w:sz="6" w:val="single"/>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tumor-B</w:t>
            </w:r>
            <w:r w:rsidDel="00000000" w:rsidR="00000000" w:rsidRPr="00000000">
              <w:rPr>
                <w:rtl w:val="0"/>
              </w:rPr>
            </w:r>
          </w:p>
        </w:tc>
        <w:tc>
          <w:tcPr>
            <w:tcBorders>
              <w:top w:color="000000" w:space="0" w:sz="0" w:val="nil"/>
              <w:left w:color="000000" w:space="0" w:sz="0" w:val="nil"/>
              <w:bottom w:color="a6a6a6" w:space="0" w:sz="6" w:val="single"/>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GSM1495253</w:t>
            </w:r>
            <w:r w:rsidDel="00000000" w:rsidR="00000000" w:rsidRPr="00000000">
              <w:rPr>
                <w:rtl w:val="0"/>
              </w:rPr>
            </w:r>
          </w:p>
        </w:tc>
        <w:tc>
          <w:tcPr>
            <w:tcBorders>
              <w:top w:color="000000" w:space="0" w:sz="0" w:val="nil"/>
              <w:left w:color="000000" w:space="0" w:sz="0" w:val="nil"/>
              <w:bottom w:color="a6a6a6" w:space="0" w:sz="6" w:val="single"/>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GSM1495248</w:t>
            </w:r>
            <w:r w:rsidDel="00000000" w:rsidR="00000000" w:rsidRPr="00000000">
              <w:rPr>
                <w:rtl w:val="0"/>
              </w:rPr>
            </w:r>
          </w:p>
        </w:tc>
        <w:tc>
          <w:tcPr>
            <w:tcBorders>
              <w:top w:color="000000" w:space="0" w:sz="0" w:val="nil"/>
              <w:left w:color="000000" w:space="0" w:sz="0" w:val="nil"/>
              <w:bottom w:color="a6a6a6" w:space="0" w:sz="6" w:val="single"/>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 </w:t>
            </w: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Breast</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Rubio2014 </w:t>
            </w:r>
            <w:hyperlink r:id="rId7">
              <w:r w:rsidDel="00000000" w:rsidR="00000000" w:rsidRPr="00000000">
                <w:rPr>
                  <w:rFonts w:ascii="Proxima Nova" w:cs="Proxima Nova" w:eastAsia="Proxima Nova" w:hAnsi="Proxima Nova"/>
                  <w:b w:val="0"/>
                  <w:color w:val="000000"/>
                  <w:sz w:val="16"/>
                  <w:szCs w:val="16"/>
                  <w:u w:val="none"/>
                  <w:rtl w:val="0"/>
                </w:rPr>
                <w:t xml:space="preserve">[2]</w:t>
              </w:r>
            </w:hyperlink>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control-rep1</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GSM1503444</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GSM1503442</w:t>
            </w:r>
            <w:r w:rsidDel="00000000" w:rsidR="00000000" w:rsidRPr="00000000">
              <w:rPr>
                <w:rtl w:val="0"/>
              </w:rPr>
            </w:r>
          </w:p>
        </w:tc>
        <w:tc>
          <w:tcPr>
            <w:vMerge w:val="restart"/>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Breast cancer (cell type: Ductal breast carcinoma; cell line: MDA-MB-231)</w:t>
            </w:r>
            <w:r w:rsidDel="00000000" w:rsidR="00000000" w:rsidRPr="00000000">
              <w:rPr>
                <w:rtl w:val="0"/>
              </w:rPr>
            </w:r>
          </w:p>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 </w:t>
            </w:r>
            <w:r w:rsidDel="00000000" w:rsidR="00000000" w:rsidRPr="00000000">
              <w:rPr>
                <w:rtl w:val="0"/>
              </w:rPr>
            </w:r>
          </w:p>
        </w:tc>
      </w:tr>
      <w:tr>
        <w:trPr>
          <w:trHeight w:val="240" w:hRule="atLeast"/>
        </w:trPr>
        <w:tc>
          <w:tcPr>
            <w:tcBorders>
              <w:top w:color="000000" w:space="0" w:sz="0" w:val="nil"/>
              <w:left w:color="000000" w:space="0" w:sz="0" w:val="nil"/>
              <w:bottom w:color="a6a6a6" w:space="0" w:sz="6" w:val="single"/>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 </w:t>
            </w:r>
            <w:r w:rsidDel="00000000" w:rsidR="00000000" w:rsidRPr="00000000">
              <w:rPr>
                <w:rtl w:val="0"/>
              </w:rPr>
            </w:r>
          </w:p>
        </w:tc>
        <w:tc>
          <w:tcPr>
            <w:tcBorders>
              <w:top w:color="000000" w:space="0" w:sz="0" w:val="nil"/>
              <w:left w:color="000000" w:space="0" w:sz="0" w:val="nil"/>
              <w:bottom w:color="a6a6a6" w:space="0" w:sz="6" w:val="single"/>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 </w:t>
            </w:r>
            <w:r w:rsidDel="00000000" w:rsidR="00000000" w:rsidRPr="00000000">
              <w:rPr>
                <w:rtl w:val="0"/>
              </w:rPr>
            </w:r>
          </w:p>
        </w:tc>
        <w:tc>
          <w:tcPr>
            <w:tcBorders>
              <w:top w:color="000000" w:space="0" w:sz="0" w:val="nil"/>
              <w:left w:color="000000" w:space="0" w:sz="0" w:val="nil"/>
              <w:bottom w:color="a6a6a6" w:space="0" w:sz="6" w:val="single"/>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control-rep2</w:t>
            </w:r>
            <w:r w:rsidDel="00000000" w:rsidR="00000000" w:rsidRPr="00000000">
              <w:rPr>
                <w:rtl w:val="0"/>
              </w:rPr>
            </w:r>
          </w:p>
        </w:tc>
        <w:tc>
          <w:tcPr>
            <w:tcBorders>
              <w:top w:color="000000" w:space="0" w:sz="0" w:val="nil"/>
              <w:left w:color="000000" w:space="0" w:sz="0" w:val="nil"/>
              <w:bottom w:color="a6a6a6" w:space="0" w:sz="6" w:val="single"/>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GSM1503438</w:t>
            </w:r>
            <w:r w:rsidDel="00000000" w:rsidR="00000000" w:rsidRPr="00000000">
              <w:rPr>
                <w:rtl w:val="0"/>
              </w:rPr>
            </w:r>
          </w:p>
        </w:tc>
        <w:tc>
          <w:tcPr>
            <w:tcBorders>
              <w:top w:color="000000" w:space="0" w:sz="0" w:val="nil"/>
              <w:left w:color="000000" w:space="0" w:sz="0" w:val="nil"/>
              <w:bottom w:color="a6a6a6" w:space="0" w:sz="6" w:val="single"/>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GSM1503434</w:t>
            </w:r>
            <w:r w:rsidDel="00000000" w:rsidR="00000000" w:rsidRPr="00000000">
              <w:rPr>
                <w:rtl w:val="0"/>
              </w:rPr>
            </w:r>
          </w:p>
        </w:tc>
        <w:tc>
          <w:tcPr>
            <w:vMerge w:val="continue"/>
            <w:tcBorders>
              <w:top w:color="000000" w:space="0" w:sz="0" w:val="nil"/>
              <w:left w:color="000000" w:space="0" w:sz="0" w:val="nil"/>
              <w:bottom w:color="a6a6a6" w:space="0" w:sz="6" w:val="single"/>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Eye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Tanenbaum2015 </w:t>
            </w:r>
            <w:hyperlink r:id="rId8">
              <w:r w:rsidDel="00000000" w:rsidR="00000000" w:rsidRPr="00000000">
                <w:rPr>
                  <w:rFonts w:ascii="Proxima Nova" w:cs="Proxima Nova" w:eastAsia="Proxima Nova" w:hAnsi="Proxima Nova"/>
                  <w:b w:val="0"/>
                  <w:color w:val="000000"/>
                  <w:sz w:val="16"/>
                  <w:szCs w:val="16"/>
                  <w:u w:val="none"/>
                  <w:rtl w:val="0"/>
                </w:rPr>
                <w:t xml:space="preserve">[3]</w:t>
              </w:r>
            </w:hyperlink>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G1-rep1</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GSM1657726</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GSM1657720</w:t>
            </w:r>
            <w:r w:rsidDel="00000000" w:rsidR="00000000" w:rsidRPr="00000000">
              <w:rPr>
                <w:rtl w:val="0"/>
              </w:rPr>
            </w:r>
          </w:p>
        </w:tc>
        <w:tc>
          <w:tcPr>
            <w:vMerge w:val="restart"/>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Retinal pigment epithelial cells (cell type: RPE-1)</w:t>
            </w:r>
            <w:r w:rsidDel="00000000" w:rsidR="00000000" w:rsidRPr="00000000">
              <w:rPr>
                <w:rtl w:val="0"/>
              </w:rPr>
            </w:r>
          </w:p>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 </w:t>
            </w: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G1-rep2</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GSM1657727</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GSM1657721</w:t>
            </w:r>
            <w:r w:rsidDel="00000000" w:rsidR="00000000" w:rsidRPr="00000000">
              <w:rPr>
                <w:rtl w:val="0"/>
              </w:rPr>
            </w:r>
          </w:p>
        </w:tc>
        <w:tc>
          <w:tcPr>
            <w:vMerge w:val="continue"/>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G2-rep1</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GSM1657728</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GSM1657722</w:t>
            </w:r>
            <w:r w:rsidDel="00000000" w:rsidR="00000000" w:rsidRPr="00000000">
              <w:rPr>
                <w:rtl w:val="0"/>
              </w:rPr>
            </w:r>
          </w:p>
        </w:tc>
        <w:tc>
          <w:tcPr>
            <w:vMerge w:val="continue"/>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G2-rep2</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GSM1657729</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GSM1657723</w:t>
            </w:r>
            <w:r w:rsidDel="00000000" w:rsidR="00000000" w:rsidRPr="00000000">
              <w:rPr>
                <w:rtl w:val="0"/>
              </w:rPr>
            </w:r>
          </w:p>
        </w:tc>
        <w:tc>
          <w:tcPr>
            <w:vMerge w:val="continue"/>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M-rep1</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GSM1657730</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GSM1657724</w:t>
            </w:r>
            <w:r w:rsidDel="00000000" w:rsidR="00000000" w:rsidRPr="00000000">
              <w:rPr>
                <w:rtl w:val="0"/>
              </w:rPr>
            </w:r>
          </w:p>
        </w:tc>
        <w:tc>
          <w:tcPr>
            <w:vMerge w:val="continue"/>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r>
      <w:tr>
        <w:trPr>
          <w:trHeight w:val="240" w:hRule="atLeast"/>
        </w:trPr>
        <w:tc>
          <w:tcPr>
            <w:tcBorders>
              <w:top w:color="000000" w:space="0" w:sz="0" w:val="nil"/>
              <w:left w:color="000000" w:space="0" w:sz="0" w:val="nil"/>
              <w:bottom w:color="a6a6a6" w:space="0" w:sz="6" w:val="single"/>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 </w:t>
            </w:r>
            <w:r w:rsidDel="00000000" w:rsidR="00000000" w:rsidRPr="00000000">
              <w:rPr>
                <w:rtl w:val="0"/>
              </w:rPr>
            </w:r>
          </w:p>
        </w:tc>
        <w:tc>
          <w:tcPr>
            <w:tcBorders>
              <w:top w:color="000000" w:space="0" w:sz="0" w:val="nil"/>
              <w:left w:color="000000" w:space="0" w:sz="0" w:val="nil"/>
              <w:bottom w:color="a6a6a6" w:space="0" w:sz="6" w:val="single"/>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 </w:t>
            </w:r>
            <w:r w:rsidDel="00000000" w:rsidR="00000000" w:rsidRPr="00000000">
              <w:rPr>
                <w:rtl w:val="0"/>
              </w:rPr>
            </w:r>
          </w:p>
        </w:tc>
        <w:tc>
          <w:tcPr>
            <w:tcBorders>
              <w:top w:color="000000" w:space="0" w:sz="0" w:val="nil"/>
              <w:left w:color="000000" w:space="0" w:sz="0" w:val="nil"/>
              <w:bottom w:color="a6a6a6" w:space="0" w:sz="6" w:val="single"/>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M-rep2</w:t>
            </w:r>
            <w:r w:rsidDel="00000000" w:rsidR="00000000" w:rsidRPr="00000000">
              <w:rPr>
                <w:rtl w:val="0"/>
              </w:rPr>
            </w:r>
          </w:p>
        </w:tc>
        <w:tc>
          <w:tcPr>
            <w:tcBorders>
              <w:top w:color="000000" w:space="0" w:sz="0" w:val="nil"/>
              <w:left w:color="000000" w:space="0" w:sz="0" w:val="nil"/>
              <w:bottom w:color="a6a6a6" w:space="0" w:sz="6" w:val="single"/>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GSM1657731</w:t>
            </w:r>
            <w:r w:rsidDel="00000000" w:rsidR="00000000" w:rsidRPr="00000000">
              <w:rPr>
                <w:rtl w:val="0"/>
              </w:rPr>
            </w:r>
          </w:p>
        </w:tc>
        <w:tc>
          <w:tcPr>
            <w:tcBorders>
              <w:top w:color="000000" w:space="0" w:sz="0" w:val="nil"/>
              <w:left w:color="000000" w:space="0" w:sz="0" w:val="nil"/>
              <w:bottom w:color="a6a6a6" w:space="0" w:sz="6" w:val="single"/>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GSM1657725</w:t>
            </w:r>
            <w:r w:rsidDel="00000000" w:rsidR="00000000" w:rsidRPr="00000000">
              <w:rPr>
                <w:rtl w:val="0"/>
              </w:rPr>
            </w:r>
          </w:p>
        </w:tc>
        <w:tc>
          <w:tcPr>
            <w:vMerge w:val="continue"/>
            <w:tcBorders>
              <w:top w:color="000000" w:space="0" w:sz="0" w:val="nil"/>
              <w:left w:color="000000" w:space="0" w:sz="0" w:val="nil"/>
              <w:bottom w:color="a6a6a6" w:space="0" w:sz="6" w:val="single"/>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Fibroblasts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Shitrit2015 </w:t>
            </w:r>
            <w:hyperlink r:id="rId9">
              <w:r w:rsidDel="00000000" w:rsidR="00000000" w:rsidRPr="00000000">
                <w:rPr>
                  <w:rFonts w:ascii="Proxima Nova" w:cs="Proxima Nova" w:eastAsia="Proxima Nova" w:hAnsi="Proxima Nova"/>
                  <w:b w:val="0"/>
                  <w:color w:val="000000"/>
                  <w:sz w:val="16"/>
                  <w:szCs w:val="16"/>
                  <w:u w:val="none"/>
                  <w:rtl w:val="0"/>
                </w:rPr>
                <w:t xml:space="preserve">[4]</w:t>
              </w:r>
            </w:hyperlink>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control</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GSM1712278</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GSM1712271</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Primary fibroblasts</w:t>
            </w: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Xu2016 </w:t>
            </w:r>
            <w:hyperlink r:id="rId10">
              <w:r w:rsidDel="00000000" w:rsidR="00000000" w:rsidRPr="00000000">
                <w:rPr>
                  <w:rFonts w:ascii="Proxima Nova" w:cs="Proxima Nova" w:eastAsia="Proxima Nova" w:hAnsi="Proxima Nova"/>
                  <w:b w:val="0"/>
                  <w:color w:val="000000"/>
                  <w:sz w:val="16"/>
                  <w:szCs w:val="16"/>
                  <w:u w:val="none"/>
                  <w:rtl w:val="0"/>
                </w:rPr>
                <w:t xml:space="preserve">[5]</w:t>
              </w:r>
            </w:hyperlink>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wt-d-leucine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GSM1585204</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GSM1585210</w:t>
            </w:r>
            <w:r w:rsidDel="00000000" w:rsidR="00000000" w:rsidRPr="00000000">
              <w:rPr>
                <w:rtl w:val="0"/>
              </w:rPr>
            </w:r>
          </w:p>
        </w:tc>
        <w:tc>
          <w:tcPr>
            <w:vMerge w:val="restart"/>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Fibroblast (supplemented with d-leucine or l-leucine)</w:t>
            </w:r>
            <w:r w:rsidDel="00000000" w:rsidR="00000000" w:rsidRPr="00000000">
              <w:rPr>
                <w:rtl w:val="0"/>
              </w:rPr>
            </w:r>
          </w:p>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 </w:t>
            </w:r>
            <w:r w:rsidDel="00000000" w:rsidR="00000000" w:rsidRPr="00000000">
              <w:rPr>
                <w:rtl w:val="0"/>
              </w:rPr>
            </w:r>
          </w:p>
        </w:tc>
      </w:tr>
      <w:tr>
        <w:trPr>
          <w:trHeight w:val="240" w:hRule="atLeast"/>
        </w:trPr>
        <w:tc>
          <w:tcPr>
            <w:tcBorders>
              <w:top w:color="000000" w:space="0" w:sz="0" w:val="nil"/>
              <w:left w:color="000000" w:space="0" w:sz="0" w:val="nil"/>
              <w:bottom w:color="a6a6a6" w:space="0" w:sz="6" w:val="single"/>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 </w:t>
            </w:r>
            <w:r w:rsidDel="00000000" w:rsidR="00000000" w:rsidRPr="00000000">
              <w:rPr>
                <w:rtl w:val="0"/>
              </w:rPr>
            </w:r>
          </w:p>
        </w:tc>
        <w:tc>
          <w:tcPr>
            <w:tcBorders>
              <w:top w:color="000000" w:space="0" w:sz="0" w:val="nil"/>
              <w:left w:color="000000" w:space="0" w:sz="0" w:val="nil"/>
              <w:bottom w:color="a6a6a6" w:space="0" w:sz="6" w:val="single"/>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 </w:t>
            </w:r>
            <w:r w:rsidDel="00000000" w:rsidR="00000000" w:rsidRPr="00000000">
              <w:rPr>
                <w:rtl w:val="0"/>
              </w:rPr>
            </w:r>
          </w:p>
        </w:tc>
        <w:tc>
          <w:tcPr>
            <w:tcBorders>
              <w:top w:color="000000" w:space="0" w:sz="0" w:val="nil"/>
              <w:left w:color="000000" w:space="0" w:sz="0" w:val="nil"/>
              <w:bottom w:color="a6a6a6" w:space="0" w:sz="6" w:val="single"/>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wt-l-leucine</w:t>
            </w:r>
            <w:r w:rsidDel="00000000" w:rsidR="00000000" w:rsidRPr="00000000">
              <w:rPr>
                <w:rtl w:val="0"/>
              </w:rPr>
            </w:r>
          </w:p>
        </w:tc>
        <w:tc>
          <w:tcPr>
            <w:tcBorders>
              <w:top w:color="000000" w:space="0" w:sz="0" w:val="nil"/>
              <w:left w:color="000000" w:space="0" w:sz="0" w:val="nil"/>
              <w:bottom w:color="a6a6a6" w:space="0" w:sz="6" w:val="single"/>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GSM1585205</w:t>
            </w:r>
            <w:r w:rsidDel="00000000" w:rsidR="00000000" w:rsidRPr="00000000">
              <w:rPr>
                <w:rtl w:val="0"/>
              </w:rPr>
            </w:r>
          </w:p>
        </w:tc>
        <w:tc>
          <w:tcPr>
            <w:tcBorders>
              <w:top w:color="000000" w:space="0" w:sz="0" w:val="nil"/>
              <w:left w:color="000000" w:space="0" w:sz="0" w:val="nil"/>
              <w:bottom w:color="a6a6a6" w:space="0" w:sz="6" w:val="single"/>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GSM1585211</w:t>
            </w:r>
            <w:r w:rsidDel="00000000" w:rsidR="00000000" w:rsidRPr="00000000">
              <w:rPr>
                <w:rtl w:val="0"/>
              </w:rPr>
            </w:r>
          </w:p>
        </w:tc>
        <w:tc>
          <w:tcPr>
            <w:vMerge w:val="continue"/>
            <w:tcBorders>
              <w:top w:color="000000" w:space="0" w:sz="0" w:val="nil"/>
              <w:left w:color="000000" w:space="0" w:sz="0" w:val="nil"/>
              <w:bottom w:color="a6a6a6" w:space="0" w:sz="6" w:val="single"/>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HEK</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Eichhorn2014 </w:t>
            </w:r>
            <w:hyperlink r:id="rId11">
              <w:r w:rsidDel="00000000" w:rsidR="00000000" w:rsidRPr="00000000">
                <w:rPr>
                  <w:rFonts w:ascii="Proxima Nova" w:cs="Proxima Nova" w:eastAsia="Proxima Nova" w:hAnsi="Proxima Nova"/>
                  <w:b w:val="0"/>
                  <w:color w:val="000000"/>
                  <w:sz w:val="16"/>
                  <w:szCs w:val="16"/>
                  <w:u w:val="none"/>
                  <w:rtl w:val="0"/>
                </w:rPr>
                <w:t xml:space="preserve">[6]</w:t>
              </w:r>
            </w:hyperlink>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mock</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GSM1479597</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GSM1479598</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HEK293T ( mock transfection)</w:t>
            </w: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Iwasaki2016 </w:t>
            </w:r>
            <w:hyperlink r:id="rId12">
              <w:r w:rsidDel="00000000" w:rsidR="00000000" w:rsidRPr="00000000">
                <w:rPr>
                  <w:rFonts w:ascii="Proxima Nova" w:cs="Proxima Nova" w:eastAsia="Proxima Nova" w:hAnsi="Proxima Nova"/>
                  <w:b w:val="0"/>
                  <w:color w:val="000000"/>
                  <w:sz w:val="16"/>
                  <w:szCs w:val="16"/>
                  <w:u w:val="none"/>
                  <w:rtl w:val="0"/>
                </w:rPr>
                <w:t xml:space="preserve">[7]</w:t>
              </w:r>
            </w:hyperlink>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dmso-rep1</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GSM1720808</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GSM1720803</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HEK 293 T-REx cell (treatment: DMSO)</w:t>
            </w: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dmso-rep2</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GSM1720809</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GSM1720804</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Sidrauski2015 </w:t>
            </w:r>
            <w:hyperlink r:id="rId13">
              <w:r w:rsidDel="00000000" w:rsidR="00000000" w:rsidRPr="00000000">
                <w:rPr>
                  <w:rFonts w:ascii="Proxima Nova" w:cs="Proxima Nova" w:eastAsia="Proxima Nova" w:hAnsi="Proxima Nova"/>
                  <w:b w:val="0"/>
                  <w:color w:val="000000"/>
                  <w:sz w:val="16"/>
                  <w:szCs w:val="16"/>
                  <w:u w:val="none"/>
                  <w:rtl w:val="0"/>
                </w:rPr>
                <w:t xml:space="preserve">[8]</w:t>
              </w:r>
            </w:hyperlink>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control-a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GSM1606099</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GSM1606107</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HEK293T (treatment: untreated)</w:t>
            </w: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control-b</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GSM1606100</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GSM1606108</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r>
      <w:tr>
        <w:trPr>
          <w:trHeight w:val="240" w:hRule="atLeast"/>
        </w:trPr>
        <w:tc>
          <w:tcPr>
            <w:tcBorders>
              <w:top w:color="000000" w:space="0" w:sz="0" w:val="nil"/>
              <w:left w:color="000000" w:space="0" w:sz="0" w:val="nil"/>
              <w:bottom w:color="a6a6a6" w:space="0" w:sz="6" w:val="single"/>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 </w:t>
            </w:r>
            <w:r w:rsidDel="00000000" w:rsidR="00000000" w:rsidRPr="00000000">
              <w:rPr>
                <w:rtl w:val="0"/>
              </w:rPr>
            </w:r>
          </w:p>
        </w:tc>
        <w:tc>
          <w:tcPr>
            <w:tcBorders>
              <w:top w:color="000000" w:space="0" w:sz="0" w:val="nil"/>
              <w:left w:color="000000" w:space="0" w:sz="0" w:val="nil"/>
              <w:bottom w:color="a6a6a6" w:space="0" w:sz="6" w:val="single"/>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Subtelny2014 </w:t>
            </w:r>
            <w:hyperlink r:id="rId14">
              <w:r w:rsidDel="00000000" w:rsidR="00000000" w:rsidRPr="00000000">
                <w:rPr>
                  <w:rFonts w:ascii="Proxima Nova" w:cs="Proxima Nova" w:eastAsia="Proxima Nova" w:hAnsi="Proxima Nova"/>
                  <w:b w:val="0"/>
                  <w:color w:val="000000"/>
                  <w:sz w:val="16"/>
                  <w:szCs w:val="16"/>
                  <w:u w:val="none"/>
                  <w:rtl w:val="0"/>
                </w:rPr>
                <w:t xml:space="preserve">[9]</w:t>
              </w:r>
            </w:hyperlink>
            <w:r w:rsidDel="00000000" w:rsidR="00000000" w:rsidRPr="00000000">
              <w:rPr>
                <w:rtl w:val="0"/>
              </w:rPr>
            </w:r>
          </w:p>
        </w:tc>
        <w:tc>
          <w:tcPr>
            <w:tcBorders>
              <w:top w:color="000000" w:space="0" w:sz="0" w:val="nil"/>
              <w:left w:color="000000" w:space="0" w:sz="0" w:val="nil"/>
              <w:bottom w:color="a6a6a6" w:space="0" w:sz="6" w:val="single"/>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cyt</w:t>
            </w:r>
            <w:r w:rsidDel="00000000" w:rsidR="00000000" w:rsidRPr="00000000">
              <w:rPr>
                <w:rtl w:val="0"/>
              </w:rPr>
            </w:r>
          </w:p>
        </w:tc>
        <w:tc>
          <w:tcPr>
            <w:tcBorders>
              <w:top w:color="000000" w:space="0" w:sz="0" w:val="nil"/>
              <w:left w:color="000000" w:space="0" w:sz="0" w:val="nil"/>
              <w:bottom w:color="a6a6a6" w:space="0" w:sz="6" w:val="single"/>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GSM1276541</w:t>
            </w:r>
            <w:r w:rsidDel="00000000" w:rsidR="00000000" w:rsidRPr="00000000">
              <w:rPr>
                <w:rtl w:val="0"/>
              </w:rPr>
            </w:r>
          </w:p>
        </w:tc>
        <w:tc>
          <w:tcPr>
            <w:tcBorders>
              <w:top w:color="000000" w:space="0" w:sz="0" w:val="nil"/>
              <w:left w:color="000000" w:space="0" w:sz="0" w:val="nil"/>
              <w:bottom w:color="a6a6a6" w:space="0" w:sz="6" w:val="single"/>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GSM1276542</w:t>
            </w:r>
            <w:r w:rsidDel="00000000" w:rsidR="00000000" w:rsidRPr="00000000">
              <w:rPr>
                <w:rtl w:val="0"/>
              </w:rPr>
            </w:r>
          </w:p>
        </w:tc>
        <w:tc>
          <w:tcPr>
            <w:tcBorders>
              <w:top w:color="000000" w:space="0" w:sz="0" w:val="nil"/>
              <w:left w:color="000000" w:space="0" w:sz="0" w:val="nil"/>
              <w:bottom w:color="a6a6a6" w:space="0" w:sz="6" w:val="single"/>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HEK293T (Cytoplasmically-enriched )</w:t>
            </w: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HeLa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Guo2010 </w:t>
            </w:r>
            <w:hyperlink r:id="rId15">
              <w:r w:rsidDel="00000000" w:rsidR="00000000" w:rsidRPr="00000000">
                <w:rPr>
                  <w:rFonts w:ascii="Proxima Nova" w:cs="Proxima Nova" w:eastAsia="Proxima Nova" w:hAnsi="Proxima Nova"/>
                  <w:b w:val="0"/>
                  <w:color w:val="000000"/>
                  <w:sz w:val="16"/>
                  <w:szCs w:val="16"/>
                  <w:u w:val="none"/>
                  <w:rtl w:val="0"/>
                </w:rPr>
                <w:t xml:space="preserve">[10]</w:t>
              </w:r>
            </w:hyperlink>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mock12hr</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GSM546927</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GSM546926</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HeLa (transfection: mock)</w:t>
            </w: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mock32hr</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GSM546921</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GSM546920</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Park2016 </w:t>
            </w:r>
            <w:hyperlink r:id="rId16">
              <w:r w:rsidDel="00000000" w:rsidR="00000000" w:rsidRPr="00000000">
                <w:rPr>
                  <w:rFonts w:ascii="Proxima Nova" w:cs="Proxima Nova" w:eastAsia="Proxima Nova" w:hAnsi="Proxima Nova"/>
                  <w:b w:val="0"/>
                  <w:color w:val="000000"/>
                  <w:sz w:val="16"/>
                  <w:szCs w:val="16"/>
                  <w:u w:val="none"/>
                  <w:rtl w:val="0"/>
                </w:rPr>
                <w:t xml:space="preserve">[11]</w:t>
              </w:r>
            </w:hyperlink>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Mphase-rep1</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GSM2100590</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GSM2100598</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Hela (RNA-seq oligo-dT)</w:t>
            </w: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Mphase-rep2</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GSM2100591</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GSM2100599</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Sphase-rep1</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GSM2100587</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GSM2100596</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Sphase-rep2</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GSM2100588</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GSM2100597</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Zur2016 </w:t>
            </w:r>
            <w:hyperlink r:id="rId17">
              <w:r w:rsidDel="00000000" w:rsidR="00000000" w:rsidRPr="00000000">
                <w:rPr>
                  <w:rFonts w:ascii="Proxima Nova" w:cs="Proxima Nova" w:eastAsia="Proxima Nova" w:hAnsi="Proxima Nova"/>
                  <w:b w:val="0"/>
                  <w:color w:val="000000"/>
                  <w:sz w:val="16"/>
                  <w:szCs w:val="16"/>
                  <w:u w:val="none"/>
                  <w:rtl w:val="0"/>
                </w:rPr>
                <w:t xml:space="preserve">[12]</w:t>
              </w:r>
            </w:hyperlink>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G1phase-exp1</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GSM1898014 GSM1898015 GSM1898016</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GSM1898018 GSM1898019 GSM1898020</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HeLa S3 cells</w:t>
            </w: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G1phase-exp2</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GSM1898017</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GSM1898021</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Mphase-exp1</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GSM1898006 GSM1898007 GSM1898008</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GSM1898010 GSM1898011 GSM1898012</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r>
      <w:tr>
        <w:trPr>
          <w:trHeight w:val="240" w:hRule="atLeast"/>
        </w:trPr>
        <w:tc>
          <w:tcPr>
            <w:tcBorders>
              <w:top w:color="000000" w:space="0" w:sz="0" w:val="nil"/>
              <w:left w:color="000000" w:space="0" w:sz="0" w:val="nil"/>
              <w:bottom w:color="a6a6a6" w:space="0" w:sz="6" w:val="single"/>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 </w:t>
            </w:r>
            <w:r w:rsidDel="00000000" w:rsidR="00000000" w:rsidRPr="00000000">
              <w:rPr>
                <w:rtl w:val="0"/>
              </w:rPr>
            </w:r>
          </w:p>
        </w:tc>
        <w:tc>
          <w:tcPr>
            <w:tcBorders>
              <w:top w:color="000000" w:space="0" w:sz="0" w:val="nil"/>
              <w:left w:color="000000" w:space="0" w:sz="0" w:val="nil"/>
              <w:bottom w:color="a6a6a6" w:space="0" w:sz="6" w:val="single"/>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 </w:t>
            </w:r>
            <w:r w:rsidDel="00000000" w:rsidR="00000000" w:rsidRPr="00000000">
              <w:rPr>
                <w:rtl w:val="0"/>
              </w:rPr>
            </w:r>
          </w:p>
        </w:tc>
        <w:tc>
          <w:tcPr>
            <w:tcBorders>
              <w:top w:color="000000" w:space="0" w:sz="0" w:val="nil"/>
              <w:left w:color="000000" w:space="0" w:sz="0" w:val="nil"/>
              <w:bottom w:color="a6a6a6" w:space="0" w:sz="6" w:val="single"/>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Mphase-exp2</w:t>
            </w:r>
            <w:r w:rsidDel="00000000" w:rsidR="00000000" w:rsidRPr="00000000">
              <w:rPr>
                <w:rtl w:val="0"/>
              </w:rPr>
            </w:r>
          </w:p>
        </w:tc>
        <w:tc>
          <w:tcPr>
            <w:tcBorders>
              <w:top w:color="000000" w:space="0" w:sz="0" w:val="nil"/>
              <w:left w:color="000000" w:space="0" w:sz="0" w:val="nil"/>
              <w:bottom w:color="a6a6a6" w:space="0" w:sz="6" w:val="single"/>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GSM1898009</w:t>
            </w:r>
            <w:r w:rsidDel="00000000" w:rsidR="00000000" w:rsidRPr="00000000">
              <w:rPr>
                <w:rtl w:val="0"/>
              </w:rPr>
            </w:r>
          </w:p>
        </w:tc>
        <w:tc>
          <w:tcPr>
            <w:tcBorders>
              <w:top w:color="000000" w:space="0" w:sz="0" w:val="nil"/>
              <w:left w:color="000000" w:space="0" w:sz="0" w:val="nil"/>
              <w:bottom w:color="a6a6a6" w:space="0" w:sz="6" w:val="single"/>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GSM1898013</w:t>
            </w:r>
            <w:r w:rsidDel="00000000" w:rsidR="00000000" w:rsidRPr="00000000">
              <w:rPr>
                <w:rtl w:val="0"/>
              </w:rPr>
            </w:r>
          </w:p>
        </w:tc>
        <w:tc>
          <w:tcPr>
            <w:tcBorders>
              <w:top w:color="000000" w:space="0" w:sz="0" w:val="nil"/>
              <w:left w:color="000000" w:space="0" w:sz="0" w:val="nil"/>
              <w:bottom w:color="a6a6a6" w:space="0" w:sz="6" w:val="single"/>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 </w:t>
            </w: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KOPT-K1</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Wolfe2014 </w:t>
            </w:r>
            <w:hyperlink r:id="rId18">
              <w:r w:rsidDel="00000000" w:rsidR="00000000" w:rsidRPr="00000000">
                <w:rPr>
                  <w:rFonts w:ascii="Proxima Nova" w:cs="Proxima Nova" w:eastAsia="Proxima Nova" w:hAnsi="Proxima Nova"/>
                  <w:b w:val="0"/>
                  <w:color w:val="000000"/>
                  <w:sz w:val="16"/>
                  <w:szCs w:val="16"/>
                  <w:u w:val="none"/>
                  <w:rtl w:val="0"/>
                </w:rPr>
                <w:t xml:space="preserve">[13]</w:t>
              </w:r>
            </w:hyperlink>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dmso-rep1</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GSM1370699</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GSM1370695</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KOPT-K1 T-ALL cell line</w:t>
            </w:r>
            <w:r w:rsidDel="00000000" w:rsidR="00000000" w:rsidRPr="00000000">
              <w:rPr>
                <w:rtl w:val="0"/>
              </w:rPr>
            </w:r>
          </w:p>
        </w:tc>
      </w:tr>
      <w:tr>
        <w:trPr>
          <w:trHeight w:val="240" w:hRule="atLeast"/>
        </w:trPr>
        <w:tc>
          <w:tcPr>
            <w:tcBorders>
              <w:top w:color="000000" w:space="0" w:sz="0" w:val="nil"/>
              <w:left w:color="000000" w:space="0" w:sz="0" w:val="nil"/>
              <w:bottom w:color="a6a6a6" w:space="0" w:sz="6" w:val="single"/>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 </w:t>
            </w:r>
            <w:r w:rsidDel="00000000" w:rsidR="00000000" w:rsidRPr="00000000">
              <w:rPr>
                <w:rtl w:val="0"/>
              </w:rPr>
            </w:r>
          </w:p>
        </w:tc>
        <w:tc>
          <w:tcPr>
            <w:tcBorders>
              <w:top w:color="000000" w:space="0" w:sz="0" w:val="nil"/>
              <w:left w:color="000000" w:space="0" w:sz="0" w:val="nil"/>
              <w:bottom w:color="a6a6a6" w:space="0" w:sz="6" w:val="single"/>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 </w:t>
            </w:r>
            <w:r w:rsidDel="00000000" w:rsidR="00000000" w:rsidRPr="00000000">
              <w:rPr>
                <w:rtl w:val="0"/>
              </w:rPr>
            </w:r>
          </w:p>
        </w:tc>
        <w:tc>
          <w:tcPr>
            <w:tcBorders>
              <w:top w:color="000000" w:space="0" w:sz="0" w:val="nil"/>
              <w:left w:color="000000" w:space="0" w:sz="0" w:val="nil"/>
              <w:bottom w:color="a6a6a6" w:space="0" w:sz="6" w:val="single"/>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dmso-rep2</w:t>
            </w:r>
            <w:r w:rsidDel="00000000" w:rsidR="00000000" w:rsidRPr="00000000">
              <w:rPr>
                <w:rtl w:val="0"/>
              </w:rPr>
            </w:r>
          </w:p>
        </w:tc>
        <w:tc>
          <w:tcPr>
            <w:tcBorders>
              <w:top w:color="000000" w:space="0" w:sz="0" w:val="nil"/>
              <w:left w:color="000000" w:space="0" w:sz="0" w:val="nil"/>
              <w:bottom w:color="a6a6a6" w:space="0" w:sz="6" w:val="single"/>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GSM1370700</w:t>
            </w:r>
            <w:r w:rsidDel="00000000" w:rsidR="00000000" w:rsidRPr="00000000">
              <w:rPr>
                <w:rtl w:val="0"/>
              </w:rPr>
            </w:r>
          </w:p>
        </w:tc>
        <w:tc>
          <w:tcPr>
            <w:tcBorders>
              <w:top w:color="000000" w:space="0" w:sz="0" w:val="nil"/>
              <w:left w:color="000000" w:space="0" w:sz="0" w:val="nil"/>
              <w:bottom w:color="a6a6a6" w:space="0" w:sz="6" w:val="single"/>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GSM1370696</w:t>
            </w:r>
            <w:r w:rsidDel="00000000" w:rsidR="00000000" w:rsidRPr="00000000">
              <w:rPr>
                <w:rtl w:val="0"/>
              </w:rPr>
            </w:r>
          </w:p>
        </w:tc>
        <w:tc>
          <w:tcPr>
            <w:tcBorders>
              <w:top w:color="000000" w:space="0" w:sz="0" w:val="nil"/>
              <w:left w:color="000000" w:space="0" w:sz="0" w:val="nil"/>
              <w:bottom w:color="a6a6a6" w:space="0" w:sz="6" w:val="single"/>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 </w:t>
            </w: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Lymphoblastoid</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Cenik2015 </w:t>
            </w:r>
            <w:hyperlink r:id="rId19">
              <w:r w:rsidDel="00000000" w:rsidR="00000000" w:rsidRPr="00000000">
                <w:rPr>
                  <w:rFonts w:ascii="Proxima Nova" w:cs="Proxima Nova" w:eastAsia="Proxima Nova" w:hAnsi="Proxima Nova"/>
                  <w:b w:val="0"/>
                  <w:color w:val="000000"/>
                  <w:sz w:val="16"/>
                  <w:szCs w:val="16"/>
                  <w:u w:val="none"/>
                  <w:rtl w:val="0"/>
                </w:rPr>
                <w:t xml:space="preserve">[14]</w:t>
              </w:r>
            </w:hyperlink>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GM12878-rep1</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GSM1609427</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GSM1609378</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EBV-transformed lymphoblastoid cells</w:t>
            </w: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GM12878-rep2</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GSM1609428</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GSM1609379</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GM12891-rep1</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GSM1609430</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GSM1609382</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GM12891-rep2</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GSM1609431</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GSM1609383</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GM12892-rep1</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GSM1609433</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GSM1609384</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GM12892-rep2</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GSM1609434</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GSM1609385</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GM19238-rep1</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GSM1609436</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GSM1609417</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GM19238-rep3</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GSM1609438</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GSM1609418</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GM19239-rep2</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GSM1609440</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GSM1609413</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GM19240-rep1</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GSM1609442</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GSM1609421</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GM19240-rep2</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GSM1609443</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GSM1609422</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r>
      <w:tr>
        <w:trPr>
          <w:trHeight w:val="240" w:hRule="atLeast"/>
        </w:trPr>
        <w:tc>
          <w:tcPr>
            <w:tcBorders>
              <w:top w:color="000000" w:space="0" w:sz="0" w:val="nil"/>
              <w:left w:color="000000" w:space="0" w:sz="0" w:val="nil"/>
              <w:bottom w:color="a6a6a6" w:space="0" w:sz="6" w:val="single"/>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 </w:t>
            </w:r>
            <w:r w:rsidDel="00000000" w:rsidR="00000000" w:rsidRPr="00000000">
              <w:rPr>
                <w:rtl w:val="0"/>
              </w:rPr>
            </w:r>
          </w:p>
        </w:tc>
        <w:tc>
          <w:tcPr>
            <w:tcBorders>
              <w:top w:color="000000" w:space="0" w:sz="0" w:val="nil"/>
              <w:left w:color="000000" w:space="0" w:sz="0" w:val="nil"/>
              <w:bottom w:color="a6a6a6" w:space="0" w:sz="6" w:val="single"/>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 </w:t>
            </w:r>
            <w:r w:rsidDel="00000000" w:rsidR="00000000" w:rsidRPr="00000000">
              <w:rPr>
                <w:rtl w:val="0"/>
              </w:rPr>
            </w:r>
          </w:p>
        </w:tc>
        <w:tc>
          <w:tcPr>
            <w:tcBorders>
              <w:top w:color="000000" w:space="0" w:sz="0" w:val="nil"/>
              <w:left w:color="000000" w:space="0" w:sz="0" w:val="nil"/>
              <w:bottom w:color="a6a6a6" w:space="0" w:sz="6" w:val="single"/>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GM19240-rep3</w:t>
            </w:r>
            <w:r w:rsidDel="00000000" w:rsidR="00000000" w:rsidRPr="00000000">
              <w:rPr>
                <w:rtl w:val="0"/>
              </w:rPr>
            </w:r>
          </w:p>
        </w:tc>
        <w:tc>
          <w:tcPr>
            <w:tcBorders>
              <w:top w:color="000000" w:space="0" w:sz="0" w:val="nil"/>
              <w:left w:color="000000" w:space="0" w:sz="0" w:val="nil"/>
              <w:bottom w:color="a6a6a6" w:space="0" w:sz="6" w:val="single"/>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GSM1609444</w:t>
            </w:r>
            <w:r w:rsidDel="00000000" w:rsidR="00000000" w:rsidRPr="00000000">
              <w:rPr>
                <w:rtl w:val="0"/>
              </w:rPr>
            </w:r>
          </w:p>
        </w:tc>
        <w:tc>
          <w:tcPr>
            <w:tcBorders>
              <w:top w:color="000000" w:space="0" w:sz="0" w:val="nil"/>
              <w:left w:color="000000" w:space="0" w:sz="0" w:val="nil"/>
              <w:bottom w:color="a6a6a6" w:space="0" w:sz="6" w:val="single"/>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GSM1609423</w:t>
            </w:r>
            <w:r w:rsidDel="00000000" w:rsidR="00000000" w:rsidRPr="00000000">
              <w:rPr>
                <w:rtl w:val="0"/>
              </w:rPr>
            </w:r>
          </w:p>
        </w:tc>
        <w:tc>
          <w:tcPr>
            <w:tcBorders>
              <w:top w:color="000000" w:space="0" w:sz="0" w:val="nil"/>
              <w:left w:color="000000" w:space="0" w:sz="0" w:val="nil"/>
              <w:bottom w:color="a6a6a6" w:space="0" w:sz="6" w:val="single"/>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 </w:t>
            </w: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Macrophages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Su2015 </w:t>
            </w:r>
            <w:hyperlink r:id="rId20">
              <w:r w:rsidDel="00000000" w:rsidR="00000000" w:rsidRPr="00000000">
                <w:rPr>
                  <w:rFonts w:ascii="Proxima Nova" w:cs="Proxima Nova" w:eastAsia="Proxima Nova" w:hAnsi="Proxima Nova"/>
                  <w:b w:val="0"/>
                  <w:color w:val="000000"/>
                  <w:sz w:val="16"/>
                  <w:szCs w:val="16"/>
                  <w:u w:val="none"/>
                  <w:rtl w:val="0"/>
                </w:rPr>
                <w:t xml:space="preserve">[15]</w:t>
              </w:r>
            </w:hyperlink>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mock-rep1</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GSM1632596</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GSM1632594</w:t>
            </w:r>
            <w:r w:rsidDel="00000000" w:rsidR="00000000" w:rsidRPr="00000000">
              <w:rPr>
                <w:rtl w:val="0"/>
              </w:rPr>
            </w:r>
          </w:p>
        </w:tc>
        <w:tc>
          <w:tcPr>
            <w:vMerge w:val="restart"/>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human primary macrophages (TLR2 stimulated; micrococccal nuclease)</w:t>
            </w:r>
            <w:r w:rsidDel="00000000" w:rsidR="00000000" w:rsidRPr="00000000">
              <w:rPr>
                <w:rtl w:val="0"/>
              </w:rPr>
            </w:r>
          </w:p>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 </w:t>
            </w:r>
            <w:r w:rsidDel="00000000" w:rsidR="00000000" w:rsidRPr="00000000">
              <w:rPr>
                <w:rtl w:val="0"/>
              </w:rPr>
            </w:r>
          </w:p>
        </w:tc>
      </w:tr>
      <w:tr>
        <w:trPr>
          <w:trHeight w:val="240" w:hRule="atLeast"/>
        </w:trPr>
        <w:tc>
          <w:tcPr>
            <w:tcBorders>
              <w:top w:color="000000" w:space="0" w:sz="0" w:val="nil"/>
              <w:left w:color="000000" w:space="0" w:sz="0" w:val="nil"/>
              <w:bottom w:color="a6a6a6" w:space="0" w:sz="6" w:val="single"/>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 </w:t>
            </w:r>
            <w:r w:rsidDel="00000000" w:rsidR="00000000" w:rsidRPr="00000000">
              <w:rPr>
                <w:rtl w:val="0"/>
              </w:rPr>
            </w:r>
          </w:p>
        </w:tc>
        <w:tc>
          <w:tcPr>
            <w:tcBorders>
              <w:top w:color="000000" w:space="0" w:sz="0" w:val="nil"/>
              <w:left w:color="000000" w:space="0" w:sz="0" w:val="nil"/>
              <w:bottom w:color="a6a6a6" w:space="0" w:sz="6" w:val="single"/>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 </w:t>
            </w:r>
            <w:r w:rsidDel="00000000" w:rsidR="00000000" w:rsidRPr="00000000">
              <w:rPr>
                <w:rtl w:val="0"/>
              </w:rPr>
            </w:r>
          </w:p>
        </w:tc>
        <w:tc>
          <w:tcPr>
            <w:tcBorders>
              <w:top w:color="000000" w:space="0" w:sz="0" w:val="nil"/>
              <w:left w:color="000000" w:space="0" w:sz="0" w:val="nil"/>
              <w:bottom w:color="a6a6a6" w:space="0" w:sz="6" w:val="single"/>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mock-rep2</w:t>
            </w:r>
            <w:r w:rsidDel="00000000" w:rsidR="00000000" w:rsidRPr="00000000">
              <w:rPr>
                <w:rtl w:val="0"/>
              </w:rPr>
            </w:r>
          </w:p>
        </w:tc>
        <w:tc>
          <w:tcPr>
            <w:tcBorders>
              <w:top w:color="000000" w:space="0" w:sz="0" w:val="nil"/>
              <w:left w:color="000000" w:space="0" w:sz="0" w:val="nil"/>
              <w:bottom w:color="a6a6a6" w:space="0" w:sz="6" w:val="single"/>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GSM1632600</w:t>
            </w:r>
            <w:r w:rsidDel="00000000" w:rsidR="00000000" w:rsidRPr="00000000">
              <w:rPr>
                <w:rtl w:val="0"/>
              </w:rPr>
            </w:r>
          </w:p>
        </w:tc>
        <w:tc>
          <w:tcPr>
            <w:tcBorders>
              <w:top w:color="000000" w:space="0" w:sz="0" w:val="nil"/>
              <w:left w:color="000000" w:space="0" w:sz="0" w:val="nil"/>
              <w:bottom w:color="a6a6a6" w:space="0" w:sz="6" w:val="single"/>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GSM1632598</w:t>
            </w:r>
            <w:r w:rsidDel="00000000" w:rsidR="00000000" w:rsidRPr="00000000">
              <w:rPr>
                <w:rtl w:val="0"/>
              </w:rPr>
            </w:r>
          </w:p>
        </w:tc>
        <w:tc>
          <w:tcPr>
            <w:vMerge w:val="continue"/>
            <w:tcBorders>
              <w:top w:color="000000" w:space="0" w:sz="0" w:val="nil"/>
              <w:left w:color="000000" w:space="0" w:sz="0" w:val="nil"/>
              <w:bottom w:color="a6a6a6" w:space="0" w:sz="6" w:val="single"/>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r>
      <w:tr>
        <w:trPr>
          <w:trHeight w:val="240" w:hRule="atLeast"/>
        </w:trPr>
        <w:tc>
          <w:tcPr>
            <w:tcBorders>
              <w:top w:color="000000" w:space="0" w:sz="0" w:val="nil"/>
              <w:left w:color="000000" w:space="0" w:sz="0" w:val="nil"/>
              <w:bottom w:color="a6a6a6" w:space="0" w:sz="6" w:val="single"/>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Muscle</w:t>
            </w:r>
            <w:r w:rsidDel="00000000" w:rsidR="00000000" w:rsidRPr="00000000">
              <w:rPr>
                <w:rtl w:val="0"/>
              </w:rPr>
            </w:r>
          </w:p>
        </w:tc>
        <w:tc>
          <w:tcPr>
            <w:tcBorders>
              <w:top w:color="000000" w:space="0" w:sz="0" w:val="nil"/>
              <w:left w:color="000000" w:space="0" w:sz="0" w:val="nil"/>
              <w:bottom w:color="a6a6a6" w:space="0" w:sz="6" w:val="single"/>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Wein2014 </w:t>
            </w:r>
            <w:hyperlink r:id="rId21">
              <w:r w:rsidDel="00000000" w:rsidR="00000000" w:rsidRPr="00000000">
                <w:rPr>
                  <w:rFonts w:ascii="Proxima Nova" w:cs="Proxima Nova" w:eastAsia="Proxima Nova" w:hAnsi="Proxima Nova"/>
                  <w:b w:val="0"/>
                  <w:color w:val="000000"/>
                  <w:sz w:val="16"/>
                  <w:szCs w:val="16"/>
                  <w:u w:val="none"/>
                  <w:rtl w:val="0"/>
                </w:rPr>
                <w:t xml:space="preserve">[16]</w:t>
              </w:r>
            </w:hyperlink>
            <w:r w:rsidDel="00000000" w:rsidR="00000000" w:rsidRPr="00000000">
              <w:rPr>
                <w:rtl w:val="0"/>
              </w:rPr>
            </w:r>
          </w:p>
        </w:tc>
        <w:tc>
          <w:tcPr>
            <w:tcBorders>
              <w:top w:color="000000" w:space="0" w:sz="0" w:val="nil"/>
              <w:left w:color="000000" w:space="0" w:sz="0" w:val="nil"/>
              <w:bottom w:color="a6a6a6" w:space="0" w:sz="6" w:val="single"/>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control</w:t>
            </w:r>
            <w:r w:rsidDel="00000000" w:rsidR="00000000" w:rsidRPr="00000000">
              <w:rPr>
                <w:rtl w:val="0"/>
              </w:rPr>
            </w:r>
          </w:p>
        </w:tc>
        <w:tc>
          <w:tcPr>
            <w:tcBorders>
              <w:top w:color="000000" w:space="0" w:sz="0" w:val="nil"/>
              <w:left w:color="000000" w:space="0" w:sz="0" w:val="nil"/>
              <w:bottom w:color="a6a6a6" w:space="0" w:sz="6" w:val="single"/>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GSM1356677</w:t>
            </w:r>
            <w:r w:rsidDel="00000000" w:rsidR="00000000" w:rsidRPr="00000000">
              <w:rPr>
                <w:rtl w:val="0"/>
              </w:rPr>
            </w:r>
          </w:p>
        </w:tc>
        <w:tc>
          <w:tcPr>
            <w:tcBorders>
              <w:top w:color="000000" w:space="0" w:sz="0" w:val="nil"/>
              <w:left w:color="000000" w:space="0" w:sz="0" w:val="nil"/>
              <w:bottom w:color="a6a6a6" w:space="0" w:sz="6" w:val="single"/>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GSM1356675</w:t>
            </w:r>
            <w:r w:rsidDel="00000000" w:rsidR="00000000" w:rsidRPr="00000000">
              <w:rPr>
                <w:rtl w:val="0"/>
              </w:rPr>
            </w:r>
          </w:p>
        </w:tc>
        <w:tc>
          <w:tcPr>
            <w:tcBorders>
              <w:top w:color="000000" w:space="0" w:sz="0" w:val="nil"/>
              <w:left w:color="000000" w:space="0" w:sz="0" w:val="nil"/>
              <w:bottom w:color="a6a6a6" w:space="0" w:sz="6" w:val="single"/>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Skeletal muscle (normal control)</w:t>
            </w:r>
            <w:r w:rsidDel="00000000" w:rsidR="00000000" w:rsidRPr="00000000">
              <w:rPr>
                <w:rtl w:val="0"/>
              </w:rPr>
            </w:r>
          </w:p>
        </w:tc>
      </w:tr>
      <w:tr>
        <w:trPr>
          <w:trHeight w:val="240" w:hRule="atLeast"/>
        </w:trPr>
        <w:tc>
          <w:tcPr>
            <w:tcBorders>
              <w:top w:color="000000" w:space="0" w:sz="0" w:val="nil"/>
              <w:left w:color="000000" w:space="0" w:sz="0" w:val="nil"/>
              <w:bottom w:color="a6a6a6" w:space="0" w:sz="6" w:val="single"/>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Myeloma</w:t>
            </w:r>
            <w:r w:rsidDel="00000000" w:rsidR="00000000" w:rsidRPr="00000000">
              <w:rPr>
                <w:rtl w:val="0"/>
              </w:rPr>
            </w:r>
          </w:p>
        </w:tc>
        <w:tc>
          <w:tcPr>
            <w:tcBorders>
              <w:top w:color="000000" w:space="0" w:sz="0" w:val="nil"/>
              <w:left w:color="000000" w:space="0" w:sz="0" w:val="nil"/>
              <w:bottom w:color="a6a6a6" w:space="0" w:sz="6" w:val="single"/>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Wiita2013 </w:t>
            </w:r>
            <w:hyperlink r:id="rId22">
              <w:r w:rsidDel="00000000" w:rsidR="00000000" w:rsidRPr="00000000">
                <w:rPr>
                  <w:rFonts w:ascii="Proxima Nova" w:cs="Proxima Nova" w:eastAsia="Proxima Nova" w:hAnsi="Proxima Nova"/>
                  <w:b w:val="0"/>
                  <w:color w:val="000000"/>
                  <w:sz w:val="16"/>
                  <w:szCs w:val="16"/>
                  <w:u w:val="none"/>
                  <w:rtl w:val="0"/>
                </w:rPr>
                <w:t xml:space="preserve">[17]</w:t>
              </w:r>
            </w:hyperlink>
            <w:r w:rsidDel="00000000" w:rsidR="00000000" w:rsidRPr="00000000">
              <w:rPr>
                <w:rtl w:val="0"/>
              </w:rPr>
            </w:r>
          </w:p>
        </w:tc>
        <w:tc>
          <w:tcPr>
            <w:tcBorders>
              <w:top w:color="000000" w:space="0" w:sz="0" w:val="nil"/>
              <w:left w:color="000000" w:space="0" w:sz="0" w:val="nil"/>
              <w:bottom w:color="a6a6a6" w:space="0" w:sz="6" w:val="single"/>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control</w:t>
            </w:r>
            <w:r w:rsidDel="00000000" w:rsidR="00000000" w:rsidRPr="00000000">
              <w:rPr>
                <w:rtl w:val="0"/>
              </w:rPr>
            </w:r>
          </w:p>
        </w:tc>
        <w:tc>
          <w:tcPr>
            <w:tcBorders>
              <w:top w:color="000000" w:space="0" w:sz="0" w:val="nil"/>
              <w:left w:color="000000" w:space="0" w:sz="0" w:val="nil"/>
              <w:bottom w:color="a6a6a6" w:space="0" w:sz="6" w:val="single"/>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GSM1184591</w:t>
            </w:r>
            <w:r w:rsidDel="00000000" w:rsidR="00000000" w:rsidRPr="00000000">
              <w:rPr>
                <w:rtl w:val="0"/>
              </w:rPr>
            </w:r>
          </w:p>
        </w:tc>
        <w:tc>
          <w:tcPr>
            <w:tcBorders>
              <w:top w:color="000000" w:space="0" w:sz="0" w:val="nil"/>
              <w:left w:color="000000" w:space="0" w:sz="0" w:val="nil"/>
              <w:bottom w:color="a6a6a6" w:space="0" w:sz="6" w:val="single"/>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GSM1184592</w:t>
            </w:r>
            <w:r w:rsidDel="00000000" w:rsidR="00000000" w:rsidRPr="00000000">
              <w:rPr>
                <w:rtl w:val="0"/>
              </w:rPr>
            </w:r>
          </w:p>
        </w:tc>
        <w:tc>
          <w:tcPr>
            <w:tcBorders>
              <w:top w:color="000000" w:space="0" w:sz="0" w:val="nil"/>
              <w:left w:color="000000" w:space="0" w:sz="0" w:val="nil"/>
              <w:bottom w:color="a6a6a6" w:space="0" w:sz="6" w:val="single"/>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MM1.S myeloma cell line</w:t>
            </w: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PC3</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Hsieh2012 </w:t>
            </w:r>
            <w:hyperlink r:id="rId23">
              <w:r w:rsidDel="00000000" w:rsidR="00000000" w:rsidRPr="00000000">
                <w:rPr>
                  <w:rFonts w:ascii="Proxima Nova" w:cs="Proxima Nova" w:eastAsia="Proxima Nova" w:hAnsi="Proxima Nova"/>
                  <w:b w:val="0"/>
                  <w:color w:val="000000"/>
                  <w:sz w:val="16"/>
                  <w:szCs w:val="16"/>
                  <w:u w:val="none"/>
                  <w:rtl w:val="0"/>
                </w:rPr>
                <w:t xml:space="preserve">[18]</w:t>
              </w:r>
            </w:hyperlink>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control-rep1</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GSM869036</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GSM869037</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PC3 (prostate cancer cells; sample type: polyA RNA; treatment: vehicle)</w:t>
            </w:r>
            <w:r w:rsidDel="00000000" w:rsidR="00000000" w:rsidRPr="00000000">
              <w:rPr>
                <w:rtl w:val="0"/>
              </w:rPr>
            </w:r>
          </w:p>
        </w:tc>
      </w:tr>
      <w:tr>
        <w:trPr>
          <w:trHeight w:val="240" w:hRule="atLeast"/>
        </w:trPr>
        <w:tc>
          <w:tcPr>
            <w:tcBorders>
              <w:top w:color="000000" w:space="0" w:sz="0" w:val="nil"/>
              <w:left w:color="000000" w:space="0" w:sz="0" w:val="nil"/>
              <w:bottom w:color="a6a6a6" w:space="0" w:sz="6" w:val="single"/>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 </w:t>
            </w:r>
            <w:r w:rsidDel="00000000" w:rsidR="00000000" w:rsidRPr="00000000">
              <w:rPr>
                <w:rtl w:val="0"/>
              </w:rPr>
            </w:r>
          </w:p>
        </w:tc>
        <w:tc>
          <w:tcPr>
            <w:tcBorders>
              <w:top w:color="000000" w:space="0" w:sz="0" w:val="nil"/>
              <w:left w:color="000000" w:space="0" w:sz="0" w:val="nil"/>
              <w:bottom w:color="a6a6a6" w:space="0" w:sz="6" w:val="single"/>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 </w:t>
            </w:r>
            <w:r w:rsidDel="00000000" w:rsidR="00000000" w:rsidRPr="00000000">
              <w:rPr>
                <w:rtl w:val="0"/>
              </w:rPr>
            </w:r>
          </w:p>
        </w:tc>
        <w:tc>
          <w:tcPr>
            <w:tcBorders>
              <w:top w:color="000000" w:space="0" w:sz="0" w:val="nil"/>
              <w:left w:color="000000" w:space="0" w:sz="0" w:val="nil"/>
              <w:bottom w:color="a6a6a6" w:space="0" w:sz="6" w:val="single"/>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control-rep2</w:t>
            </w:r>
            <w:r w:rsidDel="00000000" w:rsidR="00000000" w:rsidRPr="00000000">
              <w:rPr>
                <w:rtl w:val="0"/>
              </w:rPr>
            </w:r>
          </w:p>
        </w:tc>
        <w:tc>
          <w:tcPr>
            <w:tcBorders>
              <w:top w:color="000000" w:space="0" w:sz="0" w:val="nil"/>
              <w:left w:color="000000" w:space="0" w:sz="0" w:val="nil"/>
              <w:bottom w:color="a6a6a6" w:space="0" w:sz="6" w:val="single"/>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GSM869042</w:t>
            </w:r>
            <w:r w:rsidDel="00000000" w:rsidR="00000000" w:rsidRPr="00000000">
              <w:rPr>
                <w:rtl w:val="0"/>
              </w:rPr>
            </w:r>
          </w:p>
        </w:tc>
        <w:tc>
          <w:tcPr>
            <w:tcBorders>
              <w:top w:color="000000" w:space="0" w:sz="0" w:val="nil"/>
              <w:left w:color="000000" w:space="0" w:sz="0" w:val="nil"/>
              <w:bottom w:color="a6a6a6" w:space="0" w:sz="6" w:val="single"/>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GSM869043</w:t>
            </w:r>
            <w:r w:rsidDel="00000000" w:rsidR="00000000" w:rsidRPr="00000000">
              <w:rPr>
                <w:rtl w:val="0"/>
              </w:rPr>
            </w:r>
          </w:p>
        </w:tc>
        <w:tc>
          <w:tcPr>
            <w:tcBorders>
              <w:top w:color="000000" w:space="0" w:sz="0" w:val="nil"/>
              <w:left w:color="000000" w:space="0" w:sz="0" w:val="nil"/>
              <w:bottom w:color="a6a6a6" w:space="0" w:sz="6" w:val="single"/>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 </w:t>
            </w: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U2OS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Eichhorn2014 </w:t>
            </w:r>
            <w:hyperlink r:id="rId24">
              <w:r w:rsidDel="00000000" w:rsidR="00000000" w:rsidRPr="00000000">
                <w:rPr>
                  <w:rFonts w:ascii="Proxima Nova" w:cs="Proxima Nova" w:eastAsia="Proxima Nova" w:hAnsi="Proxima Nova"/>
                  <w:b w:val="0"/>
                  <w:color w:val="000000"/>
                  <w:sz w:val="16"/>
                  <w:szCs w:val="16"/>
                  <w:u w:val="none"/>
                  <w:rtl w:val="0"/>
                </w:rPr>
                <w:t xml:space="preserve">[6]</w:t>
              </w:r>
            </w:hyperlink>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mock</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GSM1479587</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GSM1479588</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U2OS cell line (mock-transfected, tRNA and rRNA depleted RNA-seq)</w:t>
            </w: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Guo2014 </w:t>
            </w:r>
            <w:hyperlink r:id="rId25">
              <w:r w:rsidDel="00000000" w:rsidR="00000000" w:rsidRPr="00000000">
                <w:rPr>
                  <w:rFonts w:ascii="Proxima Nova" w:cs="Proxima Nova" w:eastAsia="Proxima Nova" w:hAnsi="Proxima Nova"/>
                  <w:b w:val="0"/>
                  <w:color w:val="000000"/>
                  <w:sz w:val="16"/>
                  <w:szCs w:val="16"/>
                  <w:u w:val="none"/>
                  <w:rtl w:val="0"/>
                </w:rPr>
                <w:t xml:space="preserve">[19]</w:t>
              </w:r>
            </w:hyperlink>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mock</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GSM1248736</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GSM1248735</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U2OS cells (mock-transfected, poly(A)-selected RNA-seq)</w:t>
            </w: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Jang2015 </w:t>
            </w:r>
            <w:hyperlink r:id="rId26">
              <w:r w:rsidDel="00000000" w:rsidR="00000000" w:rsidRPr="00000000">
                <w:rPr>
                  <w:rFonts w:ascii="Proxima Nova" w:cs="Proxima Nova" w:eastAsia="Proxima Nova" w:hAnsi="Proxima Nova"/>
                  <w:b w:val="0"/>
                  <w:color w:val="000000"/>
                  <w:sz w:val="16"/>
                  <w:szCs w:val="16"/>
                  <w:u w:val="none"/>
                  <w:rtl w:val="0"/>
                </w:rPr>
                <w:t xml:space="preserve">[20]</w:t>
              </w:r>
            </w:hyperlink>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CT00-rep1</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GSM1371395</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GSM1371443</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U2OS (cell type: osteosarcoma)</w:t>
            </w: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CT00-rep2</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GSM1371407</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GSM1371455</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CT02-rep1</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GSM1371396</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GSM1371444</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CT02-rep2</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GSM1371408</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GSM1371456</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CT04-rep1</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GSM1371397</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GSM1371445</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CT04-rep2</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GSM1371409</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GSM1371457</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CT06-rep1</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GSM1371398</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GSM1371446</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CT06-rep2</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GSM1371410</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GSM1371458</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CT08-rep1</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GSM1371399</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GSM1371447</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CT08-rep2</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GSM1371411</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GSM1371459</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CT10-rep1</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GSM1371400</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GSM1371448</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CT10-rep2</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GSM1371412</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GSM1371460</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CT12-rep1</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GSM1371401</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GSM1371449</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CT12-rep2</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GSM1371413</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GSM1371461</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CT14-rep1</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GSM1371402</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GSM1371450</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CT14-rep2</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GSM1371414</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GSM1371462</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CT16-rep1</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GSM1371403</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GSM1371451</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CT16-rep2</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GSM1371415</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GSM1371463</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CT18-rep1</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GSM1371404</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GSM1371452</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CT18-rep2</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GSM1371416</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GSM1371464</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CT20-rep1</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GSM1371405</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GSM1371453</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CT20-rep2</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GSM1371417</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GSM1371465</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CT22-rep1</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GSM1371406</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GSM1371454</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r>
      <w:tr>
        <w:trPr>
          <w:trHeight w:val="240" w:hRule="atLeast"/>
        </w:trPr>
        <w:tc>
          <w:tcPr>
            <w:tcBorders>
              <w:top w:color="000000" w:space="0" w:sz="0" w:val="nil"/>
              <w:left w:color="000000" w:space="0" w:sz="0" w:val="nil"/>
              <w:bottom w:color="a6a6a6" w:space="0" w:sz="6" w:val="single"/>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 </w:t>
            </w:r>
            <w:r w:rsidDel="00000000" w:rsidR="00000000" w:rsidRPr="00000000">
              <w:rPr>
                <w:rtl w:val="0"/>
              </w:rPr>
            </w:r>
          </w:p>
        </w:tc>
        <w:tc>
          <w:tcPr>
            <w:tcBorders>
              <w:top w:color="000000" w:space="0" w:sz="0" w:val="nil"/>
              <w:left w:color="000000" w:space="0" w:sz="0" w:val="nil"/>
              <w:bottom w:color="a6a6a6" w:space="0" w:sz="6" w:val="single"/>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 </w:t>
            </w:r>
            <w:r w:rsidDel="00000000" w:rsidR="00000000" w:rsidRPr="00000000">
              <w:rPr>
                <w:rtl w:val="0"/>
              </w:rPr>
            </w:r>
          </w:p>
        </w:tc>
        <w:tc>
          <w:tcPr>
            <w:tcBorders>
              <w:top w:color="000000" w:space="0" w:sz="0" w:val="nil"/>
              <w:left w:color="000000" w:space="0" w:sz="0" w:val="nil"/>
              <w:bottom w:color="a6a6a6" w:space="0" w:sz="6" w:val="single"/>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CT22-rep2</w:t>
            </w:r>
            <w:r w:rsidDel="00000000" w:rsidR="00000000" w:rsidRPr="00000000">
              <w:rPr>
                <w:rtl w:val="0"/>
              </w:rPr>
            </w:r>
          </w:p>
        </w:tc>
        <w:tc>
          <w:tcPr>
            <w:tcBorders>
              <w:top w:color="000000" w:space="0" w:sz="0" w:val="nil"/>
              <w:left w:color="000000" w:space="0" w:sz="0" w:val="nil"/>
              <w:bottom w:color="a6a6a6" w:space="0" w:sz="6" w:val="single"/>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GSM1371418</w:t>
            </w:r>
            <w:r w:rsidDel="00000000" w:rsidR="00000000" w:rsidRPr="00000000">
              <w:rPr>
                <w:rtl w:val="0"/>
              </w:rPr>
            </w:r>
          </w:p>
        </w:tc>
        <w:tc>
          <w:tcPr>
            <w:tcBorders>
              <w:top w:color="000000" w:space="0" w:sz="0" w:val="nil"/>
              <w:left w:color="000000" w:space="0" w:sz="0" w:val="nil"/>
              <w:bottom w:color="a6a6a6" w:space="0" w:sz="6" w:val="single"/>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GSM1371466</w:t>
            </w:r>
            <w:r w:rsidDel="00000000" w:rsidR="00000000" w:rsidRPr="00000000">
              <w:rPr>
                <w:rtl w:val="0"/>
              </w:rPr>
            </w:r>
          </w:p>
        </w:tc>
        <w:tc>
          <w:tcPr>
            <w:tcBorders>
              <w:top w:color="000000" w:space="0" w:sz="0" w:val="nil"/>
              <w:left w:color="000000" w:space="0" w:sz="0" w:val="nil"/>
              <w:bottom w:color="a6a6a6" w:space="0" w:sz="6" w:val="single"/>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 </w:t>
            </w: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hES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Werner2015 </w:t>
            </w:r>
            <w:hyperlink r:id="rId27">
              <w:r w:rsidDel="00000000" w:rsidR="00000000" w:rsidRPr="00000000">
                <w:rPr>
                  <w:rFonts w:ascii="Proxima Nova" w:cs="Proxima Nova" w:eastAsia="Proxima Nova" w:hAnsi="Proxima Nova"/>
                  <w:b w:val="0"/>
                  <w:color w:val="000000"/>
                  <w:sz w:val="16"/>
                  <w:szCs w:val="16"/>
                  <w:u w:val="none"/>
                  <w:rtl w:val="0"/>
                </w:rPr>
                <w:t xml:space="preserve">[21]</w:t>
              </w:r>
            </w:hyperlink>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control-rep1</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GSM1523640</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GSM1523624</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hES cell (cell line: H1)</w:t>
            </w:r>
            <w:r w:rsidDel="00000000" w:rsidR="00000000" w:rsidRPr="00000000">
              <w:rPr>
                <w:rtl w:val="0"/>
              </w:rPr>
            </w:r>
          </w:p>
        </w:tc>
      </w:tr>
      <w:tr>
        <w:trPr>
          <w:trHeight w:val="240" w:hRule="atLeast"/>
        </w:trPr>
        <w:tc>
          <w:tcPr>
            <w:tcBorders>
              <w:top w:color="000000" w:space="0" w:sz="0" w:val="nil"/>
              <w:left w:color="000000" w:space="0" w:sz="0" w:val="nil"/>
              <w:bottom w:color="000000" w:space="0" w:sz="7" w:val="single"/>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 </w:t>
            </w:r>
            <w:r w:rsidDel="00000000" w:rsidR="00000000" w:rsidRPr="00000000">
              <w:rPr>
                <w:rtl w:val="0"/>
              </w:rPr>
            </w:r>
          </w:p>
        </w:tc>
        <w:tc>
          <w:tcPr>
            <w:tcBorders>
              <w:top w:color="000000" w:space="0" w:sz="0" w:val="nil"/>
              <w:left w:color="000000" w:space="0" w:sz="0" w:val="nil"/>
              <w:bottom w:color="000000" w:space="0" w:sz="7" w:val="single"/>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 </w:t>
            </w:r>
            <w:r w:rsidDel="00000000" w:rsidR="00000000" w:rsidRPr="00000000">
              <w:rPr>
                <w:rtl w:val="0"/>
              </w:rPr>
            </w:r>
          </w:p>
        </w:tc>
        <w:tc>
          <w:tcPr>
            <w:tcBorders>
              <w:top w:color="000000" w:space="0" w:sz="0" w:val="nil"/>
              <w:left w:color="000000" w:space="0" w:sz="0" w:val="nil"/>
              <w:bottom w:color="000000" w:space="0" w:sz="7" w:val="single"/>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control-rep2</w:t>
            </w:r>
            <w:r w:rsidDel="00000000" w:rsidR="00000000" w:rsidRPr="00000000">
              <w:rPr>
                <w:rtl w:val="0"/>
              </w:rPr>
            </w:r>
          </w:p>
        </w:tc>
        <w:tc>
          <w:tcPr>
            <w:tcBorders>
              <w:top w:color="000000" w:space="0" w:sz="0" w:val="nil"/>
              <w:left w:color="000000" w:space="0" w:sz="0" w:val="nil"/>
              <w:bottom w:color="000000" w:space="0" w:sz="7" w:val="single"/>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GSM1523648</w:t>
            </w:r>
            <w:r w:rsidDel="00000000" w:rsidR="00000000" w:rsidRPr="00000000">
              <w:rPr>
                <w:rtl w:val="0"/>
              </w:rPr>
            </w:r>
          </w:p>
        </w:tc>
        <w:tc>
          <w:tcPr>
            <w:tcBorders>
              <w:top w:color="000000" w:space="0" w:sz="0" w:val="nil"/>
              <w:left w:color="000000" w:space="0" w:sz="0" w:val="nil"/>
              <w:bottom w:color="000000" w:space="0" w:sz="7" w:val="single"/>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GSM1523632</w:t>
            </w:r>
            <w:r w:rsidDel="00000000" w:rsidR="00000000" w:rsidRPr="00000000">
              <w:rPr>
                <w:rtl w:val="0"/>
              </w:rPr>
            </w:r>
          </w:p>
        </w:tc>
        <w:tc>
          <w:tcPr>
            <w:tcBorders>
              <w:top w:color="000000" w:space="0" w:sz="0" w:val="nil"/>
              <w:left w:color="000000" w:space="0" w:sz="0" w:val="nil"/>
              <w:bottom w:color="000000" w:space="0" w:sz="7" w:val="single"/>
              <w:right w:color="000000" w:space="0" w:sz="0" w:val="nil"/>
            </w:tcBorders>
            <w:tcMar>
              <w:top w:w="0.0" w:type="dxa"/>
              <w:left w:w="0.0" w:type="dxa"/>
              <w:bottom w:w="0.0" w:type="dxa"/>
              <w:right w:w="0.0" w:type="dxa"/>
            </w:tcMar>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Fonts w:ascii="Proxima Nova" w:cs="Proxima Nova" w:eastAsia="Proxima Nova" w:hAnsi="Proxima Nova"/>
                <w:sz w:val="16"/>
                <w:szCs w:val="16"/>
                <w:rtl w:val="0"/>
              </w:rPr>
              <w:t xml:space="preserve"> </w:t>
            </w:r>
            <w:r w:rsidDel="00000000" w:rsidR="00000000" w:rsidRPr="00000000">
              <w:rPr>
                <w:rtl w:val="0"/>
              </w:rPr>
            </w:r>
          </w:p>
        </w:tc>
      </w:tr>
    </w:tbl>
    <w:p w:rsidR="00000000" w:rsidDel="00000000" w:rsidP="00000000" w:rsidRDefault="00000000" w:rsidRPr="00000000">
      <w:pPr>
        <w:spacing w:line="240" w:lineRule="auto"/>
        <w:contextualSpacing w:val="0"/>
        <w:rPr>
          <w:rFonts w:ascii="Proxima Nova" w:cs="Proxima Nova" w:eastAsia="Proxima Nova" w:hAnsi="Proxima Nova"/>
          <w:sz w:val="14"/>
          <w:szCs w:val="14"/>
        </w:rPr>
      </w:pPr>
      <w:r w:rsidDel="00000000" w:rsidR="00000000" w:rsidRPr="00000000">
        <w:rPr>
          <w:rtl w:val="0"/>
        </w:rPr>
      </w:r>
    </w:p>
    <w:p w:rsidR="00000000" w:rsidDel="00000000" w:rsidP="00000000" w:rsidRDefault="00000000" w:rsidRPr="00000000">
      <w:pPr>
        <w:spacing w:line="240" w:lineRule="auto"/>
        <w:contextualSpacing w:val="0"/>
        <w:rPr>
          <w:rFonts w:ascii="Proxima Nova" w:cs="Proxima Nova" w:eastAsia="Proxima Nova" w:hAnsi="Proxima Nova"/>
          <w:sz w:val="14"/>
          <w:szCs w:val="14"/>
        </w:rPr>
      </w:pPr>
      <w:r w:rsidDel="00000000" w:rsidR="00000000" w:rsidRPr="00000000">
        <w:rPr>
          <w:rtl w:val="0"/>
        </w:rPr>
      </w:r>
    </w:p>
    <w:p w:rsidR="00000000" w:rsidDel="00000000" w:rsidP="00000000" w:rsidRDefault="00000000" w:rsidRPr="00000000">
      <w:pPr>
        <w:pStyle w:val="Heading1"/>
        <w:contextualSpacing w:val="0"/>
        <w:rPr/>
      </w:pPr>
      <w:bookmarkStart w:colFirst="0" w:colLast="0" w:name="_jzanklfbtg50" w:id="1"/>
      <w:bookmarkEnd w:id="1"/>
      <w:r w:rsidDel="00000000" w:rsidR="00000000" w:rsidRPr="00000000">
        <w:rPr>
          <w:rtl w:val="0"/>
        </w:rPr>
      </w:r>
    </w:p>
    <w:p w:rsidR="00000000" w:rsidDel="00000000" w:rsidP="00000000" w:rsidRDefault="00000000" w:rsidRPr="00000000">
      <w:pPr>
        <w:pStyle w:val="Heading1"/>
        <w:contextualSpacing w:val="0"/>
        <w:rPr/>
      </w:pPr>
      <w:bookmarkStart w:colFirst="0" w:colLast="0" w:name="_utigmor5i9p7" w:id="2"/>
      <w:bookmarkEnd w:id="2"/>
      <w:r w:rsidDel="00000000" w:rsidR="00000000" w:rsidRPr="00000000">
        <w:rPr>
          <w:sz w:val="24"/>
          <w:szCs w:val="24"/>
          <w:rtl w:val="0"/>
        </w:rPr>
        <w:t xml:space="preserve">Reference</w:t>
      </w:r>
      <w:r w:rsidDel="00000000" w:rsidR="00000000" w:rsidRPr="00000000">
        <w:rPr>
          <w:rtl w:val="0"/>
        </w:rPr>
        <w:t xml:space="preserve"> </w:t>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220" w:before="220" w:line="240" w:lineRule="auto"/>
        <w:ind w:left="0" w:right="0" w:firstLine="0"/>
        <w:contextualSpacing w:val="0"/>
        <w:jc w:val="left"/>
        <w:rPr>
          <w:b w:val="0"/>
          <w:i w:val="0"/>
          <w:color w:val="000000"/>
          <w:sz w:val="20"/>
          <w:szCs w:val="20"/>
        </w:rPr>
      </w:pPr>
      <w:hyperlink r:id="rId28">
        <w:r w:rsidDel="00000000" w:rsidR="00000000" w:rsidRPr="00000000">
          <w:rPr>
            <w:b w:val="0"/>
            <w:i w:val="0"/>
            <w:color w:val="000000"/>
            <w:sz w:val="20"/>
            <w:szCs w:val="20"/>
            <w:u w:val="none"/>
            <w:rtl w:val="0"/>
          </w:rPr>
          <w:t xml:space="preserve">1. Gonzalez C, Sims JS, Hornstein N, Mela A, Garcia F, Lei L, et al. Ribosome profiling reveals a cell-type-specific translational landscape in brain tumors. J. Neurosci. 2014;34:10924–36. Available from: </w:t>
        </w:r>
      </w:hyperlink>
      <w:hyperlink r:id="rId29">
        <w:r w:rsidDel="00000000" w:rsidR="00000000" w:rsidRPr="00000000">
          <w:rPr>
            <w:b w:val="0"/>
            <w:i w:val="0"/>
            <w:color w:val="000000"/>
            <w:sz w:val="20"/>
            <w:szCs w:val="20"/>
            <w:u w:val="none"/>
            <w:rtl w:val="0"/>
          </w:rPr>
          <w:t xml:space="preserve">http://dx.doi.org/10.1523/JNEUROSCI.0084-14.2014</w:t>
        </w:r>
      </w:hyperlink>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220" w:before="0" w:line="240" w:lineRule="auto"/>
        <w:ind w:left="0" w:right="0" w:firstLine="0"/>
        <w:contextualSpacing w:val="0"/>
        <w:jc w:val="left"/>
        <w:rPr>
          <w:b w:val="0"/>
          <w:i w:val="0"/>
          <w:color w:val="000000"/>
          <w:sz w:val="20"/>
          <w:szCs w:val="20"/>
        </w:rPr>
      </w:pPr>
      <w:hyperlink r:id="rId30">
        <w:r w:rsidDel="00000000" w:rsidR="00000000" w:rsidRPr="00000000">
          <w:rPr>
            <w:b w:val="0"/>
            <w:i w:val="0"/>
            <w:color w:val="000000"/>
            <w:sz w:val="20"/>
            <w:szCs w:val="20"/>
            <w:u w:val="none"/>
            <w:rtl w:val="0"/>
          </w:rPr>
          <w:t xml:space="preserve">2. Rubio CA, Weisburd B, Holderfield M, Arias C, Fang E, DeRisi JL, et al. Transcriptome-wide characterization of the eIF4A signature highlights plasticity in translation regulation. Genome Biol. 2014;15:476. Available from: </w:t>
        </w:r>
      </w:hyperlink>
      <w:hyperlink r:id="rId31">
        <w:r w:rsidDel="00000000" w:rsidR="00000000" w:rsidRPr="00000000">
          <w:rPr>
            <w:b w:val="0"/>
            <w:i w:val="0"/>
            <w:color w:val="000000"/>
            <w:sz w:val="20"/>
            <w:szCs w:val="20"/>
            <w:u w:val="none"/>
            <w:rtl w:val="0"/>
          </w:rPr>
          <w:t xml:space="preserve">http://dx.doi.org/10.1186/s13059-014-0476-1</w:t>
        </w:r>
      </w:hyperlink>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220" w:before="0" w:line="240" w:lineRule="auto"/>
        <w:ind w:left="0" w:right="0" w:firstLine="0"/>
        <w:contextualSpacing w:val="0"/>
        <w:jc w:val="left"/>
        <w:rPr>
          <w:b w:val="0"/>
          <w:i w:val="0"/>
          <w:color w:val="000000"/>
          <w:sz w:val="20"/>
          <w:szCs w:val="20"/>
        </w:rPr>
      </w:pPr>
      <w:hyperlink r:id="rId32">
        <w:r w:rsidDel="00000000" w:rsidR="00000000" w:rsidRPr="00000000">
          <w:rPr>
            <w:b w:val="0"/>
            <w:i w:val="0"/>
            <w:color w:val="000000"/>
            <w:sz w:val="20"/>
            <w:szCs w:val="20"/>
            <w:u w:val="none"/>
            <w:rtl w:val="0"/>
          </w:rPr>
          <w:t xml:space="preserve">3. Tanenbaum ME, Stern-Ginossar N, Weissman JS, Vale RD. Regulation of mRNA translation during mitosis. Elife 2015;4. Available from: </w:t>
        </w:r>
      </w:hyperlink>
      <w:hyperlink r:id="rId33">
        <w:r w:rsidDel="00000000" w:rsidR="00000000" w:rsidRPr="00000000">
          <w:rPr>
            <w:b w:val="0"/>
            <w:i w:val="0"/>
            <w:color w:val="000000"/>
            <w:sz w:val="20"/>
            <w:szCs w:val="20"/>
            <w:u w:val="none"/>
            <w:rtl w:val="0"/>
          </w:rPr>
          <w:t xml:space="preserve">http://dx.doi.org/10.7554/eLife.07957</w:t>
        </w:r>
      </w:hyperlink>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220" w:before="0" w:line="240" w:lineRule="auto"/>
        <w:ind w:left="0" w:right="0" w:firstLine="0"/>
        <w:contextualSpacing w:val="0"/>
        <w:jc w:val="left"/>
        <w:rPr>
          <w:b w:val="0"/>
          <w:i w:val="0"/>
          <w:color w:val="000000"/>
          <w:sz w:val="20"/>
          <w:szCs w:val="20"/>
        </w:rPr>
      </w:pPr>
      <w:hyperlink r:id="rId34">
        <w:r w:rsidDel="00000000" w:rsidR="00000000" w:rsidRPr="00000000">
          <w:rPr>
            <w:b w:val="0"/>
            <w:i w:val="0"/>
            <w:color w:val="000000"/>
            <w:sz w:val="20"/>
            <w:szCs w:val="20"/>
            <w:u w:val="none"/>
            <w:rtl w:val="0"/>
          </w:rPr>
          <w:t xml:space="preserve">4. Tirosh O, Cohen Y, Shitrit A, Shani O, Le-Trilling VTK, Trilling M, et al. The Transcription and Translation Landscapes during Human Cytomegalovirus Infection Reveal Novel Host-Pathogen Interactions. PLoS Pathog. 2015;11:e1005288. Available from: </w:t>
        </w:r>
      </w:hyperlink>
      <w:hyperlink r:id="rId35">
        <w:r w:rsidDel="00000000" w:rsidR="00000000" w:rsidRPr="00000000">
          <w:rPr>
            <w:b w:val="0"/>
            <w:i w:val="0"/>
            <w:color w:val="000000"/>
            <w:sz w:val="20"/>
            <w:szCs w:val="20"/>
            <w:u w:val="none"/>
            <w:rtl w:val="0"/>
          </w:rPr>
          <w:t xml:space="preserve">http://dx.doi.org/10.1371/journal.ppat.1005288</w:t>
        </w:r>
      </w:hyperlink>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220" w:before="0" w:line="240" w:lineRule="auto"/>
        <w:ind w:left="0" w:right="0" w:firstLine="0"/>
        <w:contextualSpacing w:val="0"/>
        <w:jc w:val="left"/>
        <w:rPr>
          <w:b w:val="0"/>
          <w:i w:val="0"/>
          <w:color w:val="000000"/>
          <w:sz w:val="20"/>
          <w:szCs w:val="20"/>
        </w:rPr>
      </w:pPr>
      <w:hyperlink r:id="rId36">
        <w:r w:rsidDel="00000000" w:rsidR="00000000" w:rsidRPr="00000000">
          <w:rPr>
            <w:b w:val="0"/>
            <w:i w:val="0"/>
            <w:color w:val="000000"/>
            <w:sz w:val="20"/>
            <w:szCs w:val="20"/>
            <w:u w:val="none"/>
            <w:rtl w:val="0"/>
          </w:rPr>
          <w:t xml:space="preserve">5. Xu B, Gogol M, Gaudenz K, Gerton JL. Improved transcription and translation with L-leucine stimulation of mTORC1 in Roberts syndrome. BMC Genomics 2016;17:25. Available from: </w:t>
        </w:r>
      </w:hyperlink>
      <w:hyperlink r:id="rId37">
        <w:r w:rsidDel="00000000" w:rsidR="00000000" w:rsidRPr="00000000">
          <w:rPr>
            <w:b w:val="0"/>
            <w:i w:val="0"/>
            <w:color w:val="000000"/>
            <w:sz w:val="20"/>
            <w:szCs w:val="20"/>
            <w:u w:val="none"/>
            <w:rtl w:val="0"/>
          </w:rPr>
          <w:t xml:space="preserve">http://dx.doi.org/10.1186/s12864-015-2354-y</w:t>
        </w:r>
      </w:hyperlink>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220" w:before="0" w:line="240" w:lineRule="auto"/>
        <w:ind w:left="0" w:right="0" w:firstLine="0"/>
        <w:contextualSpacing w:val="0"/>
        <w:jc w:val="left"/>
        <w:rPr>
          <w:b w:val="0"/>
          <w:i w:val="0"/>
          <w:color w:val="000000"/>
          <w:sz w:val="20"/>
          <w:szCs w:val="20"/>
        </w:rPr>
      </w:pPr>
      <w:hyperlink r:id="rId38">
        <w:r w:rsidDel="00000000" w:rsidR="00000000" w:rsidRPr="00000000">
          <w:rPr>
            <w:b w:val="0"/>
            <w:i w:val="0"/>
            <w:color w:val="000000"/>
            <w:sz w:val="20"/>
            <w:szCs w:val="20"/>
            <w:u w:val="none"/>
            <w:rtl w:val="0"/>
          </w:rPr>
          <w:t xml:space="preserve">6. Eichhorn SW, Guo H, McGeary SE, Rodriguez-Mias RA, Shin C, Baek D, et al. mRNA destabilization is the dominant effect of mammalian microRNAs by the time substantial repression ensues. Mol. Cell 2014;56:104–15. Available from: </w:t>
        </w:r>
      </w:hyperlink>
      <w:hyperlink r:id="rId39">
        <w:r w:rsidDel="00000000" w:rsidR="00000000" w:rsidRPr="00000000">
          <w:rPr>
            <w:b w:val="0"/>
            <w:i w:val="0"/>
            <w:color w:val="000000"/>
            <w:sz w:val="20"/>
            <w:szCs w:val="20"/>
            <w:u w:val="none"/>
            <w:rtl w:val="0"/>
          </w:rPr>
          <w:t xml:space="preserve">http://dx.doi.org/10.1016/j.molcel.2014.08.028</w:t>
        </w:r>
      </w:hyperlink>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220" w:before="0" w:line="240" w:lineRule="auto"/>
        <w:ind w:left="0" w:right="0" w:firstLine="0"/>
        <w:contextualSpacing w:val="0"/>
        <w:jc w:val="left"/>
        <w:rPr>
          <w:b w:val="0"/>
          <w:i w:val="0"/>
          <w:color w:val="000000"/>
          <w:sz w:val="20"/>
          <w:szCs w:val="20"/>
        </w:rPr>
      </w:pPr>
      <w:hyperlink r:id="rId40">
        <w:r w:rsidDel="00000000" w:rsidR="00000000" w:rsidRPr="00000000">
          <w:rPr>
            <w:b w:val="0"/>
            <w:i w:val="0"/>
            <w:color w:val="000000"/>
            <w:sz w:val="20"/>
            <w:szCs w:val="20"/>
            <w:u w:val="none"/>
            <w:rtl w:val="0"/>
          </w:rPr>
          <w:t xml:space="preserve">7. Iwasaki S, Floor SN, Ingolia NT. Rocaglates convert DEAD-box protein eIF4A into a sequence-selective translational repressor. Nature 2016;534:558–61. Available from: </w:t>
        </w:r>
      </w:hyperlink>
      <w:hyperlink r:id="rId41">
        <w:r w:rsidDel="00000000" w:rsidR="00000000" w:rsidRPr="00000000">
          <w:rPr>
            <w:b w:val="0"/>
            <w:i w:val="0"/>
            <w:color w:val="000000"/>
            <w:sz w:val="20"/>
            <w:szCs w:val="20"/>
            <w:u w:val="none"/>
            <w:rtl w:val="0"/>
          </w:rPr>
          <w:t xml:space="preserve">http://dx.doi.org/10.1038/nature17978</w:t>
        </w:r>
      </w:hyperlink>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220" w:before="0" w:line="240" w:lineRule="auto"/>
        <w:ind w:left="0" w:right="0" w:firstLine="0"/>
        <w:contextualSpacing w:val="0"/>
        <w:jc w:val="left"/>
        <w:rPr>
          <w:b w:val="0"/>
          <w:i w:val="0"/>
          <w:color w:val="000000"/>
          <w:sz w:val="20"/>
          <w:szCs w:val="20"/>
        </w:rPr>
      </w:pPr>
      <w:hyperlink r:id="rId42">
        <w:r w:rsidDel="00000000" w:rsidR="00000000" w:rsidRPr="00000000">
          <w:rPr>
            <w:b w:val="0"/>
            <w:i w:val="0"/>
            <w:color w:val="000000"/>
            <w:sz w:val="20"/>
            <w:szCs w:val="20"/>
            <w:u w:val="none"/>
            <w:rtl w:val="0"/>
          </w:rPr>
          <w:t xml:space="preserve">8. Sidrauski C, McGeachy AM, Ingolia NT, Walter P. The small molecule ISRIB reverses the effects of eIF2α phosphorylation on translation and stress granule assembly. Elife 2015;4. Available from: </w:t>
        </w:r>
      </w:hyperlink>
      <w:hyperlink r:id="rId43">
        <w:r w:rsidDel="00000000" w:rsidR="00000000" w:rsidRPr="00000000">
          <w:rPr>
            <w:b w:val="0"/>
            <w:i w:val="0"/>
            <w:color w:val="000000"/>
            <w:sz w:val="20"/>
            <w:szCs w:val="20"/>
            <w:u w:val="none"/>
            <w:rtl w:val="0"/>
          </w:rPr>
          <w:t xml:space="preserve">http://dx.doi.org/10.7554/eLife.05033</w:t>
        </w:r>
      </w:hyperlink>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220" w:before="0" w:line="240" w:lineRule="auto"/>
        <w:ind w:left="0" w:right="0" w:firstLine="0"/>
        <w:contextualSpacing w:val="0"/>
        <w:jc w:val="left"/>
        <w:rPr>
          <w:b w:val="0"/>
          <w:i w:val="0"/>
          <w:color w:val="000000"/>
          <w:sz w:val="20"/>
          <w:szCs w:val="20"/>
        </w:rPr>
      </w:pPr>
      <w:hyperlink r:id="rId44">
        <w:r w:rsidDel="00000000" w:rsidR="00000000" w:rsidRPr="00000000">
          <w:rPr>
            <w:b w:val="0"/>
            <w:i w:val="0"/>
            <w:color w:val="000000"/>
            <w:sz w:val="20"/>
            <w:szCs w:val="20"/>
            <w:u w:val="none"/>
            <w:rtl w:val="0"/>
          </w:rPr>
          <w:t xml:space="preserve">9. Subtelny AO, Eichhorn SW, Chen GR, Sive H, Bartel DP. Poly(A)-tail profiling reveals an embryonic switch in translational control. Nature 2014;508:66–71. Available from: </w:t>
        </w:r>
      </w:hyperlink>
      <w:hyperlink r:id="rId45">
        <w:r w:rsidDel="00000000" w:rsidR="00000000" w:rsidRPr="00000000">
          <w:rPr>
            <w:b w:val="0"/>
            <w:i w:val="0"/>
            <w:color w:val="000000"/>
            <w:sz w:val="20"/>
            <w:szCs w:val="20"/>
            <w:u w:val="none"/>
            <w:rtl w:val="0"/>
          </w:rPr>
          <w:t xml:space="preserve">http://dx.doi.org/10.1038/nature13007</w:t>
        </w:r>
      </w:hyperlink>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220" w:before="0" w:line="240" w:lineRule="auto"/>
        <w:ind w:left="0" w:right="0" w:firstLine="0"/>
        <w:contextualSpacing w:val="0"/>
        <w:jc w:val="left"/>
        <w:rPr>
          <w:b w:val="0"/>
          <w:i w:val="0"/>
          <w:color w:val="000000"/>
          <w:sz w:val="20"/>
          <w:szCs w:val="20"/>
        </w:rPr>
      </w:pPr>
      <w:hyperlink r:id="rId46">
        <w:r w:rsidDel="00000000" w:rsidR="00000000" w:rsidRPr="00000000">
          <w:rPr>
            <w:b w:val="0"/>
            <w:i w:val="0"/>
            <w:color w:val="000000"/>
            <w:sz w:val="20"/>
            <w:szCs w:val="20"/>
            <w:u w:val="none"/>
            <w:rtl w:val="0"/>
          </w:rPr>
          <w:t xml:space="preserve">10. Guo H, Ingolia NT, Weissman JS, Bartel DP. Mammalian microRNAs predominantly act to decrease target mRNA levels. Nature 2010;466:835–40. Available from: </w:t>
        </w:r>
      </w:hyperlink>
      <w:hyperlink r:id="rId47">
        <w:r w:rsidDel="00000000" w:rsidR="00000000" w:rsidRPr="00000000">
          <w:rPr>
            <w:b w:val="0"/>
            <w:i w:val="0"/>
            <w:color w:val="000000"/>
            <w:sz w:val="20"/>
            <w:szCs w:val="20"/>
            <w:u w:val="none"/>
            <w:rtl w:val="0"/>
          </w:rPr>
          <w:t xml:space="preserve">http://dx.doi.org/10.1038/nature09267</w:t>
        </w:r>
      </w:hyperlink>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220" w:before="0" w:line="240" w:lineRule="auto"/>
        <w:ind w:left="0" w:right="0" w:firstLine="0"/>
        <w:contextualSpacing w:val="0"/>
        <w:jc w:val="left"/>
        <w:rPr>
          <w:b w:val="0"/>
          <w:i w:val="0"/>
          <w:color w:val="000000"/>
          <w:sz w:val="20"/>
          <w:szCs w:val="20"/>
        </w:rPr>
      </w:pPr>
      <w:hyperlink r:id="rId48">
        <w:r w:rsidDel="00000000" w:rsidR="00000000" w:rsidRPr="00000000">
          <w:rPr>
            <w:b w:val="0"/>
            <w:i w:val="0"/>
            <w:color w:val="000000"/>
            <w:sz w:val="20"/>
            <w:szCs w:val="20"/>
            <w:u w:val="none"/>
            <w:rtl w:val="0"/>
          </w:rPr>
          <w:t xml:space="preserve">11. Park J-E, Yi H, Kim Y, Chang H, Kim VN. Regulation of Poly(A) Tail and Translation during the Somatic Cell Cycle. Mol. Cell 2016;62:462–71. Available from: </w:t>
        </w:r>
      </w:hyperlink>
      <w:hyperlink r:id="rId49">
        <w:r w:rsidDel="00000000" w:rsidR="00000000" w:rsidRPr="00000000">
          <w:rPr>
            <w:b w:val="0"/>
            <w:i w:val="0"/>
            <w:color w:val="000000"/>
            <w:sz w:val="20"/>
            <w:szCs w:val="20"/>
            <w:u w:val="none"/>
            <w:rtl w:val="0"/>
          </w:rPr>
          <w:t xml:space="preserve">http://dx.doi.org/10.1016/j.molcel.2016.04.007</w:t>
        </w:r>
      </w:hyperlink>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220" w:before="0" w:line="240" w:lineRule="auto"/>
        <w:ind w:left="0" w:right="0" w:firstLine="0"/>
        <w:contextualSpacing w:val="0"/>
        <w:jc w:val="left"/>
        <w:rPr>
          <w:b w:val="0"/>
          <w:i w:val="0"/>
          <w:color w:val="000000"/>
          <w:sz w:val="20"/>
          <w:szCs w:val="20"/>
        </w:rPr>
      </w:pPr>
      <w:hyperlink r:id="rId50">
        <w:r w:rsidDel="00000000" w:rsidR="00000000" w:rsidRPr="00000000">
          <w:rPr>
            <w:b w:val="0"/>
            <w:i w:val="0"/>
            <w:color w:val="000000"/>
            <w:sz w:val="20"/>
            <w:szCs w:val="20"/>
            <w:u w:val="none"/>
            <w:rtl w:val="0"/>
          </w:rPr>
          <w:t xml:space="preserve">12. Zur H, Aviner R, Tuller T. Complementary Post Transcriptional Regulatory Information is Detected by PUNCH-P and Ribosome Profiling. Sci. Rep. 2016;6:21635. Available from: </w:t>
        </w:r>
      </w:hyperlink>
      <w:hyperlink r:id="rId51">
        <w:r w:rsidDel="00000000" w:rsidR="00000000" w:rsidRPr="00000000">
          <w:rPr>
            <w:b w:val="0"/>
            <w:i w:val="0"/>
            <w:color w:val="000000"/>
            <w:sz w:val="20"/>
            <w:szCs w:val="20"/>
            <w:u w:val="none"/>
            <w:rtl w:val="0"/>
          </w:rPr>
          <w:t xml:space="preserve">http://dx.doi.org/10.1038/srep21635</w:t>
        </w:r>
      </w:hyperlink>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220" w:before="0" w:line="240" w:lineRule="auto"/>
        <w:ind w:left="0" w:right="0" w:firstLine="0"/>
        <w:contextualSpacing w:val="0"/>
        <w:jc w:val="left"/>
        <w:rPr>
          <w:b w:val="0"/>
          <w:i w:val="0"/>
          <w:color w:val="000000"/>
          <w:sz w:val="20"/>
          <w:szCs w:val="20"/>
        </w:rPr>
      </w:pPr>
      <w:hyperlink r:id="rId52">
        <w:r w:rsidDel="00000000" w:rsidR="00000000" w:rsidRPr="00000000">
          <w:rPr>
            <w:b w:val="0"/>
            <w:i w:val="0"/>
            <w:color w:val="000000"/>
            <w:sz w:val="20"/>
            <w:szCs w:val="20"/>
            <w:u w:val="none"/>
            <w:rtl w:val="0"/>
          </w:rPr>
          <w:t xml:space="preserve">13. Wolfe AL, Singh K, Zhong Y, Drewe P, Rajasekhar VK, Sanghvi VR, et al. RNA G-quadruplexes cause eIF4A-dependent oncogene translation in cancer. Nature 2014;513:65–70. Available from: </w:t>
        </w:r>
      </w:hyperlink>
      <w:hyperlink r:id="rId53">
        <w:r w:rsidDel="00000000" w:rsidR="00000000" w:rsidRPr="00000000">
          <w:rPr>
            <w:b w:val="0"/>
            <w:i w:val="0"/>
            <w:color w:val="000000"/>
            <w:sz w:val="20"/>
            <w:szCs w:val="20"/>
            <w:u w:val="none"/>
            <w:rtl w:val="0"/>
          </w:rPr>
          <w:t xml:space="preserve">http://dx.doi.org/10.1038/nature13485</w:t>
        </w:r>
      </w:hyperlink>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220" w:before="0" w:line="240" w:lineRule="auto"/>
        <w:ind w:left="0" w:right="0" w:firstLine="0"/>
        <w:contextualSpacing w:val="0"/>
        <w:jc w:val="left"/>
        <w:rPr>
          <w:b w:val="0"/>
          <w:i w:val="0"/>
          <w:color w:val="000000"/>
          <w:sz w:val="20"/>
          <w:szCs w:val="20"/>
        </w:rPr>
      </w:pPr>
      <w:hyperlink r:id="rId54">
        <w:r w:rsidDel="00000000" w:rsidR="00000000" w:rsidRPr="00000000">
          <w:rPr>
            <w:b w:val="0"/>
            <w:i w:val="0"/>
            <w:color w:val="000000"/>
            <w:sz w:val="20"/>
            <w:szCs w:val="20"/>
            <w:u w:val="none"/>
            <w:rtl w:val="0"/>
          </w:rPr>
          <w:t xml:space="preserve">14. Cenik C, Cenik ES, Byeon GW, Grubert F, Candille SI, Spacek D, et al. Integrative analysis of RNA, translation, and protein levels reveals distinct regulatory variation across humans. Genome Res. 2015;25:1610–21. Available from: </w:t>
        </w:r>
      </w:hyperlink>
      <w:hyperlink r:id="rId55">
        <w:r w:rsidDel="00000000" w:rsidR="00000000" w:rsidRPr="00000000">
          <w:rPr>
            <w:b w:val="0"/>
            <w:i w:val="0"/>
            <w:color w:val="000000"/>
            <w:sz w:val="20"/>
            <w:szCs w:val="20"/>
            <w:u w:val="none"/>
            <w:rtl w:val="0"/>
          </w:rPr>
          <w:t xml:space="preserve">http://dx.doi.org/10.1101/gr.193342.115</w:t>
        </w:r>
      </w:hyperlink>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220" w:before="0" w:line="240" w:lineRule="auto"/>
        <w:ind w:left="0" w:right="0" w:firstLine="0"/>
        <w:contextualSpacing w:val="0"/>
        <w:jc w:val="left"/>
        <w:rPr>
          <w:b w:val="0"/>
          <w:i w:val="0"/>
          <w:color w:val="000000"/>
          <w:sz w:val="20"/>
          <w:szCs w:val="20"/>
        </w:rPr>
      </w:pPr>
      <w:hyperlink r:id="rId56">
        <w:r w:rsidDel="00000000" w:rsidR="00000000" w:rsidRPr="00000000">
          <w:rPr>
            <w:b w:val="0"/>
            <w:i w:val="0"/>
            <w:color w:val="000000"/>
            <w:sz w:val="20"/>
            <w:szCs w:val="20"/>
            <w:u w:val="none"/>
            <w:rtl w:val="0"/>
          </w:rPr>
          <w:t xml:space="preserve">15. Su X, Yu Y, Zhong Y, Giannopoulou EG, Hu X, Liu H, et al. Interferon-γ regulates cellular metabolism and mRNA translation to potentiate macrophage activation. Nat. Immunol. 2015;16:838–49. Available from: </w:t>
        </w:r>
      </w:hyperlink>
      <w:hyperlink r:id="rId57">
        <w:r w:rsidDel="00000000" w:rsidR="00000000" w:rsidRPr="00000000">
          <w:rPr>
            <w:b w:val="0"/>
            <w:i w:val="0"/>
            <w:color w:val="000000"/>
            <w:sz w:val="20"/>
            <w:szCs w:val="20"/>
            <w:u w:val="none"/>
            <w:rtl w:val="0"/>
          </w:rPr>
          <w:t xml:space="preserve">http://dx.doi.org/10.1038/ni.3205</w:t>
        </w:r>
      </w:hyperlink>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220" w:before="0" w:line="240" w:lineRule="auto"/>
        <w:ind w:left="0" w:right="0" w:firstLine="0"/>
        <w:contextualSpacing w:val="0"/>
        <w:jc w:val="left"/>
        <w:rPr>
          <w:b w:val="0"/>
          <w:i w:val="0"/>
          <w:color w:val="000000"/>
          <w:sz w:val="20"/>
          <w:szCs w:val="20"/>
        </w:rPr>
      </w:pPr>
      <w:hyperlink r:id="rId58">
        <w:r w:rsidDel="00000000" w:rsidR="00000000" w:rsidRPr="00000000">
          <w:rPr>
            <w:b w:val="0"/>
            <w:i w:val="0"/>
            <w:color w:val="000000"/>
            <w:sz w:val="20"/>
            <w:szCs w:val="20"/>
            <w:u w:val="none"/>
            <w:rtl w:val="0"/>
          </w:rPr>
          <w:t xml:space="preserve">16. Wein N, Vulin A, Falzarano MS, Szigyarto CA-K, Maiti B, Findlay A, et al. Translation from a DMD exon 5 IRES results in a functional dystrophin isoform that attenuates dystrophinopathy in humans and mice. Nat. Med. 2014;20:992–1000. Available from: </w:t>
        </w:r>
      </w:hyperlink>
      <w:hyperlink r:id="rId59">
        <w:r w:rsidDel="00000000" w:rsidR="00000000" w:rsidRPr="00000000">
          <w:rPr>
            <w:b w:val="0"/>
            <w:i w:val="0"/>
            <w:color w:val="000000"/>
            <w:sz w:val="20"/>
            <w:szCs w:val="20"/>
            <w:u w:val="none"/>
            <w:rtl w:val="0"/>
          </w:rPr>
          <w:t xml:space="preserve">http://dx.doi.org/10.1038/nm.3628</w:t>
        </w:r>
      </w:hyperlink>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220" w:before="0" w:line="240" w:lineRule="auto"/>
        <w:ind w:left="0" w:right="0" w:firstLine="0"/>
        <w:contextualSpacing w:val="0"/>
        <w:jc w:val="left"/>
        <w:rPr>
          <w:b w:val="0"/>
          <w:i w:val="0"/>
          <w:color w:val="000000"/>
          <w:sz w:val="20"/>
          <w:szCs w:val="20"/>
        </w:rPr>
      </w:pPr>
      <w:hyperlink r:id="rId60">
        <w:r w:rsidDel="00000000" w:rsidR="00000000" w:rsidRPr="00000000">
          <w:rPr>
            <w:b w:val="0"/>
            <w:i w:val="0"/>
            <w:color w:val="000000"/>
            <w:sz w:val="20"/>
            <w:szCs w:val="20"/>
            <w:u w:val="none"/>
            <w:rtl w:val="0"/>
          </w:rPr>
          <w:t xml:space="preserve">17. Wiita AP, Ziv E, Wiita PJ, Urisman A, Julien O, Burlingame AL, et al. Global cellular response to chemotherapy-induced apoptosis. Elife 2013;2:e01236. Available from: </w:t>
        </w:r>
      </w:hyperlink>
      <w:hyperlink r:id="rId61">
        <w:r w:rsidDel="00000000" w:rsidR="00000000" w:rsidRPr="00000000">
          <w:rPr>
            <w:b w:val="0"/>
            <w:i w:val="0"/>
            <w:color w:val="000000"/>
            <w:sz w:val="20"/>
            <w:szCs w:val="20"/>
            <w:u w:val="none"/>
            <w:rtl w:val="0"/>
          </w:rPr>
          <w:t xml:space="preserve">http://dx.doi.org/10.7554/eLife.01236</w:t>
        </w:r>
      </w:hyperlink>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220" w:before="0" w:line="240" w:lineRule="auto"/>
        <w:ind w:left="0" w:right="0" w:firstLine="0"/>
        <w:contextualSpacing w:val="0"/>
        <w:jc w:val="left"/>
        <w:rPr>
          <w:b w:val="0"/>
          <w:i w:val="0"/>
          <w:color w:val="000000"/>
          <w:sz w:val="20"/>
          <w:szCs w:val="20"/>
        </w:rPr>
      </w:pPr>
      <w:hyperlink r:id="rId62">
        <w:r w:rsidDel="00000000" w:rsidR="00000000" w:rsidRPr="00000000">
          <w:rPr>
            <w:b w:val="0"/>
            <w:i w:val="0"/>
            <w:color w:val="000000"/>
            <w:sz w:val="20"/>
            <w:szCs w:val="20"/>
            <w:u w:val="none"/>
            <w:rtl w:val="0"/>
          </w:rPr>
          <w:t xml:space="preserve">18. Hsieh AC, Liu Y, Edlind MP, Ingolia NT, Janes MR, Sher A, et al. The translational landscape of mTOR signalling steers cancer initiation and metastasis. Nature 2012;485:55–61. Available from: </w:t>
        </w:r>
      </w:hyperlink>
      <w:hyperlink r:id="rId63">
        <w:r w:rsidDel="00000000" w:rsidR="00000000" w:rsidRPr="00000000">
          <w:rPr>
            <w:b w:val="0"/>
            <w:i w:val="0"/>
            <w:color w:val="000000"/>
            <w:sz w:val="20"/>
            <w:szCs w:val="20"/>
            <w:u w:val="none"/>
            <w:rtl w:val="0"/>
          </w:rPr>
          <w:t xml:space="preserve">http://dx.doi.org/10.1038/nature10912</w:t>
        </w:r>
      </w:hyperlink>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220" w:before="0" w:line="240" w:lineRule="auto"/>
        <w:ind w:left="0" w:right="0" w:firstLine="0"/>
        <w:contextualSpacing w:val="0"/>
        <w:jc w:val="left"/>
        <w:rPr>
          <w:b w:val="0"/>
          <w:i w:val="0"/>
          <w:color w:val="000000"/>
          <w:sz w:val="20"/>
          <w:szCs w:val="20"/>
        </w:rPr>
      </w:pPr>
      <w:hyperlink r:id="rId64">
        <w:r w:rsidDel="00000000" w:rsidR="00000000" w:rsidRPr="00000000">
          <w:rPr>
            <w:b w:val="0"/>
            <w:i w:val="0"/>
            <w:color w:val="000000"/>
            <w:sz w:val="20"/>
            <w:szCs w:val="20"/>
            <w:u w:val="none"/>
            <w:rtl w:val="0"/>
          </w:rPr>
          <w:t xml:space="preserve">19. Guo JU, Agarwal V, Guo H, Bartel DP. Expanded identification and characterization of mammalian circular RNAs. Genome Biol. 2014;15:409. Available from: </w:t>
        </w:r>
      </w:hyperlink>
      <w:hyperlink r:id="rId65">
        <w:r w:rsidDel="00000000" w:rsidR="00000000" w:rsidRPr="00000000">
          <w:rPr>
            <w:b w:val="0"/>
            <w:i w:val="0"/>
            <w:color w:val="000000"/>
            <w:sz w:val="20"/>
            <w:szCs w:val="20"/>
            <w:u w:val="none"/>
            <w:rtl w:val="0"/>
          </w:rPr>
          <w:t xml:space="preserve">http://dx.doi.org/10.1186/s13059-014-0409-z</w:t>
        </w:r>
      </w:hyperlink>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220" w:before="0" w:line="240" w:lineRule="auto"/>
        <w:ind w:left="0" w:right="0" w:firstLine="0"/>
        <w:contextualSpacing w:val="0"/>
        <w:jc w:val="left"/>
        <w:rPr>
          <w:b w:val="0"/>
          <w:i w:val="0"/>
          <w:color w:val="000000"/>
          <w:sz w:val="20"/>
          <w:szCs w:val="20"/>
        </w:rPr>
      </w:pPr>
      <w:hyperlink r:id="rId66">
        <w:r w:rsidDel="00000000" w:rsidR="00000000" w:rsidRPr="00000000">
          <w:rPr>
            <w:b w:val="0"/>
            <w:i w:val="0"/>
            <w:color w:val="000000"/>
            <w:sz w:val="20"/>
            <w:szCs w:val="20"/>
            <w:u w:val="none"/>
            <w:rtl w:val="0"/>
          </w:rPr>
          <w:t xml:space="preserve">20. Jang C, Lahens NF, Hogenesch JB, Sehgal A. Ribosome profiling reveals an important role for translational control in circadian gene expression. Genome Res. 2015;25:1836–47. Available from: </w:t>
        </w:r>
      </w:hyperlink>
      <w:hyperlink r:id="rId67">
        <w:r w:rsidDel="00000000" w:rsidR="00000000" w:rsidRPr="00000000">
          <w:rPr>
            <w:b w:val="0"/>
            <w:i w:val="0"/>
            <w:color w:val="000000"/>
            <w:sz w:val="20"/>
            <w:szCs w:val="20"/>
            <w:u w:val="none"/>
            <w:rtl w:val="0"/>
          </w:rPr>
          <w:t xml:space="preserve">http://dx.doi.org/10.1101/gr.191296.115</w:t>
        </w:r>
      </w:hyperlink>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220" w:before="0" w:line="240" w:lineRule="auto"/>
        <w:ind w:left="0" w:right="0" w:firstLine="0"/>
        <w:contextualSpacing w:val="0"/>
        <w:jc w:val="left"/>
        <w:rPr>
          <w:b w:val="0"/>
          <w:i w:val="0"/>
          <w:color w:val="000000"/>
          <w:sz w:val="20"/>
          <w:szCs w:val="20"/>
        </w:rPr>
      </w:pPr>
      <w:hyperlink r:id="rId68">
        <w:r w:rsidDel="00000000" w:rsidR="00000000" w:rsidRPr="00000000">
          <w:rPr>
            <w:b w:val="0"/>
            <w:i w:val="0"/>
            <w:color w:val="000000"/>
            <w:sz w:val="20"/>
            <w:szCs w:val="20"/>
            <w:u w:val="none"/>
            <w:rtl w:val="0"/>
          </w:rPr>
          <w:t xml:space="preserve">21. Werner A, Iwasaki S, McGourty CA, Medina-Ruiz S, Teerikorpi N, Fedrigo I, et al. Cell-fate determination by ubiquitin-dependent regulation of translation. Nature 2015;525:523–7. Available from: </w:t>
        </w:r>
      </w:hyperlink>
      <w:hyperlink r:id="rId69">
        <w:r w:rsidDel="00000000" w:rsidR="00000000" w:rsidRPr="00000000">
          <w:rPr>
            <w:b w:val="0"/>
            <w:i w:val="0"/>
            <w:color w:val="000000"/>
            <w:sz w:val="20"/>
            <w:szCs w:val="20"/>
            <w:u w:val="none"/>
            <w:rtl w:val="0"/>
          </w:rPr>
          <w:t xml:space="preserve">http://dx.doi.org/10.1038/nature14978</w:t>
        </w:r>
      </w:hyperlink>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rPr/>
      </w:pPr>
      <w:r w:rsidDel="00000000" w:rsidR="00000000" w:rsidRPr="00000000">
        <w:rPr>
          <w:rtl w:val="0"/>
        </w:rPr>
      </w:r>
    </w:p>
    <w:sectPr>
      <w:pgSz w:h="16838" w:w="11906"/>
      <w:pgMar w:bottom="1080" w:top="1080" w:left="1440" w:right="144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Arial"/>
  <w:font w:name="Proxima Nov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isplayBackgroundShape w:val="1"/>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Arial" w:cs="Arial" w:eastAsia="Arial" w:hAnsi="Arial"/>
        <w:b w:val="0"/>
        <w:i w:val="0"/>
        <w:smallCaps w:val="0"/>
        <w:strike w:val="0"/>
        <w:color w:val="000000"/>
        <w:sz w:val="22"/>
        <w:szCs w:val="22"/>
        <w:u w:val="none"/>
        <w:shd w:fill="auto" w:val="clear"/>
        <w:vertAlign w:val="baseline"/>
        <w:lang w:val="en"/>
      </w:rPr>
    </w:rPrDefault>
    <w:pPrDefault>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b w:val="1"/>
      <w:sz w:val="28"/>
      <w:szCs w:val="28"/>
    </w:rPr>
  </w:style>
  <w:style w:type="paragraph" w:styleId="Heading2">
    <w:name w:val="heading 2"/>
    <w:basedOn w:val="Normal"/>
    <w:next w:val="Normal"/>
    <w:pPr>
      <w:keepNext w:val="1"/>
      <w:keepLines w:val="1"/>
      <w:spacing w:after="120" w:before="360" w:lineRule="auto"/>
    </w:pPr>
    <w:rPr>
      <w:b w:val="1"/>
      <w:sz w:val="24"/>
      <w:szCs w:val="24"/>
    </w:rPr>
  </w:style>
  <w:style w:type="paragraph" w:styleId="Heading3">
    <w:name w:val="heading 3"/>
    <w:basedOn w:val="Normal"/>
    <w:next w:val="Normal"/>
    <w:pPr>
      <w:keepNext w:val="1"/>
      <w:keepLines w:val="1"/>
      <w:spacing w:after="80" w:before="320" w:lineRule="auto"/>
    </w:pPr>
    <w:rPr>
      <w:b w:val="1"/>
      <w:color w:val="434343"/>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lineRule="auto"/>
    </w:pPr>
    <w:rPr>
      <w:b w:val="1"/>
      <w:sz w:val="48"/>
      <w:szCs w:val="48"/>
    </w:rPr>
  </w:style>
  <w:style w:type="paragraph" w:styleId="Subtitle">
    <w:name w:val="Subtitle"/>
    <w:basedOn w:val="Normal"/>
    <w:next w:val="Normal"/>
    <w:pPr>
      <w:keepNext w:val="1"/>
      <w:keepLines w:val="1"/>
      <w:spacing w:after="320" w:lineRule="auto"/>
    </w:pPr>
    <w:rPr>
      <w:color w:val="666666"/>
      <w:sz w:val="36"/>
      <w:szCs w:val="36"/>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40" Type="http://schemas.openxmlformats.org/officeDocument/2006/relationships/hyperlink" Target="http://paperpile.com/b/39P52p/J7kaP" TargetMode="External"/><Relationship Id="rId42" Type="http://schemas.openxmlformats.org/officeDocument/2006/relationships/hyperlink" Target="http://paperpile.com/b/39P52p/vQk44" TargetMode="External"/><Relationship Id="rId41" Type="http://schemas.openxmlformats.org/officeDocument/2006/relationships/hyperlink" Target="http://dx.doi.org/10.1038/nature17978" TargetMode="External"/><Relationship Id="rId44" Type="http://schemas.openxmlformats.org/officeDocument/2006/relationships/hyperlink" Target="http://paperpile.com/b/39P52p/4Qa8Z" TargetMode="External"/><Relationship Id="rId43" Type="http://schemas.openxmlformats.org/officeDocument/2006/relationships/hyperlink" Target="http://dx.doi.org/10.7554/eLife.05033" TargetMode="External"/><Relationship Id="rId46" Type="http://schemas.openxmlformats.org/officeDocument/2006/relationships/hyperlink" Target="http://paperpile.com/b/39P52p/AkGg0" TargetMode="External"/><Relationship Id="rId45" Type="http://schemas.openxmlformats.org/officeDocument/2006/relationships/hyperlink" Target="http://dx.doi.org/10.1038/nature13007"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paperpile.com/c/39P52p/gb27U" TargetMode="External"/><Relationship Id="rId48" Type="http://schemas.openxmlformats.org/officeDocument/2006/relationships/hyperlink" Target="http://paperpile.com/b/39P52p/J0MKF" TargetMode="External"/><Relationship Id="rId47" Type="http://schemas.openxmlformats.org/officeDocument/2006/relationships/hyperlink" Target="http://dx.doi.org/10.1038/nature09267" TargetMode="External"/><Relationship Id="rId49" Type="http://schemas.openxmlformats.org/officeDocument/2006/relationships/hyperlink" Target="http://dx.doi.org/10.1016/j.molcel.2016.04.007" TargetMode="External"/><Relationship Id="rId5" Type="http://schemas.openxmlformats.org/officeDocument/2006/relationships/styles" Target="styles.xml"/><Relationship Id="rId6" Type="http://schemas.openxmlformats.org/officeDocument/2006/relationships/hyperlink" Target="https://paperpile.com/c/39P52p/oaOfj" TargetMode="External"/><Relationship Id="rId7" Type="http://schemas.openxmlformats.org/officeDocument/2006/relationships/hyperlink" Target="https://paperpile.com/c/39P52p/2ep44" TargetMode="External"/><Relationship Id="rId8" Type="http://schemas.openxmlformats.org/officeDocument/2006/relationships/hyperlink" Target="https://paperpile.com/c/39P52p/kx4sd" TargetMode="External"/><Relationship Id="rId31" Type="http://schemas.openxmlformats.org/officeDocument/2006/relationships/hyperlink" Target="http://dx.doi.org/10.1186/s13059-014-0476-1" TargetMode="External"/><Relationship Id="rId30" Type="http://schemas.openxmlformats.org/officeDocument/2006/relationships/hyperlink" Target="http://paperpile.com/b/39P52p/2ep44" TargetMode="External"/><Relationship Id="rId33" Type="http://schemas.openxmlformats.org/officeDocument/2006/relationships/hyperlink" Target="http://dx.doi.org/10.7554/eLife.07957" TargetMode="External"/><Relationship Id="rId32" Type="http://schemas.openxmlformats.org/officeDocument/2006/relationships/hyperlink" Target="http://paperpile.com/b/39P52p/kx4sd" TargetMode="External"/><Relationship Id="rId35" Type="http://schemas.openxmlformats.org/officeDocument/2006/relationships/hyperlink" Target="http://dx.doi.org/10.1371/journal.ppat.1005288" TargetMode="External"/><Relationship Id="rId34" Type="http://schemas.openxmlformats.org/officeDocument/2006/relationships/hyperlink" Target="http://paperpile.com/b/39P52p/gb27U" TargetMode="External"/><Relationship Id="rId37" Type="http://schemas.openxmlformats.org/officeDocument/2006/relationships/hyperlink" Target="http://dx.doi.org/10.1186/s12864-015-2354-y" TargetMode="External"/><Relationship Id="rId36" Type="http://schemas.openxmlformats.org/officeDocument/2006/relationships/hyperlink" Target="http://paperpile.com/b/39P52p/TyZRj" TargetMode="External"/><Relationship Id="rId39" Type="http://schemas.openxmlformats.org/officeDocument/2006/relationships/hyperlink" Target="http://dx.doi.org/10.1016/j.molcel.2014.08.028" TargetMode="External"/><Relationship Id="rId38" Type="http://schemas.openxmlformats.org/officeDocument/2006/relationships/hyperlink" Target="http://paperpile.com/b/39P52p/g0Fbe" TargetMode="External"/><Relationship Id="rId62" Type="http://schemas.openxmlformats.org/officeDocument/2006/relationships/hyperlink" Target="http://paperpile.com/b/39P52p/nBi3S" TargetMode="External"/><Relationship Id="rId61" Type="http://schemas.openxmlformats.org/officeDocument/2006/relationships/hyperlink" Target="http://dx.doi.org/10.7554/eLife.01236" TargetMode="External"/><Relationship Id="rId20" Type="http://schemas.openxmlformats.org/officeDocument/2006/relationships/hyperlink" Target="https://paperpile.com/c/39P52p/XxKHd" TargetMode="External"/><Relationship Id="rId64" Type="http://schemas.openxmlformats.org/officeDocument/2006/relationships/hyperlink" Target="http://paperpile.com/b/39P52p/ivXdV" TargetMode="External"/><Relationship Id="rId63" Type="http://schemas.openxmlformats.org/officeDocument/2006/relationships/hyperlink" Target="http://dx.doi.org/10.1038/nature10912" TargetMode="External"/><Relationship Id="rId22" Type="http://schemas.openxmlformats.org/officeDocument/2006/relationships/hyperlink" Target="https://paperpile.com/c/39P52p/WkNS9" TargetMode="External"/><Relationship Id="rId66" Type="http://schemas.openxmlformats.org/officeDocument/2006/relationships/hyperlink" Target="http://paperpile.com/b/39P52p/q9Vvc" TargetMode="External"/><Relationship Id="rId21" Type="http://schemas.openxmlformats.org/officeDocument/2006/relationships/hyperlink" Target="https://paperpile.com/c/39P52p/ZiQD2" TargetMode="External"/><Relationship Id="rId65" Type="http://schemas.openxmlformats.org/officeDocument/2006/relationships/hyperlink" Target="http://dx.doi.org/10.1186/s13059-014-0409-z" TargetMode="External"/><Relationship Id="rId24" Type="http://schemas.openxmlformats.org/officeDocument/2006/relationships/hyperlink" Target="https://paperpile.com/c/39P52p/g0Fbe" TargetMode="External"/><Relationship Id="rId68" Type="http://schemas.openxmlformats.org/officeDocument/2006/relationships/hyperlink" Target="http://paperpile.com/b/39P52p/2GALZ" TargetMode="External"/><Relationship Id="rId23" Type="http://schemas.openxmlformats.org/officeDocument/2006/relationships/hyperlink" Target="https://paperpile.com/c/39P52p/nBi3S" TargetMode="External"/><Relationship Id="rId67" Type="http://schemas.openxmlformats.org/officeDocument/2006/relationships/hyperlink" Target="http://dx.doi.org/10.1101/gr.191296.115" TargetMode="External"/><Relationship Id="rId60" Type="http://schemas.openxmlformats.org/officeDocument/2006/relationships/hyperlink" Target="http://paperpile.com/b/39P52p/WkNS9" TargetMode="External"/><Relationship Id="rId26" Type="http://schemas.openxmlformats.org/officeDocument/2006/relationships/hyperlink" Target="https://paperpile.com/c/39P52p/q9Vvc" TargetMode="External"/><Relationship Id="rId25" Type="http://schemas.openxmlformats.org/officeDocument/2006/relationships/hyperlink" Target="https://paperpile.com/c/39P52p/ivXdV" TargetMode="External"/><Relationship Id="rId69" Type="http://schemas.openxmlformats.org/officeDocument/2006/relationships/hyperlink" Target="http://dx.doi.org/10.1038/nature14978" TargetMode="External"/><Relationship Id="rId28" Type="http://schemas.openxmlformats.org/officeDocument/2006/relationships/hyperlink" Target="http://paperpile.com/b/39P52p/oaOfj" TargetMode="External"/><Relationship Id="rId27" Type="http://schemas.openxmlformats.org/officeDocument/2006/relationships/hyperlink" Target="https://paperpile.com/c/39P52p/2GALZ" TargetMode="External"/><Relationship Id="rId29" Type="http://schemas.openxmlformats.org/officeDocument/2006/relationships/hyperlink" Target="http://dx.doi.org/10.1523/JNEUROSCI.0084-14.2014" TargetMode="External"/><Relationship Id="rId51" Type="http://schemas.openxmlformats.org/officeDocument/2006/relationships/hyperlink" Target="http://dx.doi.org/10.1038/srep21635" TargetMode="External"/><Relationship Id="rId50" Type="http://schemas.openxmlformats.org/officeDocument/2006/relationships/hyperlink" Target="http://paperpile.com/b/39P52p/Iz77m" TargetMode="External"/><Relationship Id="rId53" Type="http://schemas.openxmlformats.org/officeDocument/2006/relationships/hyperlink" Target="http://dx.doi.org/10.1038/nature13485" TargetMode="External"/><Relationship Id="rId52" Type="http://schemas.openxmlformats.org/officeDocument/2006/relationships/hyperlink" Target="http://paperpile.com/b/39P52p/EMG0F" TargetMode="External"/><Relationship Id="rId11" Type="http://schemas.openxmlformats.org/officeDocument/2006/relationships/hyperlink" Target="https://paperpile.com/c/39P52p/g0Fbe" TargetMode="External"/><Relationship Id="rId55" Type="http://schemas.openxmlformats.org/officeDocument/2006/relationships/hyperlink" Target="http://dx.doi.org/10.1101/gr.193342.115" TargetMode="External"/><Relationship Id="rId10" Type="http://schemas.openxmlformats.org/officeDocument/2006/relationships/hyperlink" Target="https://paperpile.com/c/39P52p/TyZRj" TargetMode="External"/><Relationship Id="rId54" Type="http://schemas.openxmlformats.org/officeDocument/2006/relationships/hyperlink" Target="http://paperpile.com/b/39P52p/CD9TM" TargetMode="External"/><Relationship Id="rId13" Type="http://schemas.openxmlformats.org/officeDocument/2006/relationships/hyperlink" Target="https://paperpile.com/c/39P52p/vQk44" TargetMode="External"/><Relationship Id="rId57" Type="http://schemas.openxmlformats.org/officeDocument/2006/relationships/hyperlink" Target="http://dx.doi.org/10.1038/ni.3205" TargetMode="External"/><Relationship Id="rId12" Type="http://schemas.openxmlformats.org/officeDocument/2006/relationships/hyperlink" Target="https://paperpile.com/c/39P52p/J7kaP" TargetMode="External"/><Relationship Id="rId56" Type="http://schemas.openxmlformats.org/officeDocument/2006/relationships/hyperlink" Target="http://paperpile.com/b/39P52p/XxKHd" TargetMode="External"/><Relationship Id="rId15" Type="http://schemas.openxmlformats.org/officeDocument/2006/relationships/hyperlink" Target="https://paperpile.com/c/39P52p/AkGg0" TargetMode="External"/><Relationship Id="rId59" Type="http://schemas.openxmlformats.org/officeDocument/2006/relationships/hyperlink" Target="http://dx.doi.org/10.1038/nm.3628" TargetMode="External"/><Relationship Id="rId14" Type="http://schemas.openxmlformats.org/officeDocument/2006/relationships/hyperlink" Target="https://paperpile.com/c/39P52p/4Qa8Z" TargetMode="External"/><Relationship Id="rId58" Type="http://schemas.openxmlformats.org/officeDocument/2006/relationships/hyperlink" Target="http://paperpile.com/b/39P52p/ZiQD2" TargetMode="External"/><Relationship Id="rId17" Type="http://schemas.openxmlformats.org/officeDocument/2006/relationships/hyperlink" Target="https://paperpile.com/c/39P52p/Iz77m" TargetMode="External"/><Relationship Id="rId16" Type="http://schemas.openxmlformats.org/officeDocument/2006/relationships/hyperlink" Target="https://paperpile.com/c/39P52p/J0MKF" TargetMode="External"/><Relationship Id="rId19" Type="http://schemas.openxmlformats.org/officeDocument/2006/relationships/hyperlink" Target="https://paperpile.com/c/39P52p/CD9TM" TargetMode="External"/><Relationship Id="rId18" Type="http://schemas.openxmlformats.org/officeDocument/2006/relationships/hyperlink" Target="https://paperpile.com/c/39P52p/EMG0F"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roximaNova-regular.ttf"/><Relationship Id="rId2" Type="http://schemas.openxmlformats.org/officeDocument/2006/relationships/font" Target="fonts/ProximaNova-bold.ttf"/><Relationship Id="rId3" Type="http://schemas.openxmlformats.org/officeDocument/2006/relationships/font" Target="fonts/ProximaNova-italic.ttf"/><Relationship Id="rId4" Type="http://schemas.openxmlformats.org/officeDocument/2006/relationships/font" Target="fonts/ProximaNova-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