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ackground w:color="FFFFFF"/>
  <w:body>
    <w:p w:rsidR="00000000" w:rsidDel="00000000" w:rsidP="00000000" w:rsidRDefault="00000000" w:rsidRPr="00000000">
      <w:pPr>
        <w:pStyle w:val="Heading1"/>
        <w:keepNext w:val="0"/>
        <w:keepLines w:val="0"/>
        <w:spacing w:after="0" w:before="480" w:line="240" w:lineRule="auto"/>
        <w:contextualSpacing w:val="0"/>
        <w:rPr>
          <w:rFonts w:ascii="Proxima Nova" w:cs="Proxima Nova" w:eastAsia="Proxima Nova" w:hAnsi="Proxima Nova"/>
          <w:color w:val="353744"/>
          <w:sz w:val="20"/>
          <w:szCs w:val="20"/>
        </w:rPr>
      </w:pPr>
      <w:bookmarkStart w:colFirst="0" w:colLast="0" w:name="_anxbs9c8smlk" w:id="0"/>
      <w:bookmarkEnd w:id="0"/>
      <w:r w:rsidDel="00000000" w:rsidR="00000000" w:rsidRPr="00000000">
        <w:rPr>
          <w:rFonts w:ascii="Proxima Nova" w:cs="Proxima Nova" w:eastAsia="Proxima Nova" w:hAnsi="Proxima Nova"/>
          <w:color w:val="353744"/>
          <w:sz w:val="20"/>
          <w:szCs w:val="20"/>
          <w:rtl w:val="0"/>
        </w:rPr>
        <w:t xml:space="preserve">Table S2. Ribosome profiling datasets used in this study (Mouse)</w:t>
      </w:r>
    </w:p>
    <w:p w:rsidR="00000000" w:rsidDel="00000000" w:rsidP="00000000" w:rsidRDefault="00000000" w:rsidRPr="00000000">
      <w:pPr>
        <w:contextualSpacing w:val="0"/>
        <w:rPr/>
      </w:pPr>
      <w:r w:rsidDel="00000000" w:rsidR="00000000" w:rsidRPr="00000000">
        <w:rPr>
          <w:rtl w:val="0"/>
        </w:rPr>
      </w:r>
    </w:p>
    <w:p w:rsidR="00000000" w:rsidDel="00000000" w:rsidP="00000000" w:rsidRDefault="00000000" w:rsidRPr="00000000">
      <w:pPr>
        <w:contextualSpacing w:val="0"/>
        <w:rPr/>
      </w:pPr>
      <w:r w:rsidDel="00000000" w:rsidR="00000000" w:rsidRPr="00000000">
        <w:rPr>
          <w:rtl w:val="0"/>
        </w:rPr>
      </w:r>
    </w:p>
    <w:tbl>
      <w:tblPr>
        <w:tblStyle w:val="Table1"/>
        <w:tblW w:w="9045.0" w:type="dxa"/>
        <w:jc w:val="left"/>
        <w:tblInd w:w="0.0" w:type="pc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0"/>
        <w:gridCol w:w="1530"/>
        <w:gridCol w:w="1260"/>
        <w:gridCol w:w="1170"/>
        <w:gridCol w:w="1080"/>
        <w:gridCol w:w="3105"/>
        <w:tblGridChange w:id="0">
          <w:tblGrid>
            <w:gridCol w:w="900"/>
            <w:gridCol w:w="1530"/>
            <w:gridCol w:w="1260"/>
            <w:gridCol w:w="1170"/>
            <w:gridCol w:w="1080"/>
            <w:gridCol w:w="3105"/>
          </w:tblGrid>
        </w:tblGridChange>
      </w:tblGrid>
      <w:tr>
        <w:trPr>
          <w:trHeight w:val="440" w:hRule="atLeast"/>
        </w:trPr>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contextualSpacing w:val="0"/>
              <w:rPr>
                <w:rFonts w:ascii="Proxima Nova" w:cs="Proxima Nova" w:eastAsia="Proxima Nova" w:hAnsi="Proxima Nova"/>
                <w:b w:val="1"/>
                <w:sz w:val="16"/>
                <w:szCs w:val="16"/>
              </w:rPr>
            </w:pPr>
            <w:r w:rsidDel="00000000" w:rsidR="00000000" w:rsidRPr="00000000">
              <w:rPr>
                <w:rFonts w:ascii="Proxima Nova" w:cs="Proxima Nova" w:eastAsia="Proxima Nova" w:hAnsi="Proxima Nova"/>
                <w:b w:val="1"/>
                <w:sz w:val="16"/>
                <w:szCs w:val="16"/>
                <w:rtl w:val="0"/>
              </w:rPr>
              <w:t xml:space="preserve">Source</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contextualSpacing w:val="0"/>
              <w:rPr>
                <w:rFonts w:ascii="Proxima Nova" w:cs="Proxima Nova" w:eastAsia="Proxima Nova" w:hAnsi="Proxima Nova"/>
                <w:b w:val="1"/>
                <w:sz w:val="16"/>
                <w:szCs w:val="16"/>
              </w:rPr>
            </w:pPr>
            <w:r w:rsidDel="00000000" w:rsidR="00000000" w:rsidRPr="00000000">
              <w:rPr>
                <w:rFonts w:ascii="Proxima Nova" w:cs="Proxima Nova" w:eastAsia="Proxima Nova" w:hAnsi="Proxima Nova"/>
                <w:b w:val="1"/>
                <w:sz w:val="16"/>
                <w:szCs w:val="16"/>
                <w:rtl w:val="0"/>
              </w:rPr>
              <w:t xml:space="preserve">Reference</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contextualSpacing w:val="0"/>
              <w:rPr>
                <w:rFonts w:ascii="Proxima Nova" w:cs="Proxima Nova" w:eastAsia="Proxima Nova" w:hAnsi="Proxima Nova"/>
                <w:b w:val="1"/>
                <w:sz w:val="16"/>
                <w:szCs w:val="16"/>
              </w:rPr>
            </w:pPr>
            <w:r w:rsidDel="00000000" w:rsidR="00000000" w:rsidRPr="00000000">
              <w:rPr>
                <w:rFonts w:ascii="Proxima Nova" w:cs="Proxima Nova" w:eastAsia="Proxima Nova" w:hAnsi="Proxima Nova"/>
                <w:b w:val="1"/>
                <w:sz w:val="16"/>
                <w:szCs w:val="16"/>
                <w:rtl w:val="0"/>
              </w:rPr>
              <w:t xml:space="preserve">Sample</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contextualSpacing w:val="0"/>
              <w:rPr>
                <w:rFonts w:ascii="Proxima Nova" w:cs="Proxima Nova" w:eastAsia="Proxima Nova" w:hAnsi="Proxima Nova"/>
                <w:b w:val="1"/>
                <w:sz w:val="16"/>
                <w:szCs w:val="16"/>
              </w:rPr>
            </w:pPr>
            <w:r w:rsidDel="00000000" w:rsidR="00000000" w:rsidRPr="00000000">
              <w:rPr>
                <w:rFonts w:ascii="Proxima Nova" w:cs="Proxima Nova" w:eastAsia="Proxima Nova" w:hAnsi="Proxima Nova"/>
                <w:b w:val="1"/>
                <w:sz w:val="16"/>
                <w:szCs w:val="16"/>
                <w:rtl w:val="0"/>
              </w:rPr>
              <w:t xml:space="preserve">RNA-seq</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contextualSpacing w:val="0"/>
              <w:rPr>
                <w:rFonts w:ascii="Proxima Nova" w:cs="Proxima Nova" w:eastAsia="Proxima Nova" w:hAnsi="Proxima Nova"/>
                <w:b w:val="1"/>
                <w:sz w:val="16"/>
                <w:szCs w:val="16"/>
              </w:rPr>
            </w:pPr>
            <w:r w:rsidDel="00000000" w:rsidR="00000000" w:rsidRPr="00000000">
              <w:rPr>
                <w:rFonts w:ascii="Proxima Nova" w:cs="Proxima Nova" w:eastAsia="Proxima Nova" w:hAnsi="Proxima Nova"/>
                <w:b w:val="1"/>
                <w:sz w:val="16"/>
                <w:szCs w:val="16"/>
                <w:rtl w:val="0"/>
              </w:rPr>
              <w:t xml:space="preserve">Ribo-seq</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bottom"/>
          </w:tcPr>
          <w:p w:rsidR="00000000" w:rsidDel="00000000" w:rsidP="00000000" w:rsidRDefault="00000000" w:rsidRPr="00000000">
            <w:pPr>
              <w:widowControl w:val="0"/>
              <w:contextualSpacing w:val="0"/>
              <w:rPr>
                <w:rFonts w:ascii="Proxima Nova" w:cs="Proxima Nova" w:eastAsia="Proxima Nova" w:hAnsi="Proxima Nova"/>
                <w:b w:val="1"/>
                <w:sz w:val="16"/>
                <w:szCs w:val="16"/>
              </w:rPr>
            </w:pPr>
            <w:r w:rsidDel="00000000" w:rsidR="00000000" w:rsidRPr="00000000">
              <w:rPr>
                <w:rFonts w:ascii="Proxima Nova" w:cs="Proxima Nova" w:eastAsia="Proxima Nova" w:hAnsi="Proxima Nova"/>
                <w:b w:val="1"/>
                <w:sz w:val="16"/>
                <w:szCs w:val="16"/>
                <w:rtl w:val="0"/>
              </w:rPr>
              <w:t xml:space="preserve">Description</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Brain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Gonzalez2014 </w:t>
            </w:r>
            <w:hyperlink r:id="rId6">
              <w:r w:rsidDel="00000000" w:rsidR="00000000" w:rsidRPr="00000000">
                <w:rPr>
                  <w:rFonts w:ascii="Proxima Nova" w:cs="Proxima Nova" w:eastAsia="Proxima Nova" w:hAnsi="Proxima Nova"/>
                  <w:b w:val="0"/>
                  <w:color w:val="000000"/>
                  <w:sz w:val="16"/>
                  <w:szCs w:val="16"/>
                  <w:u w:val="none"/>
                  <w:rtl w:val="0"/>
                </w:rPr>
                <w:t xml:space="preserve">[1]</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normal-A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tissue: PDGF/Cre tumor; Stage: end-stage</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normal-B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normal-C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tumor-A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GSM1245223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tumor-B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GSM1245224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tumor-C</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GSM1245219</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GSM1245225</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Fibroblast</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Thoreen2012 </w:t>
            </w:r>
            <w:hyperlink r:id="rId7">
              <w:r w:rsidDel="00000000" w:rsidR="00000000" w:rsidRPr="00000000">
                <w:rPr>
                  <w:rFonts w:ascii="Proxima Nova" w:cs="Proxima Nova" w:eastAsia="Proxima Nova" w:hAnsi="Proxima Nova"/>
                  <w:b w:val="0"/>
                  <w:color w:val="000000"/>
                  <w:sz w:val="16"/>
                  <w:szCs w:val="16"/>
                  <w:u w:val="none"/>
                  <w:rtl w:val="0"/>
                </w:rPr>
                <w:t xml:space="preserve">[2]</w:t>
              </w:r>
            </w:hyperlink>
            <w:r w:rsidDel="00000000" w:rsidR="00000000" w:rsidRPr="00000000">
              <w:rPr>
                <w:rtl w:val="0"/>
              </w:rPr>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wild-vehicle</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GSM904895</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GSM904893</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Embryonic fibroblast (genotype: 4EBP1/2 +/+ p53 -/-; genetic: 129/Svj</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Hippocampi</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Cho2015 </w:t>
            </w:r>
            <w:hyperlink r:id="rId8">
              <w:r w:rsidDel="00000000" w:rsidR="00000000" w:rsidRPr="00000000">
                <w:rPr>
                  <w:rFonts w:ascii="Proxima Nova" w:cs="Proxima Nova" w:eastAsia="Proxima Nova" w:hAnsi="Proxima Nova"/>
                  <w:b w:val="0"/>
                  <w:color w:val="000000"/>
                  <w:sz w:val="16"/>
                  <w:szCs w:val="16"/>
                  <w:u w:val="none"/>
                  <w:rtl w:val="0"/>
                </w:rPr>
                <w:t xml:space="preserve">[3]</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10min-rep1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Hippocampal tissue (strain: C57BL/6N)</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10min-rep2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10min-rep3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GSM1854010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30min-rep1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30min-rep2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30min-rep3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GSM1854011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4hr-rep1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4hr-rep2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4hr-rep3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GSM1854012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5min-rep1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5min-rep2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5min-rep3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control-rep1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GSM1853983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control-rep2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GSM1853993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control-rep3</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GSM1854008</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GSM1854003</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Liver</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Alvarez2017 </w:t>
            </w:r>
            <w:hyperlink r:id="rId9">
              <w:r w:rsidDel="00000000" w:rsidR="00000000" w:rsidRPr="00000000">
                <w:rPr>
                  <w:rFonts w:ascii="Proxima Nova" w:cs="Proxima Nova" w:eastAsia="Proxima Nova" w:hAnsi="Proxima Nova"/>
                  <w:b w:val="0"/>
                  <w:color w:val="000000"/>
                  <w:sz w:val="16"/>
                  <w:szCs w:val="16"/>
                  <w:u w:val="none"/>
                  <w:rtl w:val="0"/>
                </w:rPr>
                <w:t xml:space="preserve">[4]</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control-rep1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GSM2219150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GSM2219142</w:t>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Fetal liver (cell type: Erythroid progenitors; strain: C57BL/6; age: E14.</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control-rep2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GSM2219151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GSM2219143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Eichhorn2014 </w:t>
            </w:r>
            <w:hyperlink r:id="rId10">
              <w:r w:rsidDel="00000000" w:rsidR="00000000" w:rsidRPr="00000000">
                <w:rPr>
                  <w:rFonts w:ascii="Proxima Nova" w:cs="Proxima Nova" w:eastAsia="Proxima Nova" w:hAnsi="Proxima Nova"/>
                  <w:b w:val="0"/>
                  <w:color w:val="000000"/>
                  <w:sz w:val="16"/>
                  <w:szCs w:val="16"/>
                  <w:u w:val="none"/>
                  <w:rtl w:val="0"/>
                </w:rPr>
                <w:t xml:space="preserve">[5]</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GSM1479601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GSM1479602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Primary liver tissue (strain: C57BL/6; age: 6 weeks; sex: male)</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Fradejas2017 </w:t>
            </w:r>
            <w:hyperlink r:id="rId11">
              <w:r w:rsidDel="00000000" w:rsidR="00000000" w:rsidRPr="00000000">
                <w:rPr>
                  <w:rFonts w:ascii="Proxima Nova" w:cs="Proxima Nova" w:eastAsia="Proxima Nova" w:hAnsi="Proxima Nova"/>
                  <w:b w:val="0"/>
                  <w:color w:val="000000"/>
                  <w:sz w:val="16"/>
                  <w:szCs w:val="16"/>
                  <w:u w:val="none"/>
                  <w:rtl w:val="0"/>
                </w:rPr>
                <w:t xml:space="preserve">[6]</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secisbp2-wt-rep1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GSM2227376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GSM2227367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Liver (age: 5-8 weeks; genotype: wild type)</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secisbp2-wt-rep2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GSM2227377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GSM2227368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trsp-wt-rep1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GSM2227380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GSM2227371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trsp-wt-rep2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GSM2227382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GSM2227373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Frederic2015 </w:t>
            </w:r>
            <w:hyperlink r:id="rId12">
              <w:r w:rsidDel="00000000" w:rsidR="00000000" w:rsidRPr="00000000">
                <w:rPr>
                  <w:rFonts w:ascii="Proxima Nova" w:cs="Proxima Nova" w:eastAsia="Proxima Nova" w:hAnsi="Proxima Nova"/>
                  <w:b w:val="0"/>
                  <w:color w:val="000000"/>
                  <w:sz w:val="16"/>
                  <w:szCs w:val="16"/>
                  <w:u w:val="none"/>
                  <w:rtl w:val="0"/>
                </w:rPr>
                <w:t xml:space="preserve">[7]</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ZT00-A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GSM1897856</w:t>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Liver (strain: C57BL/6; age: post natal day 12-16; genotype: wild type)</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ZT00-B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ZT00-C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GSM1897751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ZT00-D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GSM1897777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ZT02-A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GSM1897857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ZT02-B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ZT02-C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GSM1897754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ZT02-D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GSM1897779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ZT04-A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GSM1897858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ZT04-B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ZT04-C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GSM1897756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ZT04-D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GSM1897781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GSM1897894</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ZT06-A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GSM1897859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ZT06-B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ZT06-C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GSM1897758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ZT06-D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GSM1897783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GSM1897895</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ZT08-A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ZT08-B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ZT08-C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GSM1897760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GSM1897884</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ZT08-D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GSM1897785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GSM1897896</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ZT10-A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ZT10-B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ZT10-C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GSM1897762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GSM1897885</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ZT10-D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GSM1897788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ZT12-A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ZT12-B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GSM1897740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GSM1897874</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ZT12-C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GSM1897764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GSM1897886</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ZT12-D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GSM1897790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ZT14-A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GSM1897729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ZT14-B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GSM1897742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GSM1897875</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ZT14-C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GSM1897766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ZT14-D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GSM1897791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ZT16-A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GSM1897864</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ZT16-B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GSM1897743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GSM1897876</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ZT16-C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GSM1897768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ZT16-D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GSM1897793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GSM1897900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ZT18-A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GSM1897865</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ZT18-B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GSM1897745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ZT18-C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GSM1897771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GSM1897889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ZT18-D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GSM1897796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GSM1897901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ZT20-A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GSM1897866</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ZT20-B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GSM1897747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ZT20-C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GSM1897773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ZT20-D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GSM1897798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GSM1897902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ZT22-A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GSM1897733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GSM1897867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ZT22-B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GSM1897749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GSM1897879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ZT22-C</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GSM1897775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GSM1897891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ZT22-D</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GSM1897800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GSM1897903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Howard2013 </w:t>
            </w:r>
            <w:hyperlink r:id="rId13">
              <w:r w:rsidDel="00000000" w:rsidR="00000000" w:rsidRPr="00000000">
                <w:rPr>
                  <w:rFonts w:ascii="Proxima Nova" w:cs="Proxima Nova" w:eastAsia="Proxima Nova" w:hAnsi="Proxima Nova"/>
                  <w:b w:val="0"/>
                  <w:color w:val="000000"/>
                  <w:sz w:val="16"/>
                  <w:szCs w:val="16"/>
                  <w:u w:val="none"/>
                  <w:rtl w:val="0"/>
                </w:rPr>
                <w:t xml:space="preserve">[8]</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GSM1122211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GSM1122205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Liver (strain: FVB/N; age: 3 weeks; treatment: 6 week diet 0 ppm sele</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Janich2015 </w:t>
            </w:r>
            <w:hyperlink r:id="rId14">
              <w:r w:rsidDel="00000000" w:rsidR="00000000" w:rsidRPr="00000000">
                <w:rPr>
                  <w:rFonts w:ascii="Proxima Nova" w:cs="Proxima Nova" w:eastAsia="Proxima Nova" w:hAnsi="Proxima Nova"/>
                  <w:b w:val="0"/>
                  <w:color w:val="000000"/>
                  <w:sz w:val="16"/>
                  <w:szCs w:val="16"/>
                  <w:u w:val="none"/>
                  <w:rtl w:val="0"/>
                </w:rPr>
                <w:t xml:space="preserve">[9]</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GSM1644076</w:t>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Liver (strain: C57BL/6JRj; age: 11-12 weeks; gender: male)</w:t>
            </w:r>
          </w:p>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ZT0-rep2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GSM1644077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ZT10-rep1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GSM1644086</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ZT10-rep2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ZT12-rep1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ZT12-rep2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ZT14-rep1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ZT14-rep2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ZT16-rep1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ZT16-rep2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ZT18-rep1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GSM1644094</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ZT18-rep2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GSM1644119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GSM1644095</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GSM1644078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GSM1644079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ZT20-rep1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GSM1644120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GSM1644096</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ZT20-rep2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GSM1644121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GSM1644097</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ZT22-rep1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GSM1644122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GSM1644098</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ZT22-rep2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GSM1644123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GSM1644099</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ZT4-rep1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GSM1644104</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GSM1644080</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ZT4-rep2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GSM1644105</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GSM1644081</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ZT6-rep1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ZT6-rep2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ZT8-rep1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GSM1644084</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ZT8-rep2</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GSM1644109</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GSM1644085</w:t>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Skin</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Blanco2016 </w:t>
            </w:r>
            <w:hyperlink r:id="rId15">
              <w:r w:rsidDel="00000000" w:rsidR="00000000" w:rsidRPr="00000000">
                <w:rPr>
                  <w:rFonts w:ascii="Proxima Nova" w:cs="Proxima Nova" w:eastAsia="Proxima Nova" w:hAnsi="Proxima Nova"/>
                  <w:b w:val="0"/>
                  <w:color w:val="000000"/>
                  <w:sz w:val="16"/>
                  <w:szCs w:val="16"/>
                  <w:u w:val="none"/>
                  <w:rtl w:val="0"/>
                </w:rPr>
                <w:t xml:space="preserve">[10]</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wt1</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GSM1854037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GSM1854031</w:t>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Skin (tumour stage: skin papilloma; strain: C57BL/6; age: 1 month)</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wt2</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GSM1854038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GSM1854032</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GSM1854039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GSM1854033</w:t>
            </w:r>
          </w:p>
        </w:tc>
        <w:tc>
          <w:tcPr>
            <w:vMerge w:val="continue"/>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Sendoel2017 </w:t>
            </w:r>
            <w:hyperlink r:id="rId16">
              <w:r w:rsidDel="00000000" w:rsidR="00000000" w:rsidRPr="00000000">
                <w:rPr>
                  <w:rFonts w:ascii="Proxima Nova" w:cs="Proxima Nova" w:eastAsia="Proxima Nova" w:hAnsi="Proxima Nova"/>
                  <w:b w:val="0"/>
                  <w:color w:val="000000"/>
                  <w:sz w:val="16"/>
                  <w:szCs w:val="16"/>
                  <w:u w:val="none"/>
                  <w:rtl w:val="0"/>
                </w:rPr>
                <w:t xml:space="preserve">[11]</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wt-invivo-rep0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GSM2199587</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GSM2199581</w:t>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Back skins (strain: R26-Sox2-IRES-eGFP fl/+; age: P4)</w:t>
            </w:r>
          </w:p>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wt-invivo-rep1</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GSM2199588</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GSM2199582</w:t>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Testis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Castaneda2014 </w:t>
            </w:r>
            <w:hyperlink r:id="rId17">
              <w:r w:rsidDel="00000000" w:rsidR="00000000" w:rsidRPr="00000000">
                <w:rPr>
                  <w:rFonts w:ascii="Proxima Nova" w:cs="Proxima Nova" w:eastAsia="Proxima Nova" w:hAnsi="Proxima Nova"/>
                  <w:b w:val="0"/>
                  <w:color w:val="000000"/>
                  <w:sz w:val="16"/>
                  <w:szCs w:val="16"/>
                  <w:u w:val="none"/>
                  <w:rtl w:val="0"/>
                </w:rPr>
                <w:t xml:space="preserve">[12]</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wt-a</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GSM1234250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GSM1234248</w:t>
            </w:r>
          </w:p>
        </w:tc>
        <w:tc>
          <w:tcPr>
            <w:vMerge w:val="restart"/>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Testis (strain: 129SvJae; genotype: wild type)</w:t>
            </w:r>
          </w:p>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wt-b</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GSM1234254</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GSM1234252</w:t>
            </w:r>
          </w:p>
        </w:tc>
        <w:tc>
          <w:tcPr>
            <w:vMerge w:val="continue"/>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spacing w:line="240" w:lineRule="auto"/>
              <w:contextualSpacing w:val="0"/>
              <w:rPr>
                <w:rFonts w:ascii="Proxima Nova" w:cs="Proxima Nova" w:eastAsia="Proxima Nova" w:hAnsi="Proxima Nova"/>
                <w:sz w:val="14"/>
                <w:szCs w:val="14"/>
              </w:rPr>
            </w:pPr>
            <w:r w:rsidDel="00000000" w:rsidR="00000000" w:rsidRPr="00000000">
              <w:rPr>
                <w:rtl w:val="0"/>
              </w:rPr>
            </w:r>
          </w:p>
        </w:tc>
      </w:tr>
      <w:tr>
        <w:trPr>
          <w:trHeight w:val="240" w:hRule="atLeast"/>
        </w:trPr>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mEB</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Ingolia2011 </w:t>
            </w:r>
            <w:hyperlink r:id="rId18">
              <w:r w:rsidDel="00000000" w:rsidR="00000000" w:rsidRPr="00000000">
                <w:rPr>
                  <w:rFonts w:ascii="Proxima Nova" w:cs="Proxima Nova" w:eastAsia="Proxima Nova" w:hAnsi="Proxima Nova"/>
                  <w:b w:val="0"/>
                  <w:color w:val="000000"/>
                  <w:sz w:val="16"/>
                  <w:szCs w:val="16"/>
                  <w:u w:val="none"/>
                  <w:rtl w:val="0"/>
                </w:rPr>
                <w:t xml:space="preserve">[13]</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eb</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GSM765286</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GSM765291</w:t>
            </w:r>
          </w:p>
        </w:tc>
        <w:tc>
          <w:tcPr>
            <w:tcBorders>
              <w:top w:color="000000" w:space="0" w:sz="0" w:val="nil"/>
              <w:left w:color="000000" w:space="0" w:sz="0" w:val="nil"/>
              <w:bottom w:color="a6a6a6" w:space="0" w:sz="6"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Embryoid body (genotype: CReP+/-; GADD34+/+ (WT))</w:t>
            </w:r>
          </w:p>
        </w:tc>
      </w:tr>
      <w:tr>
        <w:trPr>
          <w:trHeight w:val="240" w:hRule="atLeast"/>
        </w:trPr>
        <w:tc>
          <w:tcPr>
            <w:tcBorders>
              <w:top w:color="a6a6a6" w:space="0" w:sz="6"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mES</w:t>
            </w:r>
          </w:p>
        </w:tc>
        <w:tc>
          <w:tcPr>
            <w:tcBorders>
              <w:top w:color="a6a6a6" w:space="0" w:sz="6"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Hurt2013 </w:t>
            </w:r>
            <w:hyperlink r:id="rId19">
              <w:r w:rsidDel="00000000" w:rsidR="00000000" w:rsidRPr="00000000">
                <w:rPr>
                  <w:rFonts w:ascii="Proxima Nova" w:cs="Proxima Nova" w:eastAsia="Proxima Nova" w:hAnsi="Proxima Nova"/>
                  <w:b w:val="0"/>
                  <w:color w:val="000000"/>
                  <w:sz w:val="16"/>
                  <w:szCs w:val="16"/>
                  <w:u w:val="none"/>
                  <w:rtl w:val="0"/>
                </w:rPr>
                <w:t xml:space="preserve">[14]</w:t>
              </w:r>
            </w:hyperlink>
            <w:r w:rsidDel="00000000" w:rsidR="00000000" w:rsidRPr="00000000">
              <w:rPr>
                <w:rtl w:val="0"/>
              </w:rPr>
            </w:r>
          </w:p>
        </w:tc>
        <w:tc>
          <w:tcPr>
            <w:tcBorders>
              <w:top w:color="a6a6a6" w:space="0" w:sz="6"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control</w:t>
            </w:r>
          </w:p>
        </w:tc>
        <w:tc>
          <w:tcPr>
            <w:tcBorders>
              <w:top w:color="a6a6a6" w:space="0" w:sz="6"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GSM1024299 GSM1024300</w:t>
            </w:r>
          </w:p>
        </w:tc>
        <w:tc>
          <w:tcPr>
            <w:tcBorders>
              <w:top w:color="a6a6a6" w:space="0" w:sz="6"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GSM1024311</w:t>
            </w:r>
          </w:p>
        </w:tc>
        <w:tc>
          <w:tcPr>
            <w:tcBorders>
              <w:top w:color="a6a6a6" w:space="0" w:sz="6" w:val="single"/>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Embryonic stem cells (v6.5 cell line)</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Ingolia2011 </w:t>
            </w:r>
            <w:hyperlink r:id="rId20">
              <w:r w:rsidDel="00000000" w:rsidR="00000000" w:rsidRPr="00000000">
                <w:rPr>
                  <w:rFonts w:ascii="Proxima Nova" w:cs="Proxima Nova" w:eastAsia="Proxima Nova" w:hAnsi="Proxima Nova"/>
                  <w:b w:val="0"/>
                  <w:color w:val="000000"/>
                  <w:sz w:val="16"/>
                  <w:szCs w:val="16"/>
                  <w:u w:val="none"/>
                  <w:rtl w:val="0"/>
                </w:rPr>
                <w:t xml:space="preserve">[13]</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mes</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GSM765288</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GSM765300</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ES cell (E14 cell line; genetic: 129/Ola)</w:t>
            </w:r>
          </w:p>
        </w:tc>
      </w:tr>
      <w:tr>
        <w:trPr>
          <w:trHeight w:val="240" w:hRule="atLeast"/>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Reid2014 </w:t>
            </w:r>
            <w:hyperlink r:id="rId21">
              <w:r w:rsidDel="00000000" w:rsidR="00000000" w:rsidRPr="00000000">
                <w:rPr>
                  <w:rFonts w:ascii="Proxima Nova" w:cs="Proxima Nova" w:eastAsia="Proxima Nova" w:hAnsi="Proxima Nova"/>
                  <w:b w:val="0"/>
                  <w:color w:val="000000"/>
                  <w:sz w:val="16"/>
                  <w:szCs w:val="16"/>
                  <w:u w:val="none"/>
                  <w:rtl w:val="0"/>
                </w:rPr>
                <w:t xml:space="preserve">[15]</w:t>
              </w:r>
            </w:hyperlink>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cyt</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GSM1299862 GSM1299863</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GSM1299858 GSM1299859</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Embryonic fibroblasts (genotype: CReP+/-; GADD34+/+ (WT))</w:t>
            </w:r>
          </w:p>
        </w:tc>
      </w:tr>
      <w:tr>
        <w:trPr>
          <w:trHeight w:val="240" w:hRule="atLeast"/>
        </w:trPr>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er</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GSM1299860 GSM1299861</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GSM1299856 GSM1299857</w:t>
            </w:r>
          </w:p>
        </w:tc>
        <w:tc>
          <w:tcPr>
            <w:tcBorders>
              <w:top w:color="000000" w:space="0" w:sz="0" w:val="nil"/>
              <w:left w:color="000000" w:space="0" w:sz="0" w:val="nil"/>
              <w:bottom w:color="000000" w:space="0" w:sz="7" w:val="single"/>
              <w:right w:color="000000" w:space="0" w:sz="0" w:val="nil"/>
            </w:tcBorders>
            <w:tcMar>
              <w:top w:w="0.0" w:type="dxa"/>
              <w:left w:w="0.0" w:type="dxa"/>
              <w:bottom w:w="0.0" w:type="dxa"/>
              <w:right w:w="0.0" w:type="dxa"/>
            </w:tcMar>
            <w:vAlign w:val="top"/>
          </w:tcPr>
          <w:p w:rsidR="00000000" w:rsidDel="00000000" w:rsidP="00000000" w:rsidRDefault="00000000" w:rsidRPr="00000000">
            <w:pPr>
              <w:widowControl w:val="0"/>
              <w:contextualSpacing w:val="0"/>
              <w:rPr>
                <w:rFonts w:ascii="Proxima Nova" w:cs="Proxima Nova" w:eastAsia="Proxima Nova" w:hAnsi="Proxima Nova"/>
                <w:sz w:val="16"/>
                <w:szCs w:val="16"/>
              </w:rPr>
            </w:pPr>
            <w:r w:rsidDel="00000000" w:rsidR="00000000" w:rsidRPr="00000000">
              <w:rPr>
                <w:rFonts w:ascii="Proxima Nova" w:cs="Proxima Nova" w:eastAsia="Proxima Nova" w:hAnsi="Proxima Nova"/>
                <w:sz w:val="16"/>
                <w:szCs w:val="16"/>
                <w:rtl w:val="0"/>
              </w:rPr>
              <w:t xml:space="preserve"> </w:t>
            </w:r>
          </w:p>
        </w:tc>
      </w:tr>
    </w:tbl>
    <w:p w:rsidR="00000000" w:rsidDel="00000000" w:rsidP="00000000" w:rsidRDefault="00000000" w:rsidRPr="00000000">
      <w:pPr>
        <w:spacing w:line="240" w:lineRule="auto"/>
        <w:contextualSpacing w:val="0"/>
        <w:rPr>
          <w:rFonts w:ascii="Proxima Nova" w:cs="Proxima Nova" w:eastAsia="Proxima Nova" w:hAnsi="Proxima Nova"/>
          <w:sz w:val="14"/>
          <w:szCs w:val="14"/>
        </w:rPr>
      </w:pPr>
      <w:r w:rsidDel="00000000" w:rsidR="00000000" w:rsidRPr="00000000">
        <w:rPr>
          <w:rtl w:val="0"/>
        </w:rPr>
      </w:r>
    </w:p>
    <w:p w:rsidR="00000000" w:rsidDel="00000000" w:rsidP="00000000" w:rsidRDefault="00000000" w:rsidRPr="00000000">
      <w:pPr>
        <w:spacing w:before="200" w:line="312" w:lineRule="auto"/>
        <w:contextualSpacing w:val="0"/>
        <w:rPr>
          <w:rFonts w:ascii="Proxima Nova" w:cs="Proxima Nova" w:eastAsia="Proxima Nova" w:hAnsi="Proxima Nova"/>
          <w:color w:val="353744"/>
        </w:rPr>
      </w:pPr>
      <w:r w:rsidDel="00000000" w:rsidR="00000000" w:rsidRPr="00000000">
        <w:rPr>
          <w:rtl w:val="0"/>
        </w:rPr>
      </w:r>
    </w:p>
    <w:p w:rsidR="00000000" w:rsidDel="00000000" w:rsidP="00000000" w:rsidRDefault="00000000" w:rsidRPr="00000000">
      <w:pPr>
        <w:spacing w:before="200" w:line="312" w:lineRule="auto"/>
        <w:contextualSpacing w:val="0"/>
        <w:rPr>
          <w:rFonts w:ascii="Proxima Nova" w:cs="Proxima Nova" w:eastAsia="Proxima Nova" w:hAnsi="Proxima Nova"/>
          <w:color w:val="353744"/>
        </w:rPr>
      </w:pPr>
      <w:r w:rsidDel="00000000" w:rsidR="00000000" w:rsidRPr="00000000">
        <w:rPr>
          <w:rtl w:val="0"/>
        </w:rPr>
      </w:r>
    </w:p>
    <w:p w:rsidR="00000000" w:rsidDel="00000000" w:rsidP="00000000" w:rsidRDefault="00000000" w:rsidRPr="00000000">
      <w:pPr>
        <w:spacing w:before="200" w:line="312" w:lineRule="auto"/>
        <w:contextualSpacing w:val="0"/>
        <w:rPr>
          <w:rFonts w:ascii="Proxima Nova" w:cs="Proxima Nova" w:eastAsia="Proxima Nova" w:hAnsi="Proxima Nova"/>
          <w:color w:val="353744"/>
        </w:rPr>
      </w:pPr>
      <w:r w:rsidDel="00000000" w:rsidR="00000000" w:rsidRPr="00000000">
        <w:rPr>
          <w:rtl w:val="0"/>
        </w:rPr>
      </w:r>
    </w:p>
    <w:p w:rsidR="00000000" w:rsidDel="00000000" w:rsidP="00000000" w:rsidRDefault="00000000" w:rsidRPr="00000000">
      <w:pPr>
        <w:contextualSpacing w:val="0"/>
        <w:rPr>
          <w:b w:val="1"/>
          <w:sz w:val="24"/>
          <w:szCs w:val="24"/>
        </w:rPr>
      </w:pPr>
      <w:r w:rsidDel="00000000" w:rsidR="00000000" w:rsidRPr="00000000">
        <w:rPr>
          <w:b w:val="1"/>
          <w:sz w:val="24"/>
          <w:szCs w:val="24"/>
          <w:rtl w:val="0"/>
        </w:rPr>
        <w:t xml:space="preserve">Reference</w:t>
      </w:r>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22">
        <w:r w:rsidDel="00000000" w:rsidR="00000000" w:rsidRPr="00000000">
          <w:rPr>
            <w:color w:val="000000"/>
            <w:sz w:val="20"/>
            <w:szCs w:val="20"/>
            <w:u w:val="none"/>
            <w:rtl w:val="0"/>
          </w:rPr>
          <w:t xml:space="preserve">1. Gonzalez C, Sims JS, Hornstein N, Mela A, Garcia F, Lei L, et al. Ribosome profiling reveals a cell-type-specific translational landscape in brain tumors. J. Neurosci. 2014;34:10924–36. Available from: </w:t>
        </w:r>
      </w:hyperlink>
      <w:hyperlink r:id="rId23">
        <w:r w:rsidDel="00000000" w:rsidR="00000000" w:rsidRPr="00000000">
          <w:rPr>
            <w:color w:val="000000"/>
            <w:sz w:val="20"/>
            <w:szCs w:val="20"/>
            <w:u w:val="none"/>
            <w:rtl w:val="0"/>
          </w:rPr>
          <w:t xml:space="preserve">http://dx.doi.org/10.1523/JNEUROSCI.0084-14.2014</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24">
        <w:r w:rsidDel="00000000" w:rsidR="00000000" w:rsidRPr="00000000">
          <w:rPr>
            <w:color w:val="000000"/>
            <w:sz w:val="20"/>
            <w:szCs w:val="20"/>
            <w:u w:val="none"/>
            <w:rtl w:val="0"/>
          </w:rPr>
          <w:t xml:space="preserve">2. Thoreen CC, Chantranupong L, Keys HR, Wang T, Gray NS, Sabatini DM. A unifying model for mTORC1-mediated regulation of mRNA translation. Nature 2012;485:109–13. Available from: </w:t>
        </w:r>
      </w:hyperlink>
      <w:hyperlink r:id="rId25">
        <w:r w:rsidDel="00000000" w:rsidR="00000000" w:rsidRPr="00000000">
          <w:rPr>
            <w:color w:val="000000"/>
            <w:sz w:val="20"/>
            <w:szCs w:val="20"/>
            <w:u w:val="none"/>
            <w:rtl w:val="0"/>
          </w:rPr>
          <w:t xml:space="preserve">http://dx.doi.org/10.1038/nature11083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26">
        <w:r w:rsidDel="00000000" w:rsidR="00000000" w:rsidRPr="00000000">
          <w:rPr>
            <w:color w:val="000000"/>
            <w:sz w:val="20"/>
            <w:szCs w:val="20"/>
            <w:u w:val="none"/>
            <w:rtl w:val="0"/>
          </w:rPr>
          <w:t xml:space="preserve">3. Cho J, Yu N-K, Choi J-H, Sim S-E, Kang SJ, Kwak C, et al. Multiple repressive mechanisms in the hippocampus during memory formation. Science 2015;350:82–7. Available from: </w:t>
        </w:r>
      </w:hyperlink>
      <w:hyperlink r:id="rId27">
        <w:r w:rsidDel="00000000" w:rsidR="00000000" w:rsidRPr="00000000">
          <w:rPr>
            <w:color w:val="000000"/>
            <w:sz w:val="20"/>
            <w:szCs w:val="20"/>
            <w:u w:val="none"/>
            <w:rtl w:val="0"/>
          </w:rPr>
          <w:t xml:space="preserve">http://dx.doi.org/10.1126/science.aac7368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28">
        <w:r w:rsidDel="00000000" w:rsidR="00000000" w:rsidRPr="00000000">
          <w:rPr>
            <w:color w:val="000000"/>
            <w:sz w:val="20"/>
            <w:szCs w:val="20"/>
            <w:u w:val="none"/>
            <w:rtl w:val="0"/>
          </w:rPr>
          <w:t xml:space="preserve">4. Alvarez-Dominguez JR, Zhang X, Hu W. Widespread and dynamic translational control of red blood cell development. Blood 2017;129:619–29. Available from: </w:t>
        </w:r>
      </w:hyperlink>
      <w:hyperlink r:id="rId29">
        <w:r w:rsidDel="00000000" w:rsidR="00000000" w:rsidRPr="00000000">
          <w:rPr>
            <w:color w:val="000000"/>
            <w:sz w:val="20"/>
            <w:szCs w:val="20"/>
            <w:u w:val="none"/>
            <w:rtl w:val="0"/>
          </w:rPr>
          <w:t xml:space="preserve">http://dx.doi.org/10.1182/blood-2016-09-741835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30">
        <w:r w:rsidDel="00000000" w:rsidR="00000000" w:rsidRPr="00000000">
          <w:rPr>
            <w:color w:val="000000"/>
            <w:sz w:val="20"/>
            <w:szCs w:val="20"/>
            <w:u w:val="none"/>
            <w:rtl w:val="0"/>
          </w:rPr>
          <w:t xml:space="preserve">5. Eichhorn SW, Guo H, McGeary SE, Rodriguez-Mias RA, Shin C, Baek D, et al. mRNA destabilization is the dominant effect of mammalian microRNAs by the time substantial repression ensues. Mol. Cell 2014;56:104–15. Available from: </w:t>
        </w:r>
      </w:hyperlink>
      <w:hyperlink r:id="rId31">
        <w:r w:rsidDel="00000000" w:rsidR="00000000" w:rsidRPr="00000000">
          <w:rPr>
            <w:color w:val="000000"/>
            <w:sz w:val="20"/>
            <w:szCs w:val="20"/>
            <w:u w:val="none"/>
            <w:rtl w:val="0"/>
          </w:rPr>
          <w:t xml:space="preserve">http://dx.doi.org/10.1016/j.molcel.2014.08.028</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32">
        <w:r w:rsidDel="00000000" w:rsidR="00000000" w:rsidRPr="00000000">
          <w:rPr>
            <w:color w:val="000000"/>
            <w:sz w:val="20"/>
            <w:szCs w:val="20"/>
            <w:u w:val="none"/>
            <w:rtl w:val="0"/>
          </w:rPr>
          <w:t xml:space="preserve">6. Fradejas-Villar N, Seeher S, Anderson CB, Doengi M, Carlson BA, Hatfield DL, et al. The RNA-binding protein Secisbp2 differentially modulates UGA codon reassignment and RNA decay. Nucleic Acids Res. 2017;45:4094–107. Available from: </w:t>
        </w:r>
      </w:hyperlink>
      <w:hyperlink r:id="rId33">
        <w:r w:rsidDel="00000000" w:rsidR="00000000" w:rsidRPr="00000000">
          <w:rPr>
            <w:color w:val="000000"/>
            <w:sz w:val="20"/>
            <w:szCs w:val="20"/>
            <w:u w:val="none"/>
            <w:rtl w:val="0"/>
          </w:rPr>
          <w:t xml:space="preserve">http://dx.doi.org/10.1093/nar/gkw1255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34">
        <w:r w:rsidDel="00000000" w:rsidR="00000000" w:rsidRPr="00000000">
          <w:rPr>
            <w:color w:val="000000"/>
            <w:sz w:val="20"/>
            <w:szCs w:val="20"/>
            <w:u w:val="none"/>
            <w:rtl w:val="0"/>
          </w:rPr>
          <w:t xml:space="preserve">7. Atger F, Gobet C, Marquis J, Martin E, Wang J, Weger B, et al. Circadian and feeding rhythms differentially affect rhythmic mRNA transcription and translation in mouse liver. Proc. Natl. Acad. Sci. U. S. A. 2015;112:E6579–88. Available from: </w:t>
        </w:r>
      </w:hyperlink>
      <w:hyperlink r:id="rId35">
        <w:r w:rsidDel="00000000" w:rsidR="00000000" w:rsidRPr="00000000">
          <w:rPr>
            <w:color w:val="000000"/>
            <w:sz w:val="20"/>
            <w:szCs w:val="20"/>
            <w:u w:val="none"/>
            <w:rtl w:val="0"/>
          </w:rPr>
          <w:t xml:space="preserve">http://dx.doi.org/10.1073/pnas.1515308112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36">
        <w:r w:rsidDel="00000000" w:rsidR="00000000" w:rsidRPr="00000000">
          <w:rPr>
            <w:color w:val="000000"/>
            <w:sz w:val="20"/>
            <w:szCs w:val="20"/>
            <w:u w:val="none"/>
            <w:rtl w:val="0"/>
          </w:rPr>
          <w:t xml:space="preserve">8. Howard MT, Carlson BA, Anderson CB, Hatfield DL. Translational redefinition of UGA codons is regulated by selenium availability. J. Biol. Chem. 2013;288:19401–13. Available from: </w:t>
        </w:r>
      </w:hyperlink>
      <w:hyperlink r:id="rId37">
        <w:r w:rsidDel="00000000" w:rsidR="00000000" w:rsidRPr="00000000">
          <w:rPr>
            <w:color w:val="000000"/>
            <w:sz w:val="20"/>
            <w:szCs w:val="20"/>
            <w:u w:val="none"/>
            <w:rtl w:val="0"/>
          </w:rPr>
          <w:t xml:space="preserve">http://dx.doi.org/10.1074/jbc.M113.481051</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38">
        <w:r w:rsidDel="00000000" w:rsidR="00000000" w:rsidRPr="00000000">
          <w:rPr>
            <w:color w:val="000000"/>
            <w:sz w:val="20"/>
            <w:szCs w:val="20"/>
            <w:u w:val="none"/>
            <w:rtl w:val="0"/>
          </w:rPr>
          <w:t xml:space="preserve">9. Janich P, Arpat AB, Castelo-Szekely V, Lopes M, Gatfield D. Ribosome profiling reveals the rhythmic liver translatome and circadian clock regulation by upstream open reading frames. Genome Res. 2015;25:1848–59. Available from: </w:t>
        </w:r>
      </w:hyperlink>
      <w:hyperlink r:id="rId39">
        <w:r w:rsidDel="00000000" w:rsidR="00000000" w:rsidRPr="00000000">
          <w:rPr>
            <w:color w:val="000000"/>
            <w:sz w:val="20"/>
            <w:szCs w:val="20"/>
            <w:u w:val="none"/>
            <w:rtl w:val="0"/>
          </w:rPr>
          <w:t xml:space="preserve">http://dx.doi.org/10.1101/gr.195404.115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40">
        <w:r w:rsidDel="00000000" w:rsidR="00000000" w:rsidRPr="00000000">
          <w:rPr>
            <w:color w:val="000000"/>
            <w:sz w:val="20"/>
            <w:szCs w:val="20"/>
            <w:u w:val="none"/>
            <w:rtl w:val="0"/>
          </w:rPr>
          <w:t xml:space="preserve">10. Blanco S, Bandiera R, Popis M, Hussain S, Lombard P, Aleksic J, et al. Stem cell function and stress response are controlled by protein synthesis. Nature 2016;534:335–40. Available from: </w:t>
        </w:r>
      </w:hyperlink>
      <w:hyperlink r:id="rId41">
        <w:r w:rsidDel="00000000" w:rsidR="00000000" w:rsidRPr="00000000">
          <w:rPr>
            <w:color w:val="000000"/>
            <w:sz w:val="20"/>
            <w:szCs w:val="20"/>
            <w:u w:val="none"/>
            <w:rtl w:val="0"/>
          </w:rPr>
          <w:t xml:space="preserve">http://dx.doi.org/10.1038/nature18282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42">
        <w:r w:rsidDel="00000000" w:rsidR="00000000" w:rsidRPr="00000000">
          <w:rPr>
            <w:color w:val="000000"/>
            <w:sz w:val="20"/>
            <w:szCs w:val="20"/>
            <w:u w:val="none"/>
            <w:rtl w:val="0"/>
          </w:rPr>
          <w:t xml:space="preserve">11. Sendoel A, Dunn JG, Rodriguez EH, Naik S, Gomez NC, Hurwitz B, et al. Translation from unconventional 5’ start sites drives tumour initiation. Nature 2017;541:494–9. Available from: </w:t>
        </w:r>
      </w:hyperlink>
      <w:hyperlink r:id="rId43">
        <w:r w:rsidDel="00000000" w:rsidR="00000000" w:rsidRPr="00000000">
          <w:rPr>
            <w:color w:val="000000"/>
            <w:sz w:val="20"/>
            <w:szCs w:val="20"/>
            <w:u w:val="none"/>
            <w:rtl w:val="0"/>
          </w:rPr>
          <w:t xml:space="preserve">http://dx.doi.org/10.1038/nature21036</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44">
        <w:r w:rsidDel="00000000" w:rsidR="00000000" w:rsidRPr="00000000">
          <w:rPr>
            <w:color w:val="000000"/>
            <w:sz w:val="20"/>
            <w:szCs w:val="20"/>
            <w:u w:val="none"/>
            <w:rtl w:val="0"/>
          </w:rPr>
          <w:t xml:space="preserve">12. Castañeda J, Genzor P, van der Heijden GW, Sarkeshik A, Yates JR 3rd, Ingolia NT, et al. Reduced pachytene piRNAs and translation underlie spermiogenic arrest in Maelstrom mutant mice. EMBO J. 2014;33:1999–2019. Available from: </w:t>
        </w:r>
      </w:hyperlink>
      <w:hyperlink r:id="rId45">
        <w:r w:rsidDel="00000000" w:rsidR="00000000" w:rsidRPr="00000000">
          <w:rPr>
            <w:color w:val="000000"/>
            <w:sz w:val="20"/>
            <w:szCs w:val="20"/>
            <w:u w:val="none"/>
            <w:rtl w:val="0"/>
          </w:rPr>
          <w:t xml:space="preserve">http://dx.doi.org/10.15252/embj.201386855</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46">
        <w:r w:rsidDel="00000000" w:rsidR="00000000" w:rsidRPr="00000000">
          <w:rPr>
            <w:color w:val="000000"/>
            <w:sz w:val="20"/>
            <w:szCs w:val="20"/>
            <w:u w:val="none"/>
            <w:rtl w:val="0"/>
          </w:rPr>
          <w:t xml:space="preserve">13. Ingolia NT, Lareau LF, Weissman JS. Ribosome profiling of mouse embryonic stem cells reveals the complexity and dynamics of mammalian proteomes. Cell 2011;147:789–802. Available from: </w:t>
        </w:r>
      </w:hyperlink>
      <w:hyperlink r:id="rId47">
        <w:r w:rsidDel="00000000" w:rsidR="00000000" w:rsidRPr="00000000">
          <w:rPr>
            <w:color w:val="000000"/>
            <w:sz w:val="20"/>
            <w:szCs w:val="20"/>
            <w:u w:val="none"/>
            <w:rtl w:val="0"/>
          </w:rPr>
          <w:t xml:space="preserve">http://dx.doi.org/10.1016/j.cell.2011.10.002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48">
        <w:r w:rsidDel="00000000" w:rsidR="00000000" w:rsidRPr="00000000">
          <w:rPr>
            <w:color w:val="000000"/>
            <w:sz w:val="20"/>
            <w:szCs w:val="20"/>
            <w:u w:val="none"/>
            <w:rtl w:val="0"/>
          </w:rPr>
          <w:t xml:space="preserve">14. Hurt JA, Robertson AD, Burge CB. Global analyses of UPF1 binding and function reveal expanded scope of nonsense-mediated mRNA decay. Genome Res. 2013;23:1636–50. Available from: </w:t>
        </w:r>
      </w:hyperlink>
      <w:hyperlink r:id="rId49">
        <w:r w:rsidDel="00000000" w:rsidR="00000000" w:rsidRPr="00000000">
          <w:rPr>
            <w:color w:val="000000"/>
            <w:sz w:val="20"/>
            <w:szCs w:val="20"/>
            <w:u w:val="none"/>
            <w:rtl w:val="0"/>
          </w:rPr>
          <w:t xml:space="preserve">http://dx.doi.org/10.1101/gr.157354.113</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200" w:line="240" w:lineRule="auto"/>
        <w:ind w:left="0" w:right="0" w:firstLine="0"/>
        <w:contextualSpacing w:val="0"/>
        <w:jc w:val="left"/>
        <w:rPr>
          <w:sz w:val="20"/>
          <w:szCs w:val="20"/>
        </w:rPr>
      </w:pPr>
      <w:hyperlink r:id="rId50">
        <w:r w:rsidDel="00000000" w:rsidR="00000000" w:rsidRPr="00000000">
          <w:rPr>
            <w:color w:val="000000"/>
            <w:sz w:val="20"/>
            <w:szCs w:val="20"/>
            <w:u w:val="none"/>
            <w:rtl w:val="0"/>
          </w:rPr>
          <w:t xml:space="preserve">15. Reid DW, Chen Q, Tay AS-L, Shenolikar S, Nicchitta CV. The unfolded protein response triggers selective mRNA release from the endoplasmic reticulum. Cell 2014;158:1362–74. Available from: </w:t>
        </w:r>
      </w:hyperlink>
      <w:hyperlink r:id="rId51">
        <w:r w:rsidDel="00000000" w:rsidR="00000000" w:rsidRPr="00000000">
          <w:rPr>
            <w:color w:val="000000"/>
            <w:sz w:val="20"/>
            <w:szCs w:val="20"/>
            <w:u w:val="none"/>
            <w:rtl w:val="0"/>
          </w:rPr>
          <w:t xml:space="preserve">http://dx.doi.org/10.1016/j.cell.2014.08.012</w:t>
        </w:r>
      </w:hyperlink>
      <w:r w:rsidDel="00000000" w:rsidR="00000000" w:rsidRPr="00000000">
        <w:rPr>
          <w:rtl w:val="0"/>
        </w:rPr>
      </w:r>
    </w:p>
    <w:p w:rsidR="00000000" w:rsidDel="00000000" w:rsidP="00000000" w:rsidRDefault="00000000" w:rsidRPr="00000000">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rPr>
          <w:b w:val="1"/>
          <w:sz w:val="28"/>
          <w:szCs w:val="28"/>
        </w:rPr>
      </w:pPr>
      <w:r w:rsidDel="00000000" w:rsidR="00000000" w:rsidRPr="00000000">
        <w:rPr>
          <w:rtl w:val="0"/>
        </w:rPr>
      </w:r>
    </w:p>
    <w:sectPr>
      <w:pgSz w:h="16838" w:w="11906"/>
      <w:pgMar w:bottom="1080" w:top="108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Proxima Nova">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isplayBackgroundShape w:val="1"/>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shd w:fill="auto" w:val="clear"/>
        <w:vertAlign w:val="baseline"/>
        <w:lang w:val="en"/>
      </w:rPr>
    </w:rPrDefault>
    <w:pPrDefault>
      <w:pPr>
        <w:keepNext w:val="0"/>
        <w:keepLines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contextualSpacing w:val="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b w:val="1"/>
      <w:sz w:val="28"/>
      <w:szCs w:val="28"/>
    </w:rPr>
  </w:style>
  <w:style w:type="paragraph" w:styleId="Heading2">
    <w:name w:val="heading 2"/>
    <w:basedOn w:val="Normal"/>
    <w:next w:val="Normal"/>
    <w:pPr>
      <w:keepNext w:val="1"/>
      <w:keepLines w:val="1"/>
      <w:spacing w:after="120" w:before="360" w:lineRule="auto"/>
    </w:pPr>
    <w:rPr>
      <w:b w:val="1"/>
      <w:sz w:val="24"/>
      <w:szCs w:val="24"/>
    </w:rPr>
  </w:style>
  <w:style w:type="paragraph" w:styleId="Heading3">
    <w:name w:val="heading 3"/>
    <w:basedOn w:val="Normal"/>
    <w:next w:val="Normal"/>
    <w:pPr>
      <w:keepNext w:val="1"/>
      <w:keepLines w:val="1"/>
      <w:spacing w:after="80" w:before="320" w:lineRule="auto"/>
    </w:pPr>
    <w:rPr>
      <w:b w:val="1"/>
      <w:color w:val="434343"/>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lineRule="auto"/>
    </w:pPr>
    <w:rPr>
      <w:b w:val="1"/>
      <w:sz w:val="48"/>
      <w:szCs w:val="48"/>
    </w:rPr>
  </w:style>
  <w:style w:type="paragraph" w:styleId="Subtitle">
    <w:name w:val="Subtitle"/>
    <w:basedOn w:val="Normal"/>
    <w:next w:val="Normal"/>
    <w:pPr>
      <w:keepNext w:val="1"/>
      <w:keepLines w:val="1"/>
      <w:spacing w:after="320" w:lineRule="auto"/>
    </w:pPr>
    <w:rPr>
      <w:color w:val="666666"/>
      <w:sz w:val="36"/>
      <w:szCs w:val="36"/>
    </w:rPr>
  </w:style>
  <w:style w:type="table" w:styleId="Table1">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40" Type="http://schemas.openxmlformats.org/officeDocument/2006/relationships/hyperlink" Target="http://paperpile.com/b/TLiL0m/RSeNb" TargetMode="External"/><Relationship Id="rId42" Type="http://schemas.openxmlformats.org/officeDocument/2006/relationships/hyperlink" Target="http://paperpile.com/b/TLiL0m/UeTgk" TargetMode="External"/><Relationship Id="rId41" Type="http://schemas.openxmlformats.org/officeDocument/2006/relationships/hyperlink" Target="http://dx.doi.org/10.1038/nature18282" TargetMode="External"/><Relationship Id="rId44" Type="http://schemas.openxmlformats.org/officeDocument/2006/relationships/hyperlink" Target="http://paperpile.com/b/TLiL0m/02l3s" TargetMode="External"/><Relationship Id="rId43" Type="http://schemas.openxmlformats.org/officeDocument/2006/relationships/hyperlink" Target="http://dx.doi.org/10.1038/nature21036" TargetMode="External"/><Relationship Id="rId46" Type="http://schemas.openxmlformats.org/officeDocument/2006/relationships/hyperlink" Target="http://paperpile.com/b/TLiL0m/7Og9F" TargetMode="External"/><Relationship Id="rId45" Type="http://schemas.openxmlformats.org/officeDocument/2006/relationships/hyperlink" Target="http://dx.doi.org/10.15252/embj.201386855"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aperpile.com/c/TLiL0m/zFial" TargetMode="External"/><Relationship Id="rId48" Type="http://schemas.openxmlformats.org/officeDocument/2006/relationships/hyperlink" Target="http://paperpile.com/b/TLiL0m/HmbN7" TargetMode="External"/><Relationship Id="rId47" Type="http://schemas.openxmlformats.org/officeDocument/2006/relationships/hyperlink" Target="http://dx.doi.org/10.1016/j.cell.2011.10.002" TargetMode="External"/><Relationship Id="rId49" Type="http://schemas.openxmlformats.org/officeDocument/2006/relationships/hyperlink" Target="http://dx.doi.org/10.1101/gr.157354.113" TargetMode="External"/><Relationship Id="rId5" Type="http://schemas.openxmlformats.org/officeDocument/2006/relationships/styles" Target="styles.xml"/><Relationship Id="rId6" Type="http://schemas.openxmlformats.org/officeDocument/2006/relationships/hyperlink" Target="https://paperpile.com/c/TLiL0m/EtzG1" TargetMode="External"/><Relationship Id="rId7" Type="http://schemas.openxmlformats.org/officeDocument/2006/relationships/hyperlink" Target="https://paperpile.com/c/TLiL0m/okorY" TargetMode="External"/><Relationship Id="rId8" Type="http://schemas.openxmlformats.org/officeDocument/2006/relationships/hyperlink" Target="https://paperpile.com/c/TLiL0m/P0nc6" TargetMode="External"/><Relationship Id="rId31" Type="http://schemas.openxmlformats.org/officeDocument/2006/relationships/hyperlink" Target="http://dx.doi.org/10.1016/j.molcel.2014.08.028" TargetMode="External"/><Relationship Id="rId30" Type="http://schemas.openxmlformats.org/officeDocument/2006/relationships/hyperlink" Target="http://paperpile.com/b/TLiL0m/wNlDT" TargetMode="External"/><Relationship Id="rId33" Type="http://schemas.openxmlformats.org/officeDocument/2006/relationships/hyperlink" Target="http://dx.doi.org/10.1093/nar/gkw1255" TargetMode="External"/><Relationship Id="rId32" Type="http://schemas.openxmlformats.org/officeDocument/2006/relationships/hyperlink" Target="http://paperpile.com/b/TLiL0m/HNeJu" TargetMode="External"/><Relationship Id="rId35" Type="http://schemas.openxmlformats.org/officeDocument/2006/relationships/hyperlink" Target="http://dx.doi.org/10.1073/pnas.1515308112" TargetMode="External"/><Relationship Id="rId34" Type="http://schemas.openxmlformats.org/officeDocument/2006/relationships/hyperlink" Target="http://paperpile.com/b/TLiL0m/znCWM" TargetMode="External"/><Relationship Id="rId37" Type="http://schemas.openxmlformats.org/officeDocument/2006/relationships/hyperlink" Target="http://dx.doi.org/10.1074/jbc.M113.481051" TargetMode="External"/><Relationship Id="rId36" Type="http://schemas.openxmlformats.org/officeDocument/2006/relationships/hyperlink" Target="http://paperpile.com/b/TLiL0m/yJuoB" TargetMode="External"/><Relationship Id="rId39" Type="http://schemas.openxmlformats.org/officeDocument/2006/relationships/hyperlink" Target="http://dx.doi.org/10.1101/gr.195404.115" TargetMode="External"/><Relationship Id="rId38" Type="http://schemas.openxmlformats.org/officeDocument/2006/relationships/hyperlink" Target="http://paperpile.com/b/TLiL0m/34TkM" TargetMode="External"/><Relationship Id="rId20" Type="http://schemas.openxmlformats.org/officeDocument/2006/relationships/hyperlink" Target="https://paperpile.com/c/TLiL0m/7Og9F" TargetMode="External"/><Relationship Id="rId22" Type="http://schemas.openxmlformats.org/officeDocument/2006/relationships/hyperlink" Target="http://paperpile.com/b/TLiL0m/EtzG1" TargetMode="External"/><Relationship Id="rId21" Type="http://schemas.openxmlformats.org/officeDocument/2006/relationships/hyperlink" Target="https://paperpile.com/c/TLiL0m/AYhDd" TargetMode="External"/><Relationship Id="rId24" Type="http://schemas.openxmlformats.org/officeDocument/2006/relationships/hyperlink" Target="http://paperpile.com/b/TLiL0m/okorY" TargetMode="External"/><Relationship Id="rId23" Type="http://schemas.openxmlformats.org/officeDocument/2006/relationships/hyperlink" Target="http://dx.doi.org/10.1523/JNEUROSCI.0084-14.2014" TargetMode="External"/><Relationship Id="rId26" Type="http://schemas.openxmlformats.org/officeDocument/2006/relationships/hyperlink" Target="http://paperpile.com/b/TLiL0m/P0nc6" TargetMode="External"/><Relationship Id="rId25" Type="http://schemas.openxmlformats.org/officeDocument/2006/relationships/hyperlink" Target="http://dx.doi.org/10.1038/nature11083" TargetMode="External"/><Relationship Id="rId28" Type="http://schemas.openxmlformats.org/officeDocument/2006/relationships/hyperlink" Target="http://paperpile.com/b/TLiL0m/zFial" TargetMode="External"/><Relationship Id="rId27" Type="http://schemas.openxmlformats.org/officeDocument/2006/relationships/hyperlink" Target="http://dx.doi.org/10.1126/science.aac7368" TargetMode="External"/><Relationship Id="rId29" Type="http://schemas.openxmlformats.org/officeDocument/2006/relationships/hyperlink" Target="http://dx.doi.org/10.1182/blood-2016-09-741835" TargetMode="External"/><Relationship Id="rId51" Type="http://schemas.openxmlformats.org/officeDocument/2006/relationships/hyperlink" Target="http://dx.doi.org/10.1016/j.cell.2014.08.012" TargetMode="External"/><Relationship Id="rId50" Type="http://schemas.openxmlformats.org/officeDocument/2006/relationships/hyperlink" Target="http://paperpile.com/b/TLiL0m/AYhDd" TargetMode="External"/><Relationship Id="rId11" Type="http://schemas.openxmlformats.org/officeDocument/2006/relationships/hyperlink" Target="https://paperpile.com/c/TLiL0m/HNeJu" TargetMode="External"/><Relationship Id="rId10" Type="http://schemas.openxmlformats.org/officeDocument/2006/relationships/hyperlink" Target="https://paperpile.com/c/TLiL0m/wNlDT" TargetMode="External"/><Relationship Id="rId13" Type="http://schemas.openxmlformats.org/officeDocument/2006/relationships/hyperlink" Target="https://paperpile.com/c/TLiL0m/yJuoB" TargetMode="External"/><Relationship Id="rId12" Type="http://schemas.openxmlformats.org/officeDocument/2006/relationships/hyperlink" Target="https://paperpile.com/c/TLiL0m/znCWM" TargetMode="External"/><Relationship Id="rId15" Type="http://schemas.openxmlformats.org/officeDocument/2006/relationships/hyperlink" Target="https://paperpile.com/c/TLiL0m/RSeNb" TargetMode="External"/><Relationship Id="rId14" Type="http://schemas.openxmlformats.org/officeDocument/2006/relationships/hyperlink" Target="https://paperpile.com/c/TLiL0m/34TkM" TargetMode="External"/><Relationship Id="rId17" Type="http://schemas.openxmlformats.org/officeDocument/2006/relationships/hyperlink" Target="https://paperpile.com/c/TLiL0m/02l3s" TargetMode="External"/><Relationship Id="rId16" Type="http://schemas.openxmlformats.org/officeDocument/2006/relationships/hyperlink" Target="https://paperpile.com/c/TLiL0m/UeTgk" TargetMode="External"/><Relationship Id="rId19" Type="http://schemas.openxmlformats.org/officeDocument/2006/relationships/hyperlink" Target="https://paperpile.com/c/TLiL0m/HmbN7" TargetMode="External"/><Relationship Id="rId18" Type="http://schemas.openxmlformats.org/officeDocument/2006/relationships/hyperlink" Target="https://paperpile.com/c/TLiL0m/7Og9F"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roximaNova-regular.ttf"/><Relationship Id="rId2" Type="http://schemas.openxmlformats.org/officeDocument/2006/relationships/font" Target="fonts/ProximaNova-bold.ttf"/><Relationship Id="rId3" Type="http://schemas.openxmlformats.org/officeDocument/2006/relationships/font" Target="fonts/ProximaNova-italic.ttf"/><Relationship Id="rId4" Type="http://schemas.openxmlformats.org/officeDocument/2006/relationships/font" Target="fonts/ProximaNova-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