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4419" w:rsidRDefault="00674419" w:rsidP="00674419">
      <w:pPr>
        <w:pStyle w:val="Heading1"/>
      </w:pPr>
      <w:r>
        <w:t>Results</w:t>
      </w:r>
    </w:p>
    <w:p w:rsidR="000E424D" w:rsidRPr="00200AA5" w:rsidRDefault="000E424D" w:rsidP="000E424D">
      <w:pPr>
        <w:pStyle w:val="Heading2"/>
        <w:rPr>
          <w:i/>
        </w:rPr>
      </w:pPr>
      <w:r>
        <w:t>ANOVA testing the effects of TAD, CTCF and gene on ASE variation</w:t>
      </w:r>
    </w:p>
    <w:p w:rsidR="005032A4" w:rsidRDefault="007C1280" w:rsidP="00674419">
      <w:r w:rsidRPr="00FD1300">
        <w:t>A</w:t>
      </w:r>
      <w:r w:rsidR="00674419" w:rsidRPr="00FD1300">
        <w:t xml:space="preserve">nalysis of variance (ANOVA) </w:t>
      </w:r>
      <w:r w:rsidR="005032A4">
        <w:t xml:space="preserve">was performed </w:t>
      </w:r>
      <w:r w:rsidR="00674419" w:rsidRPr="00FD1300">
        <w:t xml:space="preserve">to test </w:t>
      </w:r>
      <w:r w:rsidR="00403E77">
        <w:t xml:space="preserve">the effects of TAD, CTCF and gene </w:t>
      </w:r>
      <w:r w:rsidR="005032A4">
        <w:t xml:space="preserve">on the variation of </w:t>
      </w:r>
      <w:r w:rsidR="005032A4">
        <w:t>allele-specific expression (ASE) among regulatory units</w:t>
      </w:r>
      <w:r w:rsidR="00403E77">
        <w:t xml:space="preserve">. </w:t>
      </w:r>
      <w:r w:rsidR="005032A4">
        <w:t xml:space="preserve">Chamberlain </w:t>
      </w:r>
      <w:r w:rsidR="005032A4">
        <w:rPr>
          <w:i/>
        </w:rPr>
        <w:t xml:space="preserve">et al. </w:t>
      </w:r>
      <w:r w:rsidR="005032A4">
        <w:fldChar w:fldCharType="begin"/>
      </w:r>
      <w:r w:rsidR="005032A4">
        <w:instrText xml:space="preserve"> ADDIN EN.CITE &lt;EndNote&gt;&lt;Cite&gt;&lt;Author&gt;Chamberlain&lt;/Author&gt;&lt;Year&gt;2015&lt;/Year&gt;&lt;RecNum&gt;1230&lt;/RecNum&gt;&lt;DisplayText&gt;[1]&lt;/DisplayText&gt;&lt;record&gt;&lt;rec-number&gt;1230&lt;/rec-number&gt;&lt;foreign-keys&gt;&lt;key app="EN" db-id="2e9fse5a199e09ezp0spwx0trst55dexw0tz" timestamp="1498029954"&gt;1230&lt;/key&gt;&lt;/foreign-keys&gt;&lt;ref-type name="Journal Article"&gt;17&lt;/ref-type&gt;&lt;contributors&gt;&lt;authors&gt;&lt;author&gt;Chamberlain, Amanda J.&lt;/author&gt;&lt;author&gt;Vander Jagt, Christy J.&lt;/author&gt;&lt;author&gt;Hayes, Benjamin J.&lt;/author&gt;&lt;author&gt;Khansefid, Majid&lt;/author&gt;&lt;author&gt;Marett, Leah C.&lt;/author&gt;&lt;author&gt;Millen, Catriona A.&lt;/author&gt;&lt;author&gt;Nguyen, Thuy T. T.&lt;/author&gt;&lt;author&gt;Goddard, Michael E.&lt;/author&gt;&lt;/authors&gt;&lt;/contributors&gt;&lt;titles&gt;&lt;title&gt;Extensive variation between tissues in allele specific expression in an outbred mammal&lt;/title&gt;&lt;secondary-title&gt;BMC Genomics&lt;/secondary-title&gt;&lt;/titles&gt;&lt;periodical&gt;&lt;full-title&gt;BMC Genomics&lt;/full-title&gt;&lt;/periodical&gt;&lt;pages&gt;993&lt;/pages&gt;&lt;volume&gt;16&lt;/volume&gt;&lt;number&gt;1&lt;/number&gt;&lt;dates&gt;&lt;year&gt;2015&lt;/year&gt;&lt;/dates&gt;&lt;isbn&gt;1471-2164&lt;/isbn&gt;&lt;label&gt;Chamberlain2015&lt;/label&gt;&lt;work-type&gt;journal article&lt;/work-type&gt;&lt;urls&gt;&lt;related-urls&gt;&lt;url&gt;http://dx.doi.org/10.1186/s12864-015-2174-0&lt;/url&gt;&lt;/related-urls&gt;&lt;/urls&gt;&lt;electronic-resource-num&gt;10.1186/s12864-015-2174-0&lt;/electronic-resource-num&gt;&lt;/record&gt;&lt;/Cite&gt;&lt;/EndNote&gt;</w:instrText>
      </w:r>
      <w:r w:rsidR="005032A4">
        <w:fldChar w:fldCharType="separate"/>
      </w:r>
      <w:r w:rsidR="005032A4">
        <w:rPr>
          <w:noProof/>
        </w:rPr>
        <w:t>[1]</w:t>
      </w:r>
      <w:r w:rsidR="005032A4">
        <w:fldChar w:fldCharType="end"/>
      </w:r>
      <w:r w:rsidR="005032A4" w:rsidRPr="005032A4">
        <w:t xml:space="preserve"> </w:t>
      </w:r>
      <w:r w:rsidR="005032A4">
        <w:t>observed runs of genes</w:t>
      </w:r>
      <w:r w:rsidR="005032A4">
        <w:t xml:space="preserve"> were</w:t>
      </w:r>
      <w:r w:rsidR="005032A4">
        <w:t xml:space="preserve"> expressed in favour of the same parental chromosome</w:t>
      </w:r>
      <w:r w:rsidR="005032A4">
        <w:t>, so we expected and observed significant gene effects from the ANOVA model (</w:t>
      </w:r>
      <w:r w:rsidR="00956DE0">
        <w:fldChar w:fldCharType="begin"/>
      </w:r>
      <w:r w:rsidR="00956DE0">
        <w:instrText xml:space="preserve"> REF _Ref511988684 \h </w:instrText>
      </w:r>
      <w:r w:rsidR="00956DE0">
        <w:fldChar w:fldCharType="separate"/>
      </w:r>
      <w:r w:rsidR="00956DE0">
        <w:t>Si Table</w:t>
      </w:r>
      <w:r w:rsidR="00956DE0">
        <w:fldChar w:fldCharType="end"/>
      </w:r>
      <w:r w:rsidR="005032A4">
        <w:t xml:space="preserve">). </w:t>
      </w:r>
      <w:r w:rsidR="000A4EB2">
        <w:t xml:space="preserve">TAD was a significant </w:t>
      </w:r>
      <w:r w:rsidR="00876B8C">
        <w:t xml:space="preserve">factor (P-value </w:t>
      </w:r>
      <w:r w:rsidR="00876B8C">
        <w:rPr>
          <w:rFonts w:cstheme="minorHAnsi"/>
        </w:rPr>
        <w:t>≤</w:t>
      </w:r>
      <w:r w:rsidR="00876B8C">
        <w:t xml:space="preserve"> </w:t>
      </w:r>
      <m:oMath>
        <m:sSup>
          <m:sSupPr>
            <m:ctrlPr>
              <w:rPr>
                <w:rFonts w:ascii="Cambria Math" w:hAnsi="Cambria Math"/>
                <w:i/>
              </w:rPr>
            </m:ctrlPr>
          </m:sSupPr>
          <m:e>
            <m:r>
              <w:rPr>
                <w:rFonts w:ascii="Cambria Math" w:hAnsi="Cambria Math"/>
              </w:rPr>
              <m:t>10</m:t>
            </m:r>
          </m:e>
          <m:sup>
            <m:r>
              <w:rPr>
                <w:rFonts w:ascii="Cambria Math" w:hAnsi="Cambria Math"/>
              </w:rPr>
              <m:t>-8</m:t>
            </m:r>
          </m:sup>
        </m:sSup>
      </m:oMath>
      <w:r w:rsidR="00876B8C">
        <w:t xml:space="preserve">) in </w:t>
      </w:r>
      <w:r w:rsidR="00146B7C">
        <w:t>both</w:t>
      </w:r>
      <w:r w:rsidR="00876B8C">
        <w:t xml:space="preserve"> model</w:t>
      </w:r>
      <w:r w:rsidR="00146B7C">
        <w:t>s among all</w:t>
      </w:r>
      <w:r w:rsidR="00146B7C">
        <w:t xml:space="preserve"> 108 cohorts</w:t>
      </w:r>
      <w:r w:rsidR="00146B7C">
        <w:t xml:space="preserve"> tested</w:t>
      </w:r>
      <w:r w:rsidR="00876B8C">
        <w:t xml:space="preserve">. CTCF was a significant factor </w:t>
      </w:r>
      <w:r w:rsidR="000E424D">
        <w:t xml:space="preserve">(P-value </w:t>
      </w:r>
      <w:r w:rsidR="000E424D">
        <w:rPr>
          <w:rFonts w:cstheme="minorHAnsi"/>
        </w:rPr>
        <w:t>≤</w:t>
      </w:r>
      <w:r w:rsidR="000E424D">
        <w:t xml:space="preserve"> </w:t>
      </w:r>
      <m:oMath>
        <m:sSup>
          <m:sSupPr>
            <m:ctrlPr>
              <w:rPr>
                <w:rFonts w:ascii="Cambria Math" w:hAnsi="Cambria Math"/>
                <w:i/>
              </w:rPr>
            </m:ctrlPr>
          </m:sSupPr>
          <m:e>
            <m:r>
              <w:rPr>
                <w:rFonts w:ascii="Cambria Math" w:hAnsi="Cambria Math"/>
              </w:rPr>
              <m:t>10</m:t>
            </m:r>
          </m:e>
          <m:sup>
            <m:r>
              <w:rPr>
                <w:rFonts w:ascii="Cambria Math" w:hAnsi="Cambria Math"/>
              </w:rPr>
              <m:t>-8</m:t>
            </m:r>
          </m:sup>
        </m:sSup>
      </m:oMath>
      <w:r w:rsidR="000E424D">
        <w:t>)</w:t>
      </w:r>
      <w:r w:rsidR="000E424D">
        <w:t xml:space="preserve"> </w:t>
      </w:r>
      <w:r w:rsidR="00876B8C">
        <w:t>in both ANOVA models in 77 cohorts. Gene was a significant factor</w:t>
      </w:r>
      <w:r w:rsidR="000E424D">
        <w:t xml:space="preserve"> </w:t>
      </w:r>
      <w:r w:rsidR="000E424D">
        <w:t xml:space="preserve">(P-value </w:t>
      </w:r>
      <w:r w:rsidR="000E424D">
        <w:rPr>
          <w:rFonts w:cstheme="minorHAnsi"/>
        </w:rPr>
        <w:t>≤</w:t>
      </w:r>
      <w:r w:rsidR="000E424D">
        <w:t xml:space="preserve"> </w:t>
      </w:r>
      <m:oMath>
        <m:sSup>
          <m:sSupPr>
            <m:ctrlPr>
              <w:rPr>
                <w:rFonts w:ascii="Cambria Math" w:hAnsi="Cambria Math"/>
                <w:i/>
              </w:rPr>
            </m:ctrlPr>
          </m:sSupPr>
          <m:e>
            <m:r>
              <w:rPr>
                <w:rFonts w:ascii="Cambria Math" w:hAnsi="Cambria Math"/>
              </w:rPr>
              <m:t>10</m:t>
            </m:r>
          </m:e>
          <m:sup>
            <m:r>
              <w:rPr>
                <w:rFonts w:ascii="Cambria Math" w:hAnsi="Cambria Math"/>
              </w:rPr>
              <m:t>-8</m:t>
            </m:r>
          </m:sup>
        </m:sSup>
      </m:oMath>
      <w:r w:rsidR="000E424D">
        <w:t>)</w:t>
      </w:r>
      <w:r w:rsidR="00876B8C">
        <w:t xml:space="preserve"> in 102 cohorts </w:t>
      </w:r>
      <w:r w:rsidR="000E424D">
        <w:t xml:space="preserve">in </w:t>
      </w:r>
      <w:r w:rsidR="00146B7C">
        <w:t>Model (B)</w:t>
      </w:r>
      <w:r w:rsidR="00876B8C">
        <w:t xml:space="preserve">. </w:t>
      </w:r>
      <w:r w:rsidR="008B79F4">
        <w:t>There were 74 cohorts, where all factors fitted were all significant in both models (</w:t>
      </w:r>
      <w:r w:rsidR="008B79F4">
        <w:fldChar w:fldCharType="begin"/>
      </w:r>
      <w:r w:rsidR="008B79F4">
        <w:instrText xml:space="preserve"> REF _Ref511988684 \h </w:instrText>
      </w:r>
      <w:r w:rsidR="008B79F4">
        <w:fldChar w:fldCharType="separate"/>
      </w:r>
      <w:r w:rsidR="008B79F4">
        <w:t>Si Table</w:t>
      </w:r>
      <w:r w:rsidR="008B79F4">
        <w:fldChar w:fldCharType="end"/>
      </w:r>
      <w:r w:rsidR="008B79F4">
        <w:t xml:space="preserve">). This indicated that TAD and CTCF contributed to ASE variation independent of gene effects. </w:t>
      </w:r>
    </w:p>
    <w:p w:rsidR="00674419" w:rsidRDefault="00674419" w:rsidP="00674419">
      <w:pPr>
        <w:pStyle w:val="Heading1"/>
      </w:pPr>
      <w:bookmarkStart w:id="0" w:name="_GoBack"/>
      <w:bookmarkEnd w:id="0"/>
      <w:r>
        <w:t xml:space="preserve">Methods </w:t>
      </w:r>
    </w:p>
    <w:p w:rsidR="00E60B8A" w:rsidRPr="00200AA5" w:rsidRDefault="000E424D" w:rsidP="00E60B8A">
      <w:pPr>
        <w:pStyle w:val="Heading2"/>
        <w:rPr>
          <w:i/>
        </w:rPr>
      </w:pPr>
      <w:r>
        <w:t>ANOVA</w:t>
      </w:r>
      <w:r w:rsidR="00E60B8A">
        <w:t xml:space="preserve"> testing </w:t>
      </w:r>
      <w:r>
        <w:t xml:space="preserve">the effects of </w:t>
      </w:r>
      <w:r w:rsidR="00E60B8A">
        <w:t>TAD, CTCF and gene on ASE variation</w:t>
      </w:r>
    </w:p>
    <w:p w:rsidR="00B652C6" w:rsidRDefault="00B652C6" w:rsidP="00B323FB">
      <w:r>
        <w:t>Two a</w:t>
      </w:r>
      <w:r w:rsidR="00674419" w:rsidRPr="00DD58AF">
        <w:t>nalys</w:t>
      </w:r>
      <w:r w:rsidR="00CA4006">
        <w:t>i</w:t>
      </w:r>
      <w:r w:rsidR="00674419" w:rsidRPr="00DD58AF">
        <w:t xml:space="preserve">s of variance </w:t>
      </w:r>
      <w:r w:rsidR="00674419">
        <w:t xml:space="preserve">(ANOVA) </w:t>
      </w:r>
      <w:r>
        <w:t xml:space="preserve">models </w:t>
      </w:r>
      <w:r w:rsidR="00CA4006">
        <w:t>was</w:t>
      </w:r>
      <w:r w:rsidR="00674419">
        <w:t xml:space="preserve"> </w:t>
      </w:r>
      <w:r w:rsidR="00E80712">
        <w:t xml:space="preserve">performed </w:t>
      </w:r>
      <w:r w:rsidR="00674419">
        <w:t xml:space="preserve">to </w:t>
      </w:r>
      <w:r w:rsidR="00A16251">
        <w:t xml:space="preserve">examine the </w:t>
      </w:r>
      <w:r w:rsidR="00E80712">
        <w:t xml:space="preserve">effects of </w:t>
      </w:r>
      <w:r w:rsidR="00A16251">
        <w:t xml:space="preserve">TAD, CTCF and gene on </w:t>
      </w:r>
      <w:r w:rsidR="008E497E">
        <w:t xml:space="preserve">the </w:t>
      </w:r>
      <w:r w:rsidR="00CA4006">
        <w:t xml:space="preserve">variation </w:t>
      </w:r>
      <w:r w:rsidR="008E497E">
        <w:t>of allele-specific expression (ASE) among</w:t>
      </w:r>
      <w:r w:rsidR="00674419">
        <w:t xml:space="preserve"> regulatory unit</w:t>
      </w:r>
      <w:r w:rsidR="008E497E">
        <w:t>s</w:t>
      </w:r>
      <w:r w:rsidR="00674419">
        <w:t xml:space="preserve">. </w:t>
      </w:r>
      <w:r w:rsidR="00674419" w:rsidRPr="00DD58AF">
        <w:t>ASE scores</w:t>
      </w:r>
      <w:r>
        <w:t>, which was defined as a division of paternal to maternal allelic read counts</w:t>
      </w:r>
      <w:r w:rsidR="00674419" w:rsidRPr="00DD58AF">
        <w:t xml:space="preserve"> in a </w:t>
      </w:r>
      <w:r w:rsidR="00A16251">
        <w:t>tissue</w:t>
      </w:r>
      <w:r w:rsidR="00736FC8">
        <w:t xml:space="preserve"> (same definition as that in manuscript)</w:t>
      </w:r>
      <w:r>
        <w:t>,</w:t>
      </w:r>
      <w:r w:rsidR="00674419" w:rsidRPr="00DD58AF">
        <w:t xml:space="preserve"> were </w:t>
      </w:r>
      <w:r w:rsidR="00A16251">
        <w:t xml:space="preserve">still </w:t>
      </w:r>
      <w:r w:rsidR="00674419" w:rsidRPr="00DD58AF">
        <w:t>fitt</w:t>
      </w:r>
      <w:r w:rsidR="00A16251">
        <w:t>ed as the response</w:t>
      </w:r>
      <w:r>
        <w:t xml:space="preserve"> in both models</w:t>
      </w:r>
      <w:r w:rsidR="00674419" w:rsidRPr="00DD58AF">
        <w:t xml:space="preserve">, </w:t>
      </w:r>
      <w:r>
        <w:t xml:space="preserve">but the categorical variables fitted to each model were different: </w:t>
      </w:r>
    </w:p>
    <w:p w:rsidR="00B652C6" w:rsidRDefault="00B652C6" w:rsidP="00B652C6">
      <w:pPr>
        <w:pStyle w:val="ListParagraph"/>
        <w:numPr>
          <w:ilvl w:val="0"/>
          <w:numId w:val="2"/>
        </w:numPr>
      </w:pPr>
      <w:r>
        <w:t>Model (A) was a TAD + CTCF model, where TAD and CTCF gap were both fitted as categorical variables in the ANOVA model. CTCF gaps were required to be embedded within the putative bovine TADs. This is same model as Model (3) in the manuscript.</w:t>
      </w:r>
    </w:p>
    <w:p w:rsidR="00736FC8" w:rsidRDefault="00B652C6" w:rsidP="00B652C6">
      <w:pPr>
        <w:pStyle w:val="ListParagraph"/>
        <w:numPr>
          <w:ilvl w:val="0"/>
          <w:numId w:val="2"/>
        </w:numPr>
      </w:pPr>
      <w:r>
        <w:lastRenderedPageBreak/>
        <w:t xml:space="preserve">Model (B) was a TAD + CTCF + Gene model, where </w:t>
      </w:r>
      <w:r w:rsidR="00A16251">
        <w:t>TAD, CTCF gap and gene</w:t>
      </w:r>
      <w:r w:rsidR="008E497E">
        <w:t xml:space="preserve"> were fitted as the categorical variables in the ANOVA model</w:t>
      </w:r>
      <w:r w:rsidR="00A16251">
        <w:t xml:space="preserve">. </w:t>
      </w:r>
      <w:r w:rsidR="00674419">
        <w:t xml:space="preserve">CTCF gaps were embedded </w:t>
      </w:r>
      <w:r>
        <w:t>within the putative bovine TADs</w:t>
      </w:r>
      <w:r w:rsidR="00674419">
        <w:t>.</w:t>
      </w:r>
      <w:r w:rsidR="00A16251">
        <w:t xml:space="preserve"> Ge</w:t>
      </w:r>
      <w:r w:rsidR="008E497E">
        <w:t xml:space="preserve">nes overlapped with TAD </w:t>
      </w:r>
      <w:r w:rsidR="00736FC8">
        <w:t>and/</w:t>
      </w:r>
      <w:r w:rsidR="008E497E">
        <w:t>or</w:t>
      </w:r>
      <w:r w:rsidR="00A16251">
        <w:t xml:space="preserve"> CTCF gap. </w:t>
      </w:r>
    </w:p>
    <w:p w:rsidR="00A65FDA" w:rsidRDefault="00736FC8" w:rsidP="00736FC8">
      <w:r>
        <w:t xml:space="preserve">In each ANOVA model, all </w:t>
      </w:r>
      <w:r w:rsidR="00674419">
        <w:t xml:space="preserve">innermost genomic regions were required to contain </w:t>
      </w:r>
      <w:r w:rsidR="007B44A1">
        <w:t>at le</w:t>
      </w:r>
      <w:r w:rsidR="00A16251">
        <w:t xml:space="preserve">ast 5 heterozygous </w:t>
      </w:r>
      <w:proofErr w:type="spellStart"/>
      <w:r w:rsidR="00A16251">
        <w:t>exonic</w:t>
      </w:r>
      <w:proofErr w:type="spellEnd"/>
      <w:r w:rsidR="007B44A1">
        <w:t xml:space="preserve"> </w:t>
      </w:r>
      <w:r w:rsidR="00A16251">
        <w:t>SN</w:t>
      </w:r>
      <w:r>
        <w:t>P</w:t>
      </w:r>
      <w:r w:rsidR="00A16251">
        <w:t>s</w:t>
      </w:r>
      <w:r>
        <w:t xml:space="preserve"> that all had valid ASE scores</w:t>
      </w:r>
      <w:r w:rsidR="00674419">
        <w:t>.</w:t>
      </w:r>
      <w:r w:rsidR="001D6B54">
        <w:t xml:space="preserve"> </w:t>
      </w:r>
      <w:r w:rsidR="00310E5E">
        <w:t>There were 108</w:t>
      </w:r>
      <w:r w:rsidR="00A16251">
        <w:t xml:space="preserve"> independent tests performed</w:t>
      </w:r>
      <w:r w:rsidR="00A65FDA">
        <w:t xml:space="preserve"> from each ANOVA model,</w:t>
      </w:r>
      <w:r w:rsidR="00A16251">
        <w:t xml:space="preserve"> which were from the combination of 6 sets of </w:t>
      </w:r>
      <w:r w:rsidR="00A16251" w:rsidRPr="00736FC8">
        <w:rPr>
          <w:rFonts w:ascii="Calibri" w:eastAsia="Times New Roman" w:hAnsi="Calibri" w:cs="Times New Roman"/>
        </w:rPr>
        <w:t>finalised</w:t>
      </w:r>
      <w:r w:rsidR="00A16251">
        <w:t xml:space="preserve"> putative bovine TADs and </w:t>
      </w:r>
      <w:r w:rsidR="00A16251" w:rsidRPr="001E21F9">
        <w:t xml:space="preserve">18 </w:t>
      </w:r>
      <w:r w:rsidR="00A16251">
        <w:t xml:space="preserve">bovine </w:t>
      </w:r>
      <w:r w:rsidR="00A16251" w:rsidRPr="001E21F9">
        <w:t>tissues</w:t>
      </w:r>
      <w:r w:rsidR="00A16251">
        <w:t xml:space="preserve">. </w:t>
      </w:r>
      <w:r w:rsidR="00674419" w:rsidRPr="00FD1300">
        <w:t>The significance</w:t>
      </w:r>
      <w:r w:rsidR="00674419">
        <w:t xml:space="preserve"> of an ANOVA test was declared at P-value ≤ </w:t>
      </w:r>
      <m:oMath>
        <m:sSup>
          <m:sSupPr>
            <m:ctrlPr>
              <w:rPr>
                <w:rFonts w:ascii="Cambria Math" w:hAnsi="Cambria Math"/>
                <w:i/>
              </w:rPr>
            </m:ctrlPr>
          </m:sSupPr>
          <m:e>
            <m:r>
              <w:rPr>
                <w:rFonts w:ascii="Cambria Math" w:hAnsi="Cambria Math"/>
              </w:rPr>
              <m:t>10</m:t>
            </m:r>
          </m:e>
          <m:sup>
            <m:r>
              <w:rPr>
                <w:rFonts w:ascii="Cambria Math" w:hAnsi="Cambria Math"/>
              </w:rPr>
              <m:t>-8</m:t>
            </m:r>
          </m:sup>
        </m:sSup>
      </m:oMath>
      <w:r w:rsidR="00674419">
        <w:t xml:space="preserve">. </w:t>
      </w:r>
    </w:p>
    <w:p w:rsidR="005032A4" w:rsidRDefault="00674419" w:rsidP="00736FC8">
      <w:r>
        <w:t xml:space="preserve">The permutation tests, with 10,000 repeats, were performed to test whether the observed ANOVA result was random. In </w:t>
      </w:r>
      <w:r w:rsidR="00A16251">
        <w:t xml:space="preserve">the </w:t>
      </w:r>
      <w:r>
        <w:t xml:space="preserve">permutation test, the ASE scores were shuffled across the whole genome and then the model was refitted with the permuted dataset. The R-squared value from the original dataset, </w:t>
      </w:r>
      <m:oMath>
        <m:r>
          <w:rPr>
            <w:rFonts w:ascii="Cambria Math" w:hAnsi="Cambria Math"/>
          </w:rPr>
          <m:t>R</m:t>
        </m:r>
      </m:oMath>
      <w:r>
        <w:t xml:space="preserve">, was compared with the 10,000 null R-squared values from the random shuffles, </w:t>
      </w:r>
      <m:oMath>
        <m:r>
          <w:rPr>
            <w:rFonts w:ascii="Cambria Math" w:hAnsi="Cambria Math"/>
          </w:rPr>
          <m:t>R'</m:t>
        </m:r>
      </m:oMath>
      <w:r>
        <w:t xml:space="preserve">. A significant ANOVA cohort was declared if </w:t>
      </w:r>
      <m:oMath>
        <m:r>
          <w:rPr>
            <w:rFonts w:ascii="Cambria Math" w:hAnsi="Cambria Math"/>
          </w:rPr>
          <m:t>R</m:t>
        </m:r>
      </m:oMath>
      <w:r>
        <w:t xml:space="preserve"> was larger than all </w:t>
      </w:r>
      <m:oMath>
        <m:r>
          <w:rPr>
            <w:rFonts w:ascii="Cambria Math" w:hAnsi="Cambria Math"/>
          </w:rPr>
          <m:t>R'</m:t>
        </m:r>
      </m:oMath>
      <w:r>
        <w:t xml:space="preserve"> values</w:t>
      </w:r>
      <w:r w:rsidRPr="0030214E">
        <w:t xml:space="preserve">. </w:t>
      </w:r>
      <w:r>
        <w:t xml:space="preserve">In a significant ANOVA test, a regulatory unit was declared to display significant ASE effects if the absolute value of the averaged ASE scores in the region, </w:t>
      </w:r>
      <m:oMath>
        <m:d>
          <m:dPr>
            <m:begChr m:val="|"/>
            <m:endChr m:val="|"/>
            <m:ctrlPr>
              <w:rPr>
                <w:rFonts w:ascii="Cambria Math" w:hAnsi="Cambria Math"/>
                <w:i/>
              </w:rPr>
            </m:ctrlPr>
          </m:dPr>
          <m:e>
            <m:r>
              <w:rPr>
                <w:rFonts w:ascii="Cambria Math" w:hAnsi="Cambria Math"/>
              </w:rPr>
              <m:t>n</m:t>
            </m:r>
          </m:e>
        </m:d>
      </m:oMath>
      <w:r>
        <w:t xml:space="preserve">, was larger than 99% of the absolute value of the averaged ASE scores in the permutations </w:t>
      </w:r>
      <m:oMath>
        <m:r>
          <w:rPr>
            <w:rFonts w:ascii="Cambria Math" w:hAnsi="Cambria Math"/>
          </w:rPr>
          <m:t>|m|</m:t>
        </m:r>
      </m:oMath>
      <w:r>
        <w:t xml:space="preserve">, i.e. false discovery rate (FDR) &lt; 0.01, and the p-value for </w:t>
      </w:r>
      <m:oMath>
        <m:r>
          <w:rPr>
            <w:rFonts w:ascii="Cambria Math" w:hAnsi="Cambria Math"/>
          </w:rPr>
          <m:t>n</m:t>
        </m:r>
      </m:oMath>
      <w:r>
        <w:t xml:space="preserve"> was no larger than </w:t>
      </w:r>
      <m:oMath>
        <m:sSup>
          <m:sSupPr>
            <m:ctrlPr>
              <w:rPr>
                <w:rFonts w:ascii="Cambria Math" w:hAnsi="Cambria Math"/>
                <w:i/>
              </w:rPr>
            </m:ctrlPr>
          </m:sSupPr>
          <m:e>
            <m:r>
              <w:rPr>
                <w:rFonts w:ascii="Cambria Math" w:hAnsi="Cambria Math"/>
              </w:rPr>
              <m:t>10</m:t>
            </m:r>
          </m:e>
          <m:sup>
            <m:r>
              <w:rPr>
                <w:rFonts w:ascii="Cambria Math" w:hAnsi="Cambria Math"/>
              </w:rPr>
              <m:t>-6</m:t>
            </m:r>
          </m:sup>
        </m:sSup>
      </m:oMath>
      <w:r>
        <w:t xml:space="preserve">. There were </w:t>
      </w:r>
      <w:r w:rsidR="0099700E">
        <w:t>108</w:t>
      </w:r>
      <w:r>
        <w:t xml:space="preserve"> independent permutation tests performed. </w:t>
      </w:r>
    </w:p>
    <w:p w:rsidR="009B0F3B" w:rsidRDefault="009B0F3B" w:rsidP="005032A4">
      <w:pPr>
        <w:pStyle w:val="Heading1"/>
      </w:pPr>
      <w:r>
        <w:t>Supporting Information</w:t>
      </w:r>
    </w:p>
    <w:p w:rsidR="009B0F3B" w:rsidRDefault="009B0F3B" w:rsidP="009B0F3B">
      <w:pPr>
        <w:pStyle w:val="Heading2"/>
      </w:pPr>
      <w:bookmarkStart w:id="1" w:name="_Ref511988684"/>
      <w:r>
        <w:t>Si Table</w:t>
      </w:r>
      <w:bookmarkEnd w:id="1"/>
      <w:r>
        <w:t xml:space="preserve"> </w:t>
      </w:r>
    </w:p>
    <w:p w:rsidR="009B0F3B" w:rsidRPr="009B0F3B" w:rsidRDefault="009B0F3B" w:rsidP="009B0F3B">
      <w:r w:rsidRPr="009B0F3B">
        <w:rPr>
          <w:b/>
        </w:rPr>
        <w:t>Compare ANOVA outputs between whether gene is fitted as a categorical variable</w:t>
      </w:r>
      <w:r>
        <w:rPr>
          <w:b/>
        </w:rPr>
        <w:t xml:space="preserve">. </w:t>
      </w:r>
      <w:r>
        <w:t>The f</w:t>
      </w:r>
      <w:r w:rsidRPr="008F3AF1">
        <w:t>irst</w:t>
      </w:r>
      <w:r>
        <w:t xml:space="preserve"> </w:t>
      </w:r>
      <w:r>
        <w:t>c</w:t>
      </w:r>
      <w:r>
        <w:t xml:space="preserve">olumn </w:t>
      </w:r>
      <w:r>
        <w:t xml:space="preserve">is the input TAD set. The second column is the bovine tissue where allele-specific expression was measured from. </w:t>
      </w:r>
      <w:r w:rsidR="00884D5E">
        <w:t xml:space="preserve">The rest of the columns are ANOVA outputs, including </w:t>
      </w:r>
      <w:r w:rsidR="00884D5E">
        <w:t xml:space="preserve">the categorical variable </w:t>
      </w:r>
      <w:r w:rsidR="00884D5E">
        <w:t>in</w:t>
      </w:r>
      <w:r w:rsidR="00884D5E">
        <w:t xml:space="preserve"> the ANOVA model</w:t>
      </w:r>
      <w:r w:rsidR="00884D5E">
        <w:t>, the</w:t>
      </w:r>
      <w:r w:rsidR="00884D5E">
        <w:t xml:space="preserve"> </w:t>
      </w:r>
      <w:r w:rsidR="00884D5E">
        <w:t xml:space="preserve">degrees of freedom, the sum of squares, the mean of squares, the F-statistics and the P-value. ANOVA results from the model where only TAD and CTCF gap were fitted, </w:t>
      </w:r>
      <w:r w:rsidR="00884D5E">
        <w:lastRenderedPageBreak/>
        <w:t xml:space="preserve">are listed under columns with header as “TAD + CTCF”. </w:t>
      </w:r>
      <w:r w:rsidR="00884D5E">
        <w:t>ANOVA re</w:t>
      </w:r>
      <w:r w:rsidR="00884D5E">
        <w:t xml:space="preserve">sults from the model where TAD, </w:t>
      </w:r>
      <w:r w:rsidR="00884D5E">
        <w:t xml:space="preserve">CTCF </w:t>
      </w:r>
      <w:r w:rsidR="00884D5E">
        <w:t xml:space="preserve">gap and gene </w:t>
      </w:r>
      <w:r w:rsidR="00884D5E">
        <w:t xml:space="preserve">were </w:t>
      </w:r>
      <w:r w:rsidR="00884D5E">
        <w:t xml:space="preserve">all </w:t>
      </w:r>
      <w:r w:rsidR="00884D5E">
        <w:t>fitted, are listed under columns with header as “TAD</w:t>
      </w:r>
      <w:r w:rsidR="00884D5E">
        <w:t xml:space="preserve"> </w:t>
      </w:r>
      <w:r w:rsidR="00884D5E">
        <w:t>+</w:t>
      </w:r>
      <w:r w:rsidR="00884D5E">
        <w:t xml:space="preserve"> </w:t>
      </w:r>
      <w:r w:rsidR="00884D5E">
        <w:t>CTCF</w:t>
      </w:r>
      <w:r w:rsidR="00884D5E">
        <w:t xml:space="preserve"> + Gene</w:t>
      </w:r>
      <w:r w:rsidR="00884D5E">
        <w:t>”.</w:t>
      </w:r>
      <w:r w:rsidR="00252BA0">
        <w:t xml:space="preserve"> “NA” denotes the cases where no results should apply. </w:t>
      </w:r>
    </w:p>
    <w:p w:rsidR="005032A4" w:rsidRDefault="005032A4" w:rsidP="005032A4">
      <w:pPr>
        <w:pStyle w:val="Heading1"/>
      </w:pPr>
      <w:r>
        <w:t xml:space="preserve">Reference </w:t>
      </w:r>
    </w:p>
    <w:p w:rsidR="005032A4" w:rsidRPr="005032A4" w:rsidRDefault="005032A4" w:rsidP="005032A4">
      <w:pPr>
        <w:pStyle w:val="EndNoteBibliography"/>
        <w:ind w:left="720" w:hanging="720"/>
      </w:pPr>
      <w:r>
        <w:fldChar w:fldCharType="begin"/>
      </w:r>
      <w:r>
        <w:instrText xml:space="preserve"> ADDIN EN.REFLIST </w:instrText>
      </w:r>
      <w:r>
        <w:fldChar w:fldCharType="separate"/>
      </w:r>
      <w:r w:rsidRPr="005032A4">
        <w:t>1.</w:t>
      </w:r>
      <w:r w:rsidRPr="005032A4">
        <w:tab/>
        <w:t>Chamberlain AJ, Vander Jagt CJ, Hayes BJ, Khansefid M, Marett LC, Millen CA, et al. Extensive variation between tissues in allele specific expression in an outbred mammal. BMC Genomics.</w:t>
      </w:r>
      <w:r w:rsidRPr="005032A4">
        <w:rPr>
          <w:i/>
        </w:rPr>
        <w:t xml:space="preserve"> </w:t>
      </w:r>
      <w:r w:rsidRPr="005032A4">
        <w:t>2015;16(1):993.</w:t>
      </w:r>
    </w:p>
    <w:p w:rsidR="00D6285F" w:rsidRDefault="005032A4" w:rsidP="00B323FB">
      <w:r>
        <w:fldChar w:fldCharType="end"/>
      </w:r>
    </w:p>
    <w:sectPr w:rsidR="00D6285F" w:rsidSect="0075784C">
      <w:pgSz w:w="11906" w:h="16838"/>
      <w:pgMar w:top="1440" w:right="1440" w:bottom="1440" w:left="1440" w:header="708" w:footer="708" w:gutter="0"/>
      <w:lnNumType w:countBy="1" w:restart="continuou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AF3CEE"/>
    <w:multiLevelType w:val="hybridMultilevel"/>
    <w:tmpl w:val="6ADC05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790F05C0"/>
    <w:multiLevelType w:val="hybridMultilevel"/>
    <w:tmpl w:val="79E0EB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BMC Genomic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2e9fse5a199e09ezp0spwx0trst55dexw0tz&quot;&gt;Geno2Pheno&lt;record-ids&gt;&lt;item&gt;1230&lt;/item&gt;&lt;/record-ids&gt;&lt;/item&gt;&lt;/Libraries&gt;"/>
  </w:docVars>
  <w:rsids>
    <w:rsidRoot w:val="00341BE3"/>
    <w:rsid w:val="00082DFE"/>
    <w:rsid w:val="000A4EB2"/>
    <w:rsid w:val="000E424D"/>
    <w:rsid w:val="00146B7C"/>
    <w:rsid w:val="00151D2B"/>
    <w:rsid w:val="0017031E"/>
    <w:rsid w:val="001D6B54"/>
    <w:rsid w:val="001E0EDC"/>
    <w:rsid w:val="00230425"/>
    <w:rsid w:val="00252BA0"/>
    <w:rsid w:val="002E2F9A"/>
    <w:rsid w:val="00310E5E"/>
    <w:rsid w:val="00327A28"/>
    <w:rsid w:val="00341BE3"/>
    <w:rsid w:val="00403E77"/>
    <w:rsid w:val="004A4A5D"/>
    <w:rsid w:val="004F4857"/>
    <w:rsid w:val="005032A4"/>
    <w:rsid w:val="00561B8E"/>
    <w:rsid w:val="00615F53"/>
    <w:rsid w:val="00674419"/>
    <w:rsid w:val="00736FC8"/>
    <w:rsid w:val="0075784C"/>
    <w:rsid w:val="007B44A1"/>
    <w:rsid w:val="007C1280"/>
    <w:rsid w:val="007F411C"/>
    <w:rsid w:val="00806D0C"/>
    <w:rsid w:val="00876B8C"/>
    <w:rsid w:val="00884D5E"/>
    <w:rsid w:val="008A332D"/>
    <w:rsid w:val="008B79F4"/>
    <w:rsid w:val="008E497E"/>
    <w:rsid w:val="008F154E"/>
    <w:rsid w:val="00927AEC"/>
    <w:rsid w:val="00956DE0"/>
    <w:rsid w:val="00963687"/>
    <w:rsid w:val="0099700E"/>
    <w:rsid w:val="009B0F3B"/>
    <w:rsid w:val="00A16251"/>
    <w:rsid w:val="00A25DA3"/>
    <w:rsid w:val="00A65FDA"/>
    <w:rsid w:val="00A87212"/>
    <w:rsid w:val="00AD022B"/>
    <w:rsid w:val="00AE43B9"/>
    <w:rsid w:val="00B16B10"/>
    <w:rsid w:val="00B323FB"/>
    <w:rsid w:val="00B652C6"/>
    <w:rsid w:val="00C90D62"/>
    <w:rsid w:val="00CA4006"/>
    <w:rsid w:val="00CE0DB4"/>
    <w:rsid w:val="00D14F29"/>
    <w:rsid w:val="00D6285F"/>
    <w:rsid w:val="00E60B8A"/>
    <w:rsid w:val="00E665E2"/>
    <w:rsid w:val="00E80712"/>
    <w:rsid w:val="00EB2506"/>
    <w:rsid w:val="00EC63B8"/>
    <w:rsid w:val="00EF07E5"/>
    <w:rsid w:val="00F94A33"/>
    <w:rsid w:val="00FC6CEF"/>
    <w:rsid w:val="00FD1300"/>
    <w:rsid w:val="00FD5C7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C700C"/>
  <w15:docId w15:val="{DA1DC694-2B95-4F6A-B924-EE694C72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784C"/>
    <w:pPr>
      <w:spacing w:line="480" w:lineRule="auto"/>
      <w:jc w:val="both"/>
    </w:pPr>
  </w:style>
  <w:style w:type="paragraph" w:styleId="Heading1">
    <w:name w:val="heading 1"/>
    <w:basedOn w:val="Normal"/>
    <w:next w:val="Normal"/>
    <w:link w:val="Heading1Char"/>
    <w:uiPriority w:val="9"/>
    <w:qFormat/>
    <w:rsid w:val="00674419"/>
    <w:pPr>
      <w:keepNext/>
      <w:keepLines/>
      <w:spacing w:before="480" w:after="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674419"/>
    <w:pPr>
      <w:keepNext/>
      <w:keepLines/>
      <w:spacing w:before="200" w:after="0"/>
      <w:outlineLvl w:val="1"/>
    </w:pPr>
    <w:rPr>
      <w:rFonts w:asciiTheme="majorHAnsi" w:eastAsiaTheme="majorEastAsia" w:hAnsiTheme="majorHAnsi" w:cstheme="majorBidi"/>
      <w:b/>
      <w:bCs/>
      <w:sz w:val="24"/>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4419"/>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674419"/>
    <w:rPr>
      <w:rFonts w:asciiTheme="majorHAnsi" w:eastAsiaTheme="majorEastAsia" w:hAnsiTheme="majorHAnsi" w:cstheme="majorBidi"/>
      <w:b/>
      <w:bCs/>
      <w:sz w:val="24"/>
      <w:szCs w:val="26"/>
    </w:rPr>
  </w:style>
  <w:style w:type="paragraph" w:styleId="ListParagraph">
    <w:name w:val="List Paragraph"/>
    <w:basedOn w:val="Normal"/>
    <w:link w:val="ListParagraphChar"/>
    <w:uiPriority w:val="34"/>
    <w:qFormat/>
    <w:rsid w:val="00674419"/>
    <w:pPr>
      <w:ind w:left="720"/>
      <w:contextualSpacing/>
    </w:pPr>
    <w:rPr>
      <w:rFonts w:eastAsiaTheme="minorEastAsia"/>
    </w:rPr>
  </w:style>
  <w:style w:type="character" w:customStyle="1" w:styleId="ListParagraphChar">
    <w:name w:val="List Paragraph Char"/>
    <w:basedOn w:val="DefaultParagraphFont"/>
    <w:link w:val="ListParagraph"/>
    <w:uiPriority w:val="34"/>
    <w:locked/>
    <w:rsid w:val="00674419"/>
    <w:rPr>
      <w:rFonts w:eastAsiaTheme="minorEastAsia"/>
    </w:rPr>
  </w:style>
  <w:style w:type="table" w:styleId="TableGrid">
    <w:name w:val="Table Grid"/>
    <w:basedOn w:val="TableNormal"/>
    <w:uiPriority w:val="59"/>
    <w:rsid w:val="006744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744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4419"/>
    <w:rPr>
      <w:rFonts w:ascii="Tahoma" w:hAnsi="Tahoma" w:cs="Tahoma"/>
      <w:sz w:val="16"/>
      <w:szCs w:val="16"/>
    </w:rPr>
  </w:style>
  <w:style w:type="character" w:styleId="PlaceholderText">
    <w:name w:val="Placeholder Text"/>
    <w:basedOn w:val="DefaultParagraphFont"/>
    <w:uiPriority w:val="99"/>
    <w:semiHidden/>
    <w:rsid w:val="008F154E"/>
    <w:rPr>
      <w:color w:val="808080"/>
    </w:rPr>
  </w:style>
  <w:style w:type="paragraph" w:styleId="Caption">
    <w:name w:val="caption"/>
    <w:basedOn w:val="Normal"/>
    <w:next w:val="Normal"/>
    <w:uiPriority w:val="35"/>
    <w:unhideWhenUsed/>
    <w:qFormat/>
    <w:rsid w:val="00EF07E5"/>
    <w:pPr>
      <w:spacing w:line="240" w:lineRule="auto"/>
    </w:pPr>
    <w:rPr>
      <w:b/>
      <w:bCs/>
      <w:szCs w:val="18"/>
    </w:rPr>
  </w:style>
  <w:style w:type="character" w:styleId="LineNumber">
    <w:name w:val="line number"/>
    <w:basedOn w:val="DefaultParagraphFont"/>
    <w:uiPriority w:val="99"/>
    <w:semiHidden/>
    <w:unhideWhenUsed/>
    <w:rsid w:val="0075784C"/>
  </w:style>
  <w:style w:type="paragraph" w:customStyle="1" w:styleId="EndNoteBibliographyTitle">
    <w:name w:val="EndNote Bibliography Title"/>
    <w:basedOn w:val="Normal"/>
    <w:link w:val="EndNoteBibliographyTitleChar"/>
    <w:rsid w:val="005032A4"/>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5032A4"/>
    <w:rPr>
      <w:rFonts w:ascii="Calibri" w:hAnsi="Calibri" w:cs="Calibri"/>
      <w:noProof/>
      <w:lang w:val="en-US"/>
    </w:rPr>
  </w:style>
  <w:style w:type="paragraph" w:customStyle="1" w:styleId="EndNoteBibliography">
    <w:name w:val="EndNote Bibliography"/>
    <w:basedOn w:val="Normal"/>
    <w:link w:val="EndNoteBibliographyChar"/>
    <w:rsid w:val="005032A4"/>
    <w:pPr>
      <w:spacing w:line="240" w:lineRule="auto"/>
    </w:pPr>
    <w:rPr>
      <w:rFonts w:ascii="Calibri" w:hAnsi="Calibri" w:cs="Calibri"/>
      <w:noProof/>
      <w:lang w:val="en-US"/>
    </w:rPr>
  </w:style>
  <w:style w:type="character" w:customStyle="1" w:styleId="EndNoteBibliographyChar">
    <w:name w:val="EndNote Bibliography Char"/>
    <w:basedOn w:val="DefaultParagraphFont"/>
    <w:link w:val="EndNoteBibliography"/>
    <w:rsid w:val="005032A4"/>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124214">
      <w:bodyDiv w:val="1"/>
      <w:marLeft w:val="0"/>
      <w:marRight w:val="0"/>
      <w:marTop w:val="0"/>
      <w:marBottom w:val="0"/>
      <w:divBdr>
        <w:top w:val="none" w:sz="0" w:space="0" w:color="auto"/>
        <w:left w:val="none" w:sz="0" w:space="0" w:color="auto"/>
        <w:bottom w:val="none" w:sz="0" w:space="0" w:color="auto"/>
        <w:right w:val="none" w:sz="0" w:space="0" w:color="auto"/>
      </w:divBdr>
    </w:div>
    <w:div w:id="1489319464">
      <w:bodyDiv w:val="1"/>
      <w:marLeft w:val="0"/>
      <w:marRight w:val="0"/>
      <w:marTop w:val="0"/>
      <w:marBottom w:val="0"/>
      <w:divBdr>
        <w:top w:val="none" w:sz="0" w:space="0" w:color="auto"/>
        <w:left w:val="none" w:sz="0" w:space="0" w:color="auto"/>
        <w:bottom w:val="none" w:sz="0" w:space="0" w:color="auto"/>
        <w:right w:val="none" w:sz="0" w:space="0" w:color="auto"/>
      </w:divBdr>
    </w:div>
    <w:div w:id="179767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A7255-C75F-407D-B53E-60641347E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3</Pages>
  <Words>808</Words>
  <Characters>4608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Victorian Government</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Wang (DEDJTR)</dc:creator>
  <cp:keywords/>
  <dc:description/>
  <cp:lastModifiedBy>Min Wang (DEDJTR)</cp:lastModifiedBy>
  <cp:revision>35</cp:revision>
  <dcterms:created xsi:type="dcterms:W3CDTF">2018-04-02T00:59:00Z</dcterms:created>
  <dcterms:modified xsi:type="dcterms:W3CDTF">2018-04-20T03:54:00Z</dcterms:modified>
</cp:coreProperties>
</file>