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7AB884" w14:textId="1FDDE52D" w:rsidR="004A54E1" w:rsidRPr="00062A17" w:rsidRDefault="00D63B81" w:rsidP="00A62D9B">
      <w:pPr>
        <w:spacing w:line="480" w:lineRule="auto"/>
        <w:rPr>
          <w:b/>
          <w:u w:val="single"/>
        </w:rPr>
      </w:pPr>
      <w:bookmarkStart w:id="0" w:name="_GoBack"/>
      <w:bookmarkEnd w:id="0"/>
      <w:r w:rsidRPr="00062A17">
        <w:rPr>
          <w:b/>
          <w:u w:val="single"/>
        </w:rPr>
        <w:t>Supplemental Methods</w:t>
      </w:r>
    </w:p>
    <w:p w14:paraId="5DFAF3B4" w14:textId="77777777" w:rsidR="00D63B81" w:rsidRPr="00062A17" w:rsidRDefault="00D63B81" w:rsidP="00A62D9B">
      <w:pPr>
        <w:spacing w:line="480" w:lineRule="auto"/>
        <w:rPr>
          <w:b/>
        </w:rPr>
      </w:pPr>
      <w:r w:rsidRPr="00062A17">
        <w:rPr>
          <w:b/>
        </w:rPr>
        <w:t>Study Populations</w:t>
      </w:r>
    </w:p>
    <w:p w14:paraId="7F641BF3" w14:textId="77777777" w:rsidR="00D63B81" w:rsidRPr="00062A17" w:rsidRDefault="00D63B81" w:rsidP="00A62D9B">
      <w:pPr>
        <w:spacing w:line="480" w:lineRule="auto"/>
        <w:rPr>
          <w:i/>
        </w:rPr>
      </w:pPr>
      <w:r w:rsidRPr="00062A17">
        <w:rPr>
          <w:i/>
        </w:rPr>
        <w:t>The Grady Trauma Project (GTP)</w:t>
      </w:r>
    </w:p>
    <w:p w14:paraId="3E913822" w14:textId="64533352" w:rsidR="00D63B81" w:rsidRPr="00062A17" w:rsidRDefault="00D63B81" w:rsidP="00A62D9B">
      <w:pPr>
        <w:spacing w:line="480" w:lineRule="auto"/>
        <w:rPr>
          <w:rFonts w:eastAsia="Times New Roman"/>
        </w:rPr>
      </w:pPr>
      <w:r w:rsidRPr="00062A17">
        <w:t xml:space="preserve">GTP is a prospective study of </w:t>
      </w:r>
      <w:r w:rsidR="00FB767F" w:rsidRPr="00062A17">
        <w:t>stress-related</w:t>
      </w:r>
      <w:r w:rsidRPr="00062A17">
        <w:t xml:space="preserve"> outcomes in which participants were recruited from the waiting rooms of Grady Memorial Hospital’s General Practice or Obstetrics and Gynecology departments. </w:t>
      </w:r>
      <w:r w:rsidR="004A54E1" w:rsidRPr="00062A17">
        <w:t>Participants</w:t>
      </w:r>
      <w:r w:rsidRPr="00062A17">
        <w:t xml:space="preserve"> are from an inner city population with higher than average rates of trauma exposure and post-traumatic stress disorder, but are representative of this population in that they are not specifically ascertained for presence of disease or trauma. </w:t>
      </w:r>
      <w:r w:rsidRPr="00062A17">
        <w:rPr>
          <w:rFonts w:eastAsia="Times New Roman"/>
        </w:rPr>
        <w:t xml:space="preserve">Exclusion criteria included mental retardation, active psychosis, or the inability to give written and verbal informed consent. </w:t>
      </w:r>
      <w:r w:rsidR="00FA6DB4" w:rsidRPr="00062A17">
        <w:rPr>
          <w:rFonts w:eastAsia="Times New Roman"/>
        </w:rPr>
        <w:t>The Institutional Review Boards of Emory University School of Medicine and Grady Memorial Hospital approved all procedures in this study</w:t>
      </w:r>
      <w:r w:rsidRPr="00062A17">
        <w:rPr>
          <w:rFonts w:eastAsia="Times New Roman"/>
        </w:rPr>
        <w:t xml:space="preserve">. </w:t>
      </w:r>
      <w:r w:rsidRPr="00062A17">
        <w:t xml:space="preserve">Genome-wide DNA methylation and gene expression measurements were generated for 333 human blood samples collected in Atlanta, Georgia as part of the Grady Trauma Project </w:t>
      </w:r>
      <w:r w:rsidRPr="00062A17">
        <w:fldChar w:fldCharType="begin"/>
      </w:r>
      <w:r w:rsidR="00111FEB" w:rsidRPr="00062A17">
        <w:instrText xml:space="preserve"> ADDIN ZOTERO_ITEM CSL_CITATION {"citationID":"15h8b6d9ip","properties":{"formattedCitation":"[1]","plainCitation":"[1]"},"citationItems":[{"id":1506,"uris":["http://zotero.org/users/1026282/items/UEV2ZAKJ"],"uri":["http://zotero.org/users/1026282/items/UEV2ZAKJ"],"itemData":{"id":1506,"type":"article-journal","title":"Trauma Exposure and Stress-Related Disorders in Inner City Primary Care Patients","container-title":"General hospital psychiatry","page":"505-514","volume":"31","issue":"6","source":"PubMed Central","abstract":"Objective:\nThis study was undertaken to increase understanding of environmental risk factors for PTSD and MDD within an urban, impoverished, population.\n\nMethod:\nThis study examined the demographic characteristics, patterns of trauma exposure, prevalence of PTSD and MDD, and predictors of post-traumatic stress and depressive symptomatology using a verbally-presented survey and structured clinical interviews administered to low-income, primarily African-American (&gt;93%), women and men seeking care in the primary care and obstetrics-gynecology clinics of an urban public hospital.\n\nResults:\n87.8% (N=1256) of the sample reported some form of significant trauma in their lifetime. Accidents were the most common form of trauma exposure followed by interpersonal violence and sexual assault. Childhood level of trauma and adult level of trauma separately, and in combination, predicted level of adult PTSD and depressive symptomatology. The lifetime prevalence of PTSD was 46.2% and the lifetime prevalence of MDD was 36.7%.\n\nConclusions:\nThese data document high levels of childhood and adult trauma exposure, principally interpersonal violence, in a large sample of an inner-city primary care population. Within this group of subjects, PTSD and depression are highly prevalent conditions.","DOI":"10.1016/j.genhosppsych.2009.05.003","ISSN":"0163-8343","note":"PMID: 19892208\nPMCID: PMC2785858","journalAbbreviation":"Gen Hosp Psychiatry","author":[{"family":"Gillespie","given":"Charles F."},{"family":"Bradley","given":"Bekh"},{"family":"Mercer","given":"Kristie"},{"family":"Smith","given":"Alicia K."},{"family":"Conneely","given":"Karen"},{"family":"Gapen","given":"Mark"},{"family":"Weiss","given":"Tamara"},{"family":"Schwartz","given":"Ann C."},{"family":"Cubells","given":"Joseph F."},{"family":"Ressler","given":"Kerry J."}],"issued":{"date-parts":[["2009"]]}}}],"schema":"https://github.com/citation-style-language/schema/raw/master/csl-citation.json"} </w:instrText>
      </w:r>
      <w:r w:rsidRPr="00062A17">
        <w:fldChar w:fldCharType="separate"/>
      </w:r>
      <w:r w:rsidR="00111FEB" w:rsidRPr="00062A17">
        <w:rPr>
          <w:noProof/>
        </w:rPr>
        <w:t>[1]</w:t>
      </w:r>
      <w:r w:rsidRPr="00062A17">
        <w:fldChar w:fldCharType="end"/>
      </w:r>
      <w:r w:rsidRPr="00062A17">
        <w:t>. GTP participants include</w:t>
      </w:r>
      <w:r w:rsidR="00597FA9" w:rsidRPr="00062A17">
        <w:t>d in this study range between 18</w:t>
      </w:r>
      <w:r w:rsidRPr="00062A17">
        <w:t xml:space="preserve"> and 78 years old</w:t>
      </w:r>
      <w:r w:rsidR="004A54E1" w:rsidRPr="00062A17">
        <w:t xml:space="preserve">. </w:t>
      </w:r>
      <w:r w:rsidRPr="00062A17">
        <w:t xml:space="preserve">76% </w:t>
      </w:r>
      <w:r w:rsidR="004A54E1" w:rsidRPr="00062A17">
        <w:t xml:space="preserve">are </w:t>
      </w:r>
      <w:r w:rsidRPr="00062A17">
        <w:t>female</w:t>
      </w:r>
      <w:r w:rsidR="004A54E1" w:rsidRPr="00062A17">
        <w:t xml:space="preserve"> and all are African-American</w:t>
      </w:r>
      <w:r w:rsidR="00443A88" w:rsidRPr="00062A17">
        <w:t xml:space="preserve">, based on self </w:t>
      </w:r>
      <w:r w:rsidR="004A54E1" w:rsidRPr="00062A17">
        <w:t>report and</w:t>
      </w:r>
      <w:r w:rsidR="00443A88" w:rsidRPr="00062A17">
        <w:t xml:space="preserve"> </w:t>
      </w:r>
      <w:r w:rsidR="004A54E1" w:rsidRPr="00062A17">
        <w:t xml:space="preserve">confirmation via principal component analysis of genotype data </w:t>
      </w:r>
      <w:r w:rsidR="00907005" w:rsidRPr="00062A17">
        <w:fldChar w:fldCharType="begin"/>
      </w:r>
      <w:r w:rsidR="00111FEB" w:rsidRPr="00062A17">
        <w:instrText xml:space="preserve"> ADDIN ZOTERO_ITEM CSL_CITATION {"citationID":"1tmgrbotst","properties":{"formattedCitation":"[2]","plainCitation":"[2]"},"citationItems":[{"id":1657,"uris":["http://zotero.org/users/1026282/items/9MXNIVCP"],"uri":["http://zotero.org/users/1026282/items/9MXNIVCP"],"itemData":{"id":1657,"type":"article-journal","title":"Genome-wide gene-based analysis suggests an association between Neuroligin 1 (NLGN1) and post-traumatic stress disorder","container-title":"Translational Psychiatry","page":"e820","volume":"6","issue":"5","source":"www.nature.com","abstract":"Post-traumatic stress disorder (PTSD) develops in only some people following trauma exposure, but the mechanisms differentially explaining risk versus resilience remain largely unknown. PTSD is heritable but candidate gene studies and genome-wide association studies (GWAS) have identified only a modest number of genes that reliably contribute to PTSD. New gene-based methods may help identify additional genes that increase risk for PTSD development or severity. We applied gene-based testing to GWAS data from the Grady Trauma Project (GTP), a primarily African American cohort, and identified two genes (NLGN1 and ZNRD1-AS1) that associate with PTSD after multiple test correction. Although the top SNP from NLGN1 did not replicate, we observed gene-based replication of NLGN1 with PTSD in the Drakenstein Child Health Study (DCHS) cohort from Cape Town. NLGN1 has previously been associated with autism, and it encodes neuroligin 1, a protein involved in synaptogenesis, learning, and memory. Within the GTP dataset, a single nucleotide polymorphism (SNP), rs6779753, underlying the gene-based association, associated with the intermediate phenotypes of higher startle response and greater functional magnetic resonance imaging activation of the amygdala, orbitofrontal cortex, right thalamus and right fusiform gyrus in response to fearful faces. These findings support a contribution of the NLGN1 gene pathway to the neurobiological underpinnings of PTSD.","DOI":"10.1038/tp.2016.69","journalAbbreviation":"Transl Psychiatry","language":"en","author":[{"family":"Kilaru","given":"V."},{"family":"Iyer","given":"S. V."},{"family":"Almli","given":"L. M."},{"family":"Stevens","given":"J. S."},{"family":"Lori","given":"A."},{"family":"Jovanovic","given":"T."},{"family":"Ely","given":"T. D."},{"family":"Bradley","given":"B."},{"family":"Binder","given":"E. B."},{"family":"Koen","given":"N."},{"family":"Stein","given":"D. J."},{"family":"Conneely","given":"K. N."},{"family":"Wingo","given":"A. P."},{"family":"Smith","given":"A. K."},{"family":"Ressler","given":"K. J."}],"issued":{"date-parts":[["2016",5,24]]}}}],"schema":"https://github.com/citation-style-language/schema/raw/master/csl-citation.json"} </w:instrText>
      </w:r>
      <w:r w:rsidR="00907005" w:rsidRPr="00062A17">
        <w:fldChar w:fldCharType="separate"/>
      </w:r>
      <w:r w:rsidR="00111FEB" w:rsidRPr="00062A17">
        <w:rPr>
          <w:noProof/>
        </w:rPr>
        <w:t>[2]</w:t>
      </w:r>
      <w:r w:rsidR="00907005" w:rsidRPr="00062A17">
        <w:fldChar w:fldCharType="end"/>
      </w:r>
      <w:r w:rsidR="0040119C" w:rsidRPr="00062A17">
        <w:t>.</w:t>
      </w:r>
    </w:p>
    <w:p w14:paraId="642337C2" w14:textId="15828ABB" w:rsidR="00D63B81" w:rsidRDefault="00D63B81" w:rsidP="00A62D9B">
      <w:pPr>
        <w:pStyle w:val="ListParagraph"/>
        <w:spacing w:line="480" w:lineRule="auto"/>
        <w:ind w:left="0" w:firstLine="720"/>
        <w:rPr>
          <w:rFonts w:eastAsia="Times New Roman"/>
        </w:rPr>
      </w:pPr>
      <w:r w:rsidRPr="00062A17">
        <w:rPr>
          <w:rFonts w:eastAsia="Times New Roman"/>
        </w:rPr>
        <w:t xml:space="preserve">For </w:t>
      </w:r>
      <w:r w:rsidR="004A54E1" w:rsidRPr="00062A17">
        <w:rPr>
          <w:rFonts w:eastAsia="Times New Roman"/>
        </w:rPr>
        <w:t>gene</w:t>
      </w:r>
      <w:r w:rsidRPr="00062A17">
        <w:rPr>
          <w:rFonts w:eastAsia="Times New Roman"/>
        </w:rPr>
        <w:t xml:space="preserve"> expression analysis, whole blood was collected in Tempus RNA tubes. </w:t>
      </w:r>
      <w:r w:rsidR="00FA6DB4" w:rsidRPr="00062A17">
        <w:rPr>
          <w:rFonts w:eastAsia="Times New Roman"/>
        </w:rPr>
        <w:t>All w</w:t>
      </w:r>
      <w:r w:rsidRPr="00062A17">
        <w:rPr>
          <w:rFonts w:eastAsia="Times New Roman"/>
        </w:rPr>
        <w:t>hole genome expression profiles were generated at the Max-</w:t>
      </w:r>
      <w:r w:rsidR="00FA6DB4" w:rsidRPr="00062A17">
        <w:rPr>
          <w:rFonts w:eastAsia="Times New Roman"/>
        </w:rPr>
        <w:t>Planck Institute.</w:t>
      </w:r>
      <w:r w:rsidRPr="00062A17">
        <w:rPr>
          <w:rFonts w:eastAsia="Times New Roman"/>
        </w:rPr>
        <w:t xml:space="preserve"> RNA was isolated using the </w:t>
      </w:r>
      <w:proofErr w:type="spellStart"/>
      <w:r w:rsidRPr="00062A17">
        <w:rPr>
          <w:rFonts w:eastAsia="Times New Roman"/>
        </w:rPr>
        <w:t>Versagene</w:t>
      </w:r>
      <w:proofErr w:type="spellEnd"/>
      <w:r w:rsidRPr="00062A17">
        <w:rPr>
          <w:rFonts w:eastAsia="Times New Roman"/>
        </w:rPr>
        <w:t xml:space="preserve"> kit (</w:t>
      </w:r>
      <w:proofErr w:type="spellStart"/>
      <w:r w:rsidRPr="00062A17">
        <w:rPr>
          <w:rFonts w:eastAsia="Times New Roman"/>
        </w:rPr>
        <w:t>Gentr</w:t>
      </w:r>
      <w:r w:rsidR="00FA6DB4" w:rsidRPr="00062A17">
        <w:rPr>
          <w:rFonts w:eastAsia="Times New Roman"/>
        </w:rPr>
        <w:t>a</w:t>
      </w:r>
      <w:proofErr w:type="spellEnd"/>
      <w:r w:rsidR="00FA6DB4" w:rsidRPr="00062A17">
        <w:rPr>
          <w:rFonts w:eastAsia="Times New Roman"/>
        </w:rPr>
        <w:t xml:space="preserve"> Systems, Minneapolis, U.S.A.) and</w:t>
      </w:r>
      <w:r w:rsidRPr="00062A17">
        <w:rPr>
          <w:rFonts w:eastAsia="Times New Roman"/>
        </w:rPr>
        <w:t xml:space="preserve"> quantified using the </w:t>
      </w:r>
      <w:proofErr w:type="spellStart"/>
      <w:r w:rsidRPr="00062A17">
        <w:rPr>
          <w:rFonts w:eastAsia="Times New Roman"/>
        </w:rPr>
        <w:t>Nanophotometer</w:t>
      </w:r>
      <w:proofErr w:type="spellEnd"/>
      <w:r w:rsidR="00FE4F8B" w:rsidRPr="00062A17">
        <w:rPr>
          <w:rFonts w:eastAsia="Times New Roman"/>
        </w:rPr>
        <w:t xml:space="preserve"> (</w:t>
      </w:r>
      <w:proofErr w:type="spellStart"/>
      <w:r w:rsidR="00FE4F8B" w:rsidRPr="00062A17">
        <w:rPr>
          <w:rFonts w:eastAsia="Times New Roman"/>
        </w:rPr>
        <w:t>Implen</w:t>
      </w:r>
      <w:proofErr w:type="spellEnd"/>
      <w:r w:rsidR="00FE4F8B" w:rsidRPr="00062A17">
        <w:rPr>
          <w:rFonts w:eastAsia="Times New Roman"/>
        </w:rPr>
        <w:t xml:space="preserve">, </w:t>
      </w:r>
      <w:proofErr w:type="spellStart"/>
      <w:r w:rsidR="00FE4F8B" w:rsidRPr="00062A17">
        <w:rPr>
          <w:rStyle w:val="xbe"/>
          <w:rFonts w:eastAsia="Times New Roman"/>
        </w:rPr>
        <w:t>München</w:t>
      </w:r>
      <w:proofErr w:type="spellEnd"/>
      <w:r w:rsidR="00FE4F8B" w:rsidRPr="00062A17">
        <w:rPr>
          <w:rStyle w:val="xbe"/>
          <w:rFonts w:eastAsia="Times New Roman"/>
        </w:rPr>
        <w:t>, Germany)</w:t>
      </w:r>
      <w:r w:rsidR="00FA6DB4" w:rsidRPr="00062A17">
        <w:rPr>
          <w:rFonts w:eastAsia="Times New Roman"/>
        </w:rPr>
        <w:t>.</w:t>
      </w:r>
      <w:r w:rsidRPr="00062A17">
        <w:rPr>
          <w:rFonts w:eastAsia="Times New Roman"/>
        </w:rPr>
        <w:t xml:space="preserve"> </w:t>
      </w:r>
      <w:r w:rsidR="00FA6DB4" w:rsidRPr="00062A17">
        <w:rPr>
          <w:rFonts w:eastAsia="Times New Roman"/>
        </w:rPr>
        <w:t>Q</w:t>
      </w:r>
      <w:r w:rsidRPr="00062A17">
        <w:rPr>
          <w:rFonts w:eastAsia="Times New Roman"/>
        </w:rPr>
        <w:t xml:space="preserve">uality checks were performed on the Agilent </w:t>
      </w:r>
      <w:proofErr w:type="spellStart"/>
      <w:r w:rsidRPr="00062A17">
        <w:rPr>
          <w:rFonts w:eastAsia="Times New Roman"/>
        </w:rPr>
        <w:t>Bioanalyzer</w:t>
      </w:r>
      <w:proofErr w:type="spellEnd"/>
      <w:r w:rsidRPr="00062A17">
        <w:rPr>
          <w:rFonts w:eastAsia="Times New Roman"/>
        </w:rPr>
        <w:t xml:space="preserve">. 250 </w:t>
      </w:r>
      <w:proofErr w:type="spellStart"/>
      <w:r w:rsidRPr="00062A17">
        <w:rPr>
          <w:rFonts w:eastAsia="Times New Roman"/>
        </w:rPr>
        <w:t>nanograms</w:t>
      </w:r>
      <w:proofErr w:type="spellEnd"/>
      <w:r w:rsidRPr="00062A17">
        <w:rPr>
          <w:rFonts w:eastAsia="Times New Roman"/>
        </w:rPr>
        <w:t xml:space="preserve"> of RNA were reverse transcribed to cDNA, converted to </w:t>
      </w:r>
      <w:proofErr w:type="spellStart"/>
      <w:r w:rsidRPr="00062A17">
        <w:rPr>
          <w:rFonts w:eastAsia="Times New Roman"/>
        </w:rPr>
        <w:t>cRNA</w:t>
      </w:r>
      <w:proofErr w:type="spellEnd"/>
      <w:r w:rsidRPr="00062A17">
        <w:rPr>
          <w:rFonts w:eastAsia="Times New Roman"/>
        </w:rPr>
        <w:t xml:space="preserve"> and biotin-labeled using the </w:t>
      </w:r>
      <w:proofErr w:type="spellStart"/>
      <w:r w:rsidRPr="00062A17">
        <w:rPr>
          <w:rFonts w:eastAsia="Times New Roman"/>
        </w:rPr>
        <w:t>Ambion</w:t>
      </w:r>
      <w:proofErr w:type="spellEnd"/>
      <w:r w:rsidRPr="00062A17">
        <w:rPr>
          <w:rFonts w:eastAsia="Times New Roman"/>
        </w:rPr>
        <w:t xml:space="preserve"> kit (AMIL1791, </w:t>
      </w:r>
      <w:r w:rsidRPr="00062A17">
        <w:rPr>
          <w:rFonts w:eastAsia="Times New Roman"/>
        </w:rPr>
        <w:lastRenderedPageBreak/>
        <w:t xml:space="preserve">Applied </w:t>
      </w:r>
      <w:proofErr w:type="spellStart"/>
      <w:r w:rsidR="00FE4F8B" w:rsidRPr="00062A17">
        <w:rPr>
          <w:rFonts w:eastAsia="Times New Roman"/>
        </w:rPr>
        <w:t>Biosystems</w:t>
      </w:r>
      <w:proofErr w:type="spellEnd"/>
      <w:r w:rsidR="00FE4F8B" w:rsidRPr="00062A17">
        <w:rPr>
          <w:rFonts w:eastAsia="Times New Roman"/>
        </w:rPr>
        <w:t>).</w:t>
      </w:r>
      <w:r w:rsidRPr="00062A17">
        <w:rPr>
          <w:rFonts w:eastAsia="Times New Roman"/>
        </w:rPr>
        <w:t xml:space="preserve"> 750 </w:t>
      </w:r>
      <w:proofErr w:type="spellStart"/>
      <w:r w:rsidRPr="00062A17">
        <w:rPr>
          <w:rFonts w:eastAsia="Times New Roman"/>
        </w:rPr>
        <w:t>nanograms</w:t>
      </w:r>
      <w:proofErr w:type="spellEnd"/>
      <w:r w:rsidRPr="00062A17">
        <w:rPr>
          <w:rFonts w:eastAsia="Times New Roman"/>
        </w:rPr>
        <w:t xml:space="preserve"> of </w:t>
      </w:r>
      <w:proofErr w:type="spellStart"/>
      <w:r w:rsidRPr="00062A17">
        <w:rPr>
          <w:rFonts w:eastAsia="Times New Roman"/>
        </w:rPr>
        <w:t>cRNA</w:t>
      </w:r>
      <w:proofErr w:type="spellEnd"/>
      <w:r w:rsidRPr="00062A17">
        <w:rPr>
          <w:rFonts w:eastAsia="Times New Roman"/>
        </w:rPr>
        <w:t xml:space="preserve"> were hybridized to Illumina HT-12 v3.0 or v4.0 arrays (Illumina, San Diego, California, U.S.A) and incubated for 16 hours at 55ºC. Arrays were </w:t>
      </w:r>
      <w:r w:rsidR="00FE4F8B" w:rsidRPr="00062A17">
        <w:rPr>
          <w:rFonts w:eastAsia="Times New Roman"/>
        </w:rPr>
        <w:t xml:space="preserve">then </w:t>
      </w:r>
      <w:r w:rsidRPr="00062A17">
        <w:rPr>
          <w:rFonts w:eastAsia="Times New Roman"/>
        </w:rPr>
        <w:t xml:space="preserve">washed, stained with Cy3 labeled streptavidin, dried and scanned on the Illumina </w:t>
      </w:r>
      <w:proofErr w:type="spellStart"/>
      <w:r w:rsidRPr="00062A17">
        <w:rPr>
          <w:rFonts w:eastAsia="Times New Roman"/>
        </w:rPr>
        <w:t>BeadScan</w:t>
      </w:r>
      <w:proofErr w:type="spellEnd"/>
      <w:r w:rsidRPr="00062A17">
        <w:rPr>
          <w:rFonts w:eastAsia="Times New Roman"/>
        </w:rPr>
        <w:t xml:space="preserve"> confocal laser scanner. </w:t>
      </w:r>
      <w:r w:rsidR="00FE4F8B" w:rsidRPr="00062A17">
        <w:rPr>
          <w:rFonts w:eastAsia="Times New Roman"/>
        </w:rPr>
        <w:t xml:space="preserve">Expression values were normalized using the variance stabilizing transformation. </w:t>
      </w:r>
      <w:r w:rsidR="00FE4F8B" w:rsidRPr="00062A17">
        <w:t xml:space="preserve">13,933 </w:t>
      </w:r>
      <w:r w:rsidRPr="00062A17">
        <w:rPr>
          <w:rFonts w:eastAsia="Times New Roman"/>
        </w:rPr>
        <w:t xml:space="preserve">transcripts </w:t>
      </w:r>
      <w:r w:rsidR="00FE4F8B" w:rsidRPr="00062A17">
        <w:rPr>
          <w:rFonts w:eastAsia="Times New Roman"/>
        </w:rPr>
        <w:t>from</w:t>
      </w:r>
      <w:r w:rsidRPr="00062A17">
        <w:rPr>
          <w:rFonts w:eastAsia="Times New Roman"/>
        </w:rPr>
        <w:t xml:space="preserve"> the v3.0 and v4.0 arrays and were significantly expressed above background levels (detection P&lt;</w:t>
      </w:r>
      <w:r w:rsidR="00FE4F8B" w:rsidRPr="00062A17">
        <w:rPr>
          <w:rFonts w:eastAsia="Times New Roman"/>
        </w:rPr>
        <w:t>0</w:t>
      </w:r>
      <w:r w:rsidRPr="00062A17">
        <w:rPr>
          <w:rFonts w:eastAsia="Times New Roman"/>
        </w:rPr>
        <w:t xml:space="preserve">.01) in at least 5% of subjects, and were </w:t>
      </w:r>
      <w:r w:rsidR="00FE4F8B" w:rsidRPr="00062A17">
        <w:rPr>
          <w:rFonts w:eastAsia="Times New Roman"/>
        </w:rPr>
        <w:t>used in</w:t>
      </w:r>
      <w:r w:rsidRPr="00062A17">
        <w:rPr>
          <w:rFonts w:eastAsia="Times New Roman"/>
        </w:rPr>
        <w:t xml:space="preserve"> further analysis. </w:t>
      </w:r>
    </w:p>
    <w:p w14:paraId="4C10DD78" w14:textId="1B803906" w:rsidR="00B241E8" w:rsidRDefault="00B241E8" w:rsidP="00B241E8">
      <w:pPr>
        <w:pStyle w:val="ListParagraph"/>
        <w:spacing w:line="480" w:lineRule="auto"/>
        <w:ind w:left="0" w:firstLine="720"/>
        <w:rPr>
          <w:rFonts w:eastAsia="Times New Roman"/>
        </w:rPr>
      </w:pPr>
      <w:r>
        <w:rPr>
          <w:rFonts w:eastAsia="Times New Roman"/>
        </w:rPr>
        <w:t xml:space="preserve">We </w:t>
      </w:r>
      <w:r w:rsidRPr="00B241E8">
        <w:rPr>
          <w:rFonts w:eastAsia="Times New Roman"/>
        </w:rPr>
        <w:t xml:space="preserve">compared the average log expression </w:t>
      </w:r>
      <w:r w:rsidRPr="00A7238F">
        <w:rPr>
          <w:rFonts w:eastAsia="Times New Roman"/>
        </w:rPr>
        <w:t xml:space="preserve">for probes common to both array versions between the samples run on the v3 and v4 arrays. </w:t>
      </w:r>
      <w:r>
        <w:rPr>
          <w:rFonts w:eastAsia="Times New Roman"/>
        </w:rPr>
        <w:t>We found that the average log expression was</w:t>
      </w:r>
      <w:r w:rsidRPr="00A7238F">
        <w:rPr>
          <w:rFonts w:eastAsia="Times New Roman"/>
        </w:rPr>
        <w:t xml:space="preserve"> highly (0.9999) correlated between</w:t>
      </w:r>
      <w:r>
        <w:rPr>
          <w:rFonts w:eastAsia="Times New Roman"/>
        </w:rPr>
        <w:t xml:space="preserve"> the two array versions. In the figure below, the axes are the average log expression </w:t>
      </w:r>
      <w:r w:rsidR="00034737">
        <w:rPr>
          <w:rFonts w:eastAsia="Times New Roman"/>
        </w:rPr>
        <w:t xml:space="preserve">at one transcript across samples processed on </w:t>
      </w:r>
      <w:r>
        <w:rPr>
          <w:rFonts w:eastAsia="Times New Roman"/>
        </w:rPr>
        <w:t xml:space="preserve">either the v3 (x) or v4 (y) </w:t>
      </w:r>
      <w:r w:rsidR="00034737">
        <w:rPr>
          <w:rFonts w:eastAsia="Times New Roman"/>
        </w:rPr>
        <w:t>array. Each circle is one transcript that is common to both arrays.</w:t>
      </w:r>
    </w:p>
    <w:p w14:paraId="11BB9D6C" w14:textId="77777777" w:rsidR="00034737" w:rsidRDefault="00034737" w:rsidP="00B241E8">
      <w:pPr>
        <w:pStyle w:val="ListParagraph"/>
        <w:spacing w:line="480" w:lineRule="auto"/>
        <w:ind w:left="0" w:firstLine="720"/>
        <w:rPr>
          <w:rFonts w:eastAsia="Times New Roman"/>
          <w:noProof/>
        </w:rPr>
      </w:pPr>
    </w:p>
    <w:p w14:paraId="0ED92C3B" w14:textId="7513C00D" w:rsidR="00B241E8" w:rsidRPr="00B241E8" w:rsidRDefault="00B241E8" w:rsidP="00B241E8">
      <w:pPr>
        <w:pStyle w:val="ListParagraph"/>
        <w:spacing w:line="480" w:lineRule="auto"/>
        <w:ind w:left="0" w:firstLine="720"/>
        <w:rPr>
          <w:rFonts w:eastAsia="Times New Roman"/>
        </w:rPr>
      </w:pPr>
      <w:r w:rsidRPr="00A7238F">
        <w:rPr>
          <w:rFonts w:eastAsia="Times New Roman"/>
          <w:noProof/>
        </w:rPr>
        <w:drawing>
          <wp:inline distT="0" distB="0" distL="0" distR="0" wp14:anchorId="04BF5A73" wp14:editId="55854779">
            <wp:extent cx="5486400" cy="3219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p_array_v_comp.png"/>
                    <pic:cNvPicPr/>
                  </pic:nvPicPr>
                  <pic:blipFill rotWithShape="1">
                    <a:blip r:embed="rId6">
                      <a:extLst>
                        <a:ext uri="{28A0092B-C50C-407E-A947-70E740481C1C}">
                          <a14:useLocalDpi xmlns:a14="http://schemas.microsoft.com/office/drawing/2010/main" val="0"/>
                        </a:ext>
                      </a:extLst>
                    </a:blip>
                    <a:srcRect t="15313" b="2528"/>
                    <a:stretch/>
                  </pic:blipFill>
                  <pic:spPr bwMode="auto">
                    <a:xfrm>
                      <a:off x="0" y="0"/>
                      <a:ext cx="5486400" cy="3219450"/>
                    </a:xfrm>
                    <a:prstGeom prst="rect">
                      <a:avLst/>
                    </a:prstGeom>
                    <a:ln>
                      <a:noFill/>
                    </a:ln>
                    <a:extLst>
                      <a:ext uri="{53640926-AAD7-44d8-BBD7-CCE9431645EC}">
                        <a14:shadowObscured xmlns:a14="http://schemas.microsoft.com/office/drawing/2010/main"/>
                      </a:ext>
                    </a:extLst>
                  </pic:spPr>
                </pic:pic>
              </a:graphicData>
            </a:graphic>
          </wp:inline>
        </w:drawing>
      </w:r>
    </w:p>
    <w:p w14:paraId="361EEB4A" w14:textId="380F3D3A" w:rsidR="00D63B81" w:rsidRPr="00062A17" w:rsidRDefault="00D63B81" w:rsidP="00A62D9B">
      <w:pPr>
        <w:spacing w:line="480" w:lineRule="auto"/>
        <w:ind w:firstLine="540"/>
      </w:pPr>
      <w:r w:rsidRPr="00062A17">
        <w:rPr>
          <w:rFonts w:eastAsia="Times New Roman"/>
        </w:rPr>
        <w:lastRenderedPageBreak/>
        <w:t xml:space="preserve">DNA was extracted from whole blood at the Max-Planck Institute in Munich using the </w:t>
      </w:r>
      <w:proofErr w:type="spellStart"/>
      <w:r w:rsidRPr="00062A17">
        <w:rPr>
          <w:rFonts w:eastAsia="Times New Roman"/>
        </w:rPr>
        <w:t>Gentra</w:t>
      </w:r>
      <w:proofErr w:type="spellEnd"/>
      <w:r w:rsidRPr="00062A17">
        <w:rPr>
          <w:rFonts w:eastAsia="Times New Roman"/>
        </w:rPr>
        <w:t xml:space="preserve"> </w:t>
      </w:r>
      <w:proofErr w:type="spellStart"/>
      <w:r w:rsidRPr="00062A17">
        <w:rPr>
          <w:rFonts w:eastAsia="Times New Roman"/>
        </w:rPr>
        <w:t>Puregene</w:t>
      </w:r>
      <w:proofErr w:type="spellEnd"/>
      <w:r w:rsidRPr="00062A17">
        <w:rPr>
          <w:rFonts w:eastAsia="Times New Roman"/>
        </w:rPr>
        <w:t xml:space="preserve"> Kit (</w:t>
      </w:r>
      <w:proofErr w:type="spellStart"/>
      <w:r w:rsidRPr="00062A17">
        <w:rPr>
          <w:rFonts w:eastAsia="Times New Roman"/>
        </w:rPr>
        <w:t>Qiagen</w:t>
      </w:r>
      <w:proofErr w:type="spellEnd"/>
      <w:r w:rsidRPr="00062A17">
        <w:rPr>
          <w:rFonts w:eastAsia="Times New Roman"/>
        </w:rPr>
        <w:t>)</w:t>
      </w:r>
      <w:r w:rsidR="00CA3FF0" w:rsidRPr="00062A17">
        <w:rPr>
          <w:rFonts w:eastAsia="Times New Roman"/>
        </w:rPr>
        <w:t>, to assay CpG methylation</w:t>
      </w:r>
      <w:r w:rsidRPr="00062A17">
        <w:rPr>
          <w:rFonts w:eastAsia="Times New Roman"/>
        </w:rPr>
        <w:t xml:space="preserve">. Genomic DNA was bisulfite converted using the </w:t>
      </w:r>
      <w:proofErr w:type="spellStart"/>
      <w:r w:rsidRPr="00062A17">
        <w:rPr>
          <w:rFonts w:eastAsia="Times New Roman"/>
        </w:rPr>
        <w:t>Zymo</w:t>
      </w:r>
      <w:proofErr w:type="spellEnd"/>
      <w:r w:rsidRPr="00062A17">
        <w:rPr>
          <w:rFonts w:eastAsia="Times New Roman"/>
        </w:rPr>
        <w:t xml:space="preserve"> EZ-96 DNA Methylation Kit (</w:t>
      </w:r>
      <w:proofErr w:type="spellStart"/>
      <w:r w:rsidRPr="00062A17">
        <w:rPr>
          <w:rFonts w:eastAsia="Times New Roman"/>
        </w:rPr>
        <w:t>Zymo</w:t>
      </w:r>
      <w:proofErr w:type="spellEnd"/>
      <w:r w:rsidRPr="00062A17">
        <w:rPr>
          <w:rFonts w:eastAsia="Times New Roman"/>
        </w:rPr>
        <w:t xml:space="preserve"> Research)</w:t>
      </w:r>
      <w:r w:rsidR="00CA3FF0" w:rsidRPr="00062A17">
        <w:rPr>
          <w:rFonts w:eastAsia="Times New Roman"/>
        </w:rPr>
        <w:t xml:space="preserve"> and applied to the</w:t>
      </w:r>
      <w:r w:rsidRPr="00062A17">
        <w:rPr>
          <w:rFonts w:eastAsia="Times New Roman"/>
        </w:rPr>
        <w:t xml:space="preserve"> Illumina HumanMethylation450 BeadChip, with hybridization and processing performed according to the instructions of the manufacturer. Methylated (M) and </w:t>
      </w:r>
      <w:proofErr w:type="spellStart"/>
      <w:r w:rsidRPr="00062A17">
        <w:rPr>
          <w:rFonts w:eastAsia="Times New Roman"/>
        </w:rPr>
        <w:t>unmethylated</w:t>
      </w:r>
      <w:proofErr w:type="spellEnd"/>
      <w:r w:rsidRPr="00062A17">
        <w:rPr>
          <w:rFonts w:eastAsia="Times New Roman"/>
        </w:rPr>
        <w:t xml:space="preserve"> (U) signals were collected for all CpG sites on the array and quantile normalized across all samples. </w:t>
      </w:r>
      <w:r w:rsidRPr="00062A17">
        <w:t xml:space="preserve">β-values for each individual at each CpG site were calculated as the total methylated signal divided by the total signal </w:t>
      </w:r>
      <w:r w:rsidRPr="00062A17">
        <w:rPr>
          <w:rFonts w:eastAsia="Times New Roman"/>
        </w:rPr>
        <w:t>(M/M+U)</w:t>
      </w:r>
      <w:r w:rsidRPr="00062A17">
        <w:t>.</w:t>
      </w:r>
      <w:r w:rsidRPr="00062A17">
        <w:rPr>
          <w:rFonts w:eastAsia="Times New Roman"/>
        </w:rPr>
        <w:t xml:space="preserve"> </w:t>
      </w:r>
      <w:r w:rsidRPr="00062A17">
        <w:t xml:space="preserve">Data points with 1) a detection p-value greater than 0.001 or 2) a combined signal less than 25% of the total median signal and less than both the median </w:t>
      </w:r>
      <w:proofErr w:type="spellStart"/>
      <w:r w:rsidRPr="00062A17">
        <w:t>unmethylated</w:t>
      </w:r>
      <w:proofErr w:type="spellEnd"/>
      <w:r w:rsidRPr="00062A17">
        <w:t xml:space="preserve"> and median methylated signal were set to missing. CpG sites with a </w:t>
      </w:r>
      <w:proofErr w:type="spellStart"/>
      <w:r w:rsidRPr="00062A17">
        <w:t>missingness</w:t>
      </w:r>
      <w:proofErr w:type="spellEnd"/>
      <w:r w:rsidRPr="00062A17">
        <w:t xml:space="preserve"> rate above 10% were removed from analysis. Individual samples were removed from analysis if they were outliers in a hierarchical clustering analysis or had 1) a mean total signal less than half of the median overall mean signal or 2000 arbitrary units, or 2) a </w:t>
      </w:r>
      <w:proofErr w:type="spellStart"/>
      <w:r w:rsidRPr="00062A17">
        <w:t>missingness</w:t>
      </w:r>
      <w:proofErr w:type="spellEnd"/>
      <w:r w:rsidRPr="00062A17">
        <w:t xml:space="preserve"> rate above 5%. </w:t>
      </w:r>
    </w:p>
    <w:p w14:paraId="2C0EA2EE" w14:textId="77777777" w:rsidR="00D63B81" w:rsidRPr="00062A17" w:rsidRDefault="00D63B81" w:rsidP="00A62D9B">
      <w:pPr>
        <w:pStyle w:val="ListParagraph"/>
        <w:spacing w:before="240" w:line="480" w:lineRule="auto"/>
        <w:ind w:left="0"/>
        <w:rPr>
          <w:rFonts w:eastAsia="Times New Roman"/>
          <w:i/>
        </w:rPr>
      </w:pPr>
      <w:r w:rsidRPr="00062A17">
        <w:rPr>
          <w:rFonts w:eastAsia="Times New Roman"/>
          <w:i/>
        </w:rPr>
        <w:t>Multi-ethnic Study of Atherosclerosis (MESA)</w:t>
      </w:r>
    </w:p>
    <w:p w14:paraId="330091D4" w14:textId="77777777" w:rsidR="00013CC8" w:rsidRPr="00062A17" w:rsidRDefault="00013CC8" w:rsidP="00A62D9B">
      <w:pPr>
        <w:pStyle w:val="ListParagraph"/>
        <w:spacing w:line="480" w:lineRule="auto"/>
        <w:ind w:left="0"/>
        <w:rPr>
          <w:rFonts w:eastAsia="Times New Roman"/>
        </w:rPr>
      </w:pPr>
      <w:r w:rsidRPr="00062A17">
        <w:rPr>
          <w:rFonts w:eastAsia="Times New Roman"/>
        </w:rPr>
        <w:t xml:space="preserve">MESA DNA methylation and gene expression data were collected from the Gene Expression Omnibus (GSE56047). The following summarizes the methods detailed in Liu et al. (2013). </w:t>
      </w:r>
    </w:p>
    <w:p w14:paraId="488D5562" w14:textId="21643ABC" w:rsidR="00D63B81" w:rsidRPr="00062A17" w:rsidRDefault="00D63B81" w:rsidP="00013CC8">
      <w:pPr>
        <w:pStyle w:val="ListParagraph"/>
        <w:spacing w:line="480" w:lineRule="auto"/>
        <w:ind w:left="0" w:firstLine="720"/>
        <w:rPr>
          <w:rFonts w:eastAsia="Times New Roman"/>
        </w:rPr>
      </w:pPr>
      <w:r w:rsidRPr="00062A17">
        <w:rPr>
          <w:rFonts w:eastAsia="Times New Roman"/>
        </w:rPr>
        <w:t>MESA</w:t>
      </w:r>
      <w:r w:rsidR="00013CC8" w:rsidRPr="00062A17">
        <w:rPr>
          <w:rFonts w:eastAsia="Times New Roman"/>
        </w:rPr>
        <w:t xml:space="preserve"> is a study designed to examine</w:t>
      </w:r>
      <w:r w:rsidRPr="00062A17">
        <w:rPr>
          <w:rFonts w:eastAsia="Times New Roman"/>
        </w:rPr>
        <w:t xml:space="preserve"> cardiovascular disease.</w:t>
      </w:r>
      <w:r w:rsidRPr="00062A17">
        <w:t xml:space="preserve"> </w:t>
      </w:r>
      <w:r w:rsidRPr="00062A17">
        <w:rPr>
          <w:rFonts w:eastAsia="Times New Roman"/>
        </w:rPr>
        <w:t xml:space="preserve">The MESA </w:t>
      </w:r>
      <w:proofErr w:type="spellStart"/>
      <w:r w:rsidRPr="00062A17">
        <w:rPr>
          <w:rFonts w:eastAsia="Times New Roman"/>
        </w:rPr>
        <w:t>Epigenomics</w:t>
      </w:r>
      <w:proofErr w:type="spellEnd"/>
      <w:r w:rsidRPr="00062A17">
        <w:rPr>
          <w:rFonts w:eastAsia="Times New Roman"/>
        </w:rPr>
        <w:t xml:space="preserve"> and </w:t>
      </w:r>
      <w:proofErr w:type="spellStart"/>
      <w:r w:rsidRPr="00062A17">
        <w:rPr>
          <w:rFonts w:eastAsia="Times New Roman"/>
        </w:rPr>
        <w:t>Transcriptomics</w:t>
      </w:r>
      <w:proofErr w:type="spellEnd"/>
      <w:r w:rsidRPr="00062A17">
        <w:rPr>
          <w:rFonts w:eastAsia="Times New Roman"/>
        </w:rPr>
        <w:t xml:space="preserve"> Study investigate</w:t>
      </w:r>
      <w:r w:rsidR="00013CC8" w:rsidRPr="00062A17">
        <w:rPr>
          <w:rFonts w:eastAsia="Times New Roman"/>
        </w:rPr>
        <w:t>s</w:t>
      </w:r>
      <w:r w:rsidRPr="00062A17">
        <w:rPr>
          <w:rFonts w:eastAsia="Times New Roman"/>
        </w:rPr>
        <w:t xml:space="preserve"> gene expression regulatory methylation sites in humans by examining the association between CpG methylation and gene expression in purified human monocytes from a large study population. </w:t>
      </w:r>
      <w:r w:rsidRPr="00062A17">
        <w:t>Genome-</w:t>
      </w:r>
      <w:r w:rsidRPr="00062A17">
        <w:lastRenderedPageBreak/>
        <w:t xml:space="preserve">wide DNA methylation and gene expression measurements were generated for </w:t>
      </w:r>
      <w:r w:rsidRPr="00062A17">
        <w:rPr>
          <w:rFonts w:eastAsia="Times New Roman"/>
        </w:rPr>
        <w:t>purified monocytes from 1,202 MESA participants</w:t>
      </w:r>
      <w:r w:rsidRPr="00062A17">
        <w:t>.</w:t>
      </w:r>
      <w:r w:rsidRPr="00062A17">
        <w:rPr>
          <w:rFonts w:eastAsia="Times New Roman"/>
        </w:rPr>
        <w:t xml:space="preserve"> These MESA participants were chosen randomly from samples collected between April 2010 and February 2012 from MESA field centers in Baltimore, MD; Forsyth County, NC; New York, NY; and St Paul, MN. Participants range in age from 55 – 94 years old, are 51% female, and self identified as Caucasian (47%), African American (21%), or Hispanic (32%).</w:t>
      </w:r>
    </w:p>
    <w:p w14:paraId="3E0D3A26" w14:textId="4FB21F17" w:rsidR="007509DF" w:rsidRPr="00062A17" w:rsidRDefault="005C089A" w:rsidP="00A62D9B">
      <w:pPr>
        <w:spacing w:line="480" w:lineRule="auto"/>
        <w:ind w:firstLine="720"/>
        <w:rPr>
          <w:rFonts w:eastAsia="Times New Roman"/>
        </w:rPr>
      </w:pPr>
      <w:r w:rsidRPr="00062A17">
        <w:rPr>
          <w:rFonts w:eastAsia="Times New Roman"/>
        </w:rPr>
        <w:t>M</w:t>
      </w:r>
      <w:r w:rsidR="00D63B81" w:rsidRPr="00062A17">
        <w:rPr>
          <w:rFonts w:eastAsia="Times New Roman"/>
        </w:rPr>
        <w:t xml:space="preserve">onocytes were isolated </w:t>
      </w:r>
      <w:r w:rsidRPr="00062A17">
        <w:rPr>
          <w:rFonts w:eastAsia="Times New Roman"/>
        </w:rPr>
        <w:t xml:space="preserve">from PBMCs </w:t>
      </w:r>
      <w:r w:rsidR="00D63B81" w:rsidRPr="00062A17">
        <w:rPr>
          <w:rFonts w:eastAsia="Times New Roman"/>
        </w:rPr>
        <w:t xml:space="preserve">with anti-CD14 coated magnetic beads. DNA and RNA were isolated from </w:t>
      </w:r>
      <w:r w:rsidRPr="00062A17">
        <w:rPr>
          <w:rFonts w:eastAsia="Times New Roman"/>
        </w:rPr>
        <w:t xml:space="preserve">monocyte </w:t>
      </w:r>
      <w:r w:rsidR="00D63B81" w:rsidRPr="00062A17">
        <w:rPr>
          <w:rFonts w:eastAsia="Times New Roman"/>
        </w:rPr>
        <w:t>samples simultaneously</w:t>
      </w:r>
      <w:r w:rsidR="0070255D" w:rsidRPr="00062A17">
        <w:rPr>
          <w:rFonts w:eastAsia="Times New Roman"/>
        </w:rPr>
        <w:t>.</w:t>
      </w:r>
      <w:r w:rsidR="00D63B81" w:rsidRPr="00062A17">
        <w:rPr>
          <w:rFonts w:eastAsia="Times New Roman"/>
        </w:rPr>
        <w:t xml:space="preserve"> </w:t>
      </w:r>
      <w:r w:rsidR="0070255D" w:rsidRPr="00062A17">
        <w:rPr>
          <w:rFonts w:eastAsia="Times New Roman"/>
        </w:rPr>
        <w:t xml:space="preserve">DNA and RNA purity were assessed </w:t>
      </w:r>
      <w:proofErr w:type="spellStart"/>
      <w:r w:rsidR="0070255D" w:rsidRPr="00062A17">
        <w:rPr>
          <w:rFonts w:eastAsia="Times New Roman"/>
        </w:rPr>
        <w:t>spectrophotometrically</w:t>
      </w:r>
      <w:proofErr w:type="spellEnd"/>
      <w:r w:rsidR="0070255D" w:rsidRPr="00062A17">
        <w:rPr>
          <w:rFonts w:eastAsia="Times New Roman"/>
        </w:rPr>
        <w:t xml:space="preserve"> and </w:t>
      </w:r>
      <w:r w:rsidR="00D63B81" w:rsidRPr="00062A17">
        <w:rPr>
          <w:rFonts w:eastAsia="Times New Roman"/>
        </w:rPr>
        <w:t xml:space="preserve">RNA QC testing was performed using the Agilent 2100 </w:t>
      </w:r>
      <w:proofErr w:type="spellStart"/>
      <w:r w:rsidR="0070255D" w:rsidRPr="00062A17">
        <w:rPr>
          <w:rFonts w:eastAsia="Times New Roman"/>
        </w:rPr>
        <w:t>Bioanalyzer</w:t>
      </w:r>
      <w:proofErr w:type="spellEnd"/>
      <w:r w:rsidR="0070255D" w:rsidRPr="00062A17">
        <w:rPr>
          <w:rFonts w:eastAsia="Times New Roman"/>
        </w:rPr>
        <w:t xml:space="preserve"> </w:t>
      </w:r>
      <w:r w:rsidR="00D63B81" w:rsidRPr="00062A17">
        <w:rPr>
          <w:rFonts w:eastAsia="Times New Roman"/>
        </w:rPr>
        <w:t xml:space="preserve">with RNA 6000 Nano chips (Agilent </w:t>
      </w:r>
      <w:proofErr w:type="spellStart"/>
      <w:r w:rsidR="00D63B81" w:rsidRPr="00062A17">
        <w:rPr>
          <w:rFonts w:eastAsia="Times New Roman"/>
        </w:rPr>
        <w:t>Techonology</w:t>
      </w:r>
      <w:proofErr w:type="spellEnd"/>
      <w:r w:rsidR="00D63B81" w:rsidRPr="00062A17">
        <w:rPr>
          <w:rFonts w:eastAsia="Times New Roman"/>
        </w:rPr>
        <w:t xml:space="preserve">, Inc., Santa Clara, CA) according to the manufacturer’s instructions. </w:t>
      </w:r>
      <w:r w:rsidR="0070255D" w:rsidRPr="00062A17">
        <w:rPr>
          <w:rFonts w:eastAsia="Times New Roman"/>
        </w:rPr>
        <w:t xml:space="preserve">Samples with </w:t>
      </w:r>
      <w:r w:rsidR="00D63B81" w:rsidRPr="00062A17">
        <w:rPr>
          <w:rFonts w:eastAsia="Times New Roman"/>
        </w:rPr>
        <w:t xml:space="preserve">RIN (RNA Integrity) scores &gt; 9.0 were </w:t>
      </w:r>
      <w:r w:rsidR="0070255D" w:rsidRPr="00062A17">
        <w:rPr>
          <w:rFonts w:eastAsia="Times New Roman"/>
        </w:rPr>
        <w:t>applied to</w:t>
      </w:r>
      <w:r w:rsidR="00D63B81" w:rsidRPr="00062A17">
        <w:rPr>
          <w:rFonts w:eastAsia="Times New Roman"/>
        </w:rPr>
        <w:t xml:space="preserve"> global gene expression microarrays. </w:t>
      </w:r>
    </w:p>
    <w:p w14:paraId="71117108" w14:textId="1929D66C" w:rsidR="00D63B81" w:rsidRPr="00062A17" w:rsidRDefault="0070255D" w:rsidP="00A62D9B">
      <w:pPr>
        <w:spacing w:line="480" w:lineRule="auto"/>
        <w:ind w:firstLine="720"/>
        <w:rPr>
          <w:rFonts w:eastAsia="Times New Roman"/>
        </w:rPr>
      </w:pPr>
      <w:r w:rsidRPr="00062A17">
        <w:rPr>
          <w:rFonts w:eastAsia="Times New Roman"/>
        </w:rPr>
        <w:t>Genome-wide expression analysis was performed via t</w:t>
      </w:r>
      <w:r w:rsidR="00D63B81" w:rsidRPr="00062A17">
        <w:rPr>
          <w:rFonts w:eastAsia="Times New Roman"/>
        </w:rPr>
        <w:t xml:space="preserve">he Illumina HumanHT-12 v4 Expression BeadChip and the Illumina Bead Array Reader, following the Illumina expression protocol. </w:t>
      </w:r>
      <w:r w:rsidRPr="00062A17">
        <w:rPr>
          <w:rFonts w:eastAsia="Times New Roman"/>
        </w:rPr>
        <w:t>RNA was reverse transcribed and amplified with t</w:t>
      </w:r>
      <w:r w:rsidR="00D63B81" w:rsidRPr="00062A17">
        <w:rPr>
          <w:rFonts w:eastAsia="Times New Roman"/>
        </w:rPr>
        <w:t>he Illumina TotalPrep-96 RNA Amplification Kit (</w:t>
      </w:r>
      <w:proofErr w:type="spellStart"/>
      <w:r w:rsidR="00D63B81" w:rsidRPr="00062A17">
        <w:rPr>
          <w:rFonts w:eastAsia="Times New Roman"/>
        </w:rPr>
        <w:t>Ambion</w:t>
      </w:r>
      <w:proofErr w:type="spellEnd"/>
      <w:r w:rsidR="00D63B81" w:rsidRPr="00062A17">
        <w:rPr>
          <w:rFonts w:eastAsia="Times New Roman"/>
        </w:rPr>
        <w:t xml:space="preserve">/Applied </w:t>
      </w:r>
      <w:proofErr w:type="spellStart"/>
      <w:r w:rsidR="00D63B81" w:rsidRPr="00062A17">
        <w:rPr>
          <w:rFonts w:eastAsia="Times New Roman"/>
        </w:rPr>
        <w:t>Biosystems</w:t>
      </w:r>
      <w:proofErr w:type="spellEnd"/>
      <w:r w:rsidR="00D63B81" w:rsidRPr="00062A17">
        <w:rPr>
          <w:rFonts w:eastAsia="Times New Roman"/>
        </w:rPr>
        <w:t xml:space="preserve">, Darmstadt, Germany). </w:t>
      </w:r>
      <w:r w:rsidRPr="00062A17">
        <w:rPr>
          <w:rFonts w:eastAsia="Times New Roman"/>
        </w:rPr>
        <w:t xml:space="preserve">The resulting </w:t>
      </w:r>
      <w:proofErr w:type="spellStart"/>
      <w:r w:rsidR="00D63B81" w:rsidRPr="00062A17">
        <w:rPr>
          <w:rFonts w:eastAsia="Times New Roman"/>
        </w:rPr>
        <w:t>cRNA</w:t>
      </w:r>
      <w:proofErr w:type="spellEnd"/>
      <w:r w:rsidR="00D63B81" w:rsidRPr="00062A17">
        <w:rPr>
          <w:rFonts w:eastAsia="Times New Roman"/>
        </w:rPr>
        <w:t xml:space="preserve"> was hybridized to a BeadChip</w:t>
      </w:r>
      <w:r w:rsidRPr="00062A17">
        <w:rPr>
          <w:rFonts w:eastAsia="Times New Roman"/>
        </w:rPr>
        <w:t xml:space="preserve"> (CITATION).</w:t>
      </w:r>
    </w:p>
    <w:p w14:paraId="452A3758" w14:textId="18A0D87A" w:rsidR="00D63B81" w:rsidRPr="00062A17" w:rsidRDefault="00D63B81" w:rsidP="00A62D9B">
      <w:pPr>
        <w:pStyle w:val="ListParagraph"/>
        <w:spacing w:line="480" w:lineRule="auto"/>
        <w:ind w:left="0" w:firstLine="720"/>
        <w:rPr>
          <w:rFonts w:eastAsia="Times New Roman"/>
        </w:rPr>
      </w:pPr>
      <w:r w:rsidRPr="00062A17">
        <w:rPr>
          <w:rFonts w:eastAsia="Times New Roman"/>
        </w:rPr>
        <w:t xml:space="preserve"> Expression data </w:t>
      </w:r>
      <w:r w:rsidR="00F20FDC" w:rsidRPr="00062A17">
        <w:rPr>
          <w:rFonts w:eastAsia="Times New Roman"/>
        </w:rPr>
        <w:t xml:space="preserve">were </w:t>
      </w:r>
      <w:r w:rsidRPr="00062A17">
        <w:rPr>
          <w:rFonts w:eastAsia="Times New Roman"/>
        </w:rPr>
        <w:t xml:space="preserve">corrected for local background </w:t>
      </w:r>
      <w:r w:rsidR="00F20FDC" w:rsidRPr="00062A17">
        <w:rPr>
          <w:rFonts w:eastAsia="Times New Roman"/>
        </w:rPr>
        <w:t>in</w:t>
      </w:r>
      <w:r w:rsidRPr="00062A17">
        <w:rPr>
          <w:rFonts w:eastAsia="Times New Roman"/>
        </w:rPr>
        <w:t xml:space="preserve"> Illumina’s proprietary software </w:t>
      </w:r>
      <w:proofErr w:type="spellStart"/>
      <w:r w:rsidRPr="00062A17">
        <w:rPr>
          <w:rFonts w:eastAsia="Times New Roman"/>
        </w:rPr>
        <w:t>GenomeStudio</w:t>
      </w:r>
      <w:proofErr w:type="spellEnd"/>
      <w:r w:rsidR="00F20FDC" w:rsidRPr="00062A17">
        <w:rPr>
          <w:rFonts w:eastAsia="Times New Roman"/>
        </w:rPr>
        <w:t xml:space="preserve"> and negative controls were used to compute d</w:t>
      </w:r>
      <w:r w:rsidRPr="00062A17">
        <w:rPr>
          <w:rFonts w:eastAsia="Times New Roman"/>
        </w:rPr>
        <w:t>etection P-values. Normal-exponential convolution model analysis was used to estimate non-negative signal. All probes and samples were quantile normalized, offset and log</w:t>
      </w:r>
      <w:r w:rsidRPr="00062A17">
        <w:rPr>
          <w:rFonts w:eastAsia="Times New Roman"/>
          <w:vertAlign w:val="subscript"/>
        </w:rPr>
        <w:t>2</w:t>
      </w:r>
      <w:r w:rsidRPr="00062A17">
        <w:rPr>
          <w:rFonts w:eastAsia="Times New Roman"/>
        </w:rPr>
        <w:t xml:space="preserve"> transformed </w:t>
      </w:r>
      <w:r w:rsidRPr="00062A17">
        <w:rPr>
          <w:rFonts w:eastAsia="Times New Roman"/>
        </w:rPr>
        <w:fldChar w:fldCharType="begin"/>
      </w:r>
      <w:r w:rsidR="00111FEB" w:rsidRPr="00062A17">
        <w:rPr>
          <w:rFonts w:eastAsia="Times New Roman"/>
        </w:rPr>
        <w:instrText xml:space="preserve"> ADDIN ZOTERO_ITEM CSL_CITATION {"citationID":"2a68rmidjb","properties":{"formattedCitation":"[3]","plainCitation":"[3]"},"citationItems":[{"id":492,"uris":["http://zotero.org/users/1026282/items/WP6VDM75"],"uri":["http://zotero.org/users/1026282/items/WP6VDM75"],"itemData":{"id":492,"type":"article-journal","title":"Methylomics of gene expression in human monocytes","container-title":"Human Molecular Genetics","page":"ddt356","source":"hmg.oxfordjournals.org","abstract":"DNA methylation is one of several epigenetic mechanisms that contribute to the regulation of gene expression; however, the extent to which methylation of CpG dinucleotides correlates with gene expression at the genome-wide level is still largely unknown. Using purified primary monocytes from subjects in a large community-based cohort (n = 1264), we characterized methylation (&gt;485 000 CpG sites) and mRNA expression (&gt;48K transcripts) and carried out genome-wide association analyses of 8370 expression phenotypes. We identified 11 203 potential cis-acting CpG loci whose degree of methylation was associated with gene expression (eMS) at a false discovery rate threshold of 0.001. Most of the associations were consistent in effect size and direction of effect across sex and three ethnicities. Contrary to expectation, these eMS were not predominately enriched in promoter regions, or CpG islands, but rather in the 3′ UTR, gene bodies, CpG shores or ‘offshore’ sites, and both positive and negative correlations between methylation and expression were observed across all locations. eMS were enriched for regions predicted to be regulatory by ENCODE (Encyclopedia of DNA Elements) data in multiple cell types, particularly enhancers. One of the strongest association signals detected (P &lt; 2.2 × 10−308) was a methylation probe (cg17005068) in the promoter/enhancer region of the glutathione S-transferase theta 1 gene (GSTT1, encoding the detoxification enzyme) with GSTT1 mRNA expression. Our study provides a detailed description of the epigenetic architecture in human monocytes and its relationship to gene expression. These data may help prioritize interrogation of biologically relevant methylation loci and provide new insights into the epigenetic basis of human health and diseases.","DOI":"10.1093/hmg/ddt356","ISSN":"0964-6906, 1460-2083","note":"PMID: 23900078","journalAbbreviation":"Hum. Mol. Genet.","language":"en","author":[{"family":"Liu","given":"Yongmei"},{"family":"Ding","given":"Jingzhong"},{"family":"Reynolds","given":"Lindsay M."},{"family":"Lohman","given":"Kurt"},{"family":"Register","given":"Thomas C."},{"family":"Fuente","given":"Alberto De La"},{"family":"Howard","given":"Timothy D."},{"family":"Hawkins","given":"Greg A."},{"family":"Cui","given":"Wei"},{"family":"Morris","given":"Jessica"},{"family":"Smith","given":"Shelly G."},{"family":"Barr","given":"R. Graham"},{"family":"Kaufman","given":"Joel D."},{"family":"Burke","given":"Gregory L."},{"family":"Post","given":"Wendy"},{"family":"Shea","given":"Steven"},{"family":"Mccall","given":"Charles E."},{"family":"Siscovick","given":"David"},{"family":"Jacobs","given":"David R."},{"family":"Tracy","given":"Russell P."},{"family":"Herrington","given":"David M."},{"family":"Hoeschele","given":"Ina"}],"issued":{"date-parts":[["2013",7,29]]}}}],"schema":"https://github.com/citation-style-language/schema/raw/master/csl-citation.json"} </w:instrText>
      </w:r>
      <w:r w:rsidRPr="00062A17">
        <w:rPr>
          <w:rFonts w:eastAsia="Times New Roman"/>
        </w:rPr>
        <w:fldChar w:fldCharType="separate"/>
      </w:r>
      <w:r w:rsidR="00111FEB" w:rsidRPr="00062A17">
        <w:rPr>
          <w:rFonts w:eastAsia="Times New Roman"/>
          <w:noProof/>
        </w:rPr>
        <w:t>[3]</w:t>
      </w:r>
      <w:r w:rsidRPr="00062A17">
        <w:rPr>
          <w:rFonts w:eastAsia="Times New Roman"/>
        </w:rPr>
        <w:fldChar w:fldCharType="end"/>
      </w:r>
      <w:r w:rsidRPr="00062A17">
        <w:rPr>
          <w:rFonts w:eastAsia="Times New Roman"/>
        </w:rPr>
        <w:t>. Expression probes with detection p-values &gt;0.01 in at least 5% of samples were removed.</w:t>
      </w:r>
    </w:p>
    <w:p w14:paraId="6EA7CD64" w14:textId="55905527" w:rsidR="00CD667B" w:rsidRPr="00062A17" w:rsidRDefault="00BD5839" w:rsidP="00CB5AD3">
      <w:pPr>
        <w:spacing w:line="480" w:lineRule="auto"/>
        <w:ind w:firstLine="540"/>
      </w:pPr>
      <w:r w:rsidRPr="00062A17">
        <w:rPr>
          <w:rFonts w:eastAsia="Times New Roman"/>
        </w:rPr>
        <w:lastRenderedPageBreak/>
        <w:t>Bead-level methylation data were sum</w:t>
      </w:r>
      <w:r w:rsidR="0071187B" w:rsidRPr="00062A17">
        <w:rPr>
          <w:rFonts w:eastAsia="Times New Roman"/>
        </w:rPr>
        <w:t xml:space="preserve">marized in and collected from </w:t>
      </w:r>
      <w:proofErr w:type="spellStart"/>
      <w:r w:rsidR="0071187B" w:rsidRPr="00062A17">
        <w:rPr>
          <w:rFonts w:eastAsia="Times New Roman"/>
        </w:rPr>
        <w:t>Ge</w:t>
      </w:r>
      <w:r w:rsidRPr="00062A17">
        <w:rPr>
          <w:rFonts w:eastAsia="Times New Roman"/>
        </w:rPr>
        <w:t>nomeStudio</w:t>
      </w:r>
      <w:proofErr w:type="spellEnd"/>
      <w:r w:rsidRPr="00062A17">
        <w:rPr>
          <w:rFonts w:eastAsia="Times New Roman"/>
        </w:rPr>
        <w:t xml:space="preserve">. </w:t>
      </w:r>
      <w:r w:rsidR="00D63B81" w:rsidRPr="00062A17">
        <w:rPr>
          <w:rFonts w:eastAsia="Times New Roman"/>
        </w:rPr>
        <w:t xml:space="preserve">Methylation data were </w:t>
      </w:r>
      <w:r w:rsidR="00F20FDC" w:rsidRPr="00062A17">
        <w:rPr>
          <w:rFonts w:eastAsia="Times New Roman"/>
        </w:rPr>
        <w:t xml:space="preserve">smooth quantile normalization (to adjust for color bias) </w:t>
      </w:r>
      <w:r w:rsidR="00D63B81" w:rsidRPr="00062A17">
        <w:rPr>
          <w:rFonts w:eastAsia="Times New Roman"/>
        </w:rPr>
        <w:t>normalized</w:t>
      </w:r>
      <w:r w:rsidR="00F20FDC" w:rsidRPr="00062A17">
        <w:rPr>
          <w:rFonts w:eastAsia="Times New Roman"/>
        </w:rPr>
        <w:t>,</w:t>
      </w:r>
      <w:r w:rsidR="00D63B81" w:rsidRPr="00062A17">
        <w:rPr>
          <w:rFonts w:eastAsia="Times New Roman"/>
        </w:rPr>
        <w:t xml:space="preserve"> </w:t>
      </w:r>
      <w:r w:rsidR="00F20FDC" w:rsidRPr="00062A17">
        <w:rPr>
          <w:rFonts w:eastAsia="Times New Roman"/>
        </w:rPr>
        <w:t xml:space="preserve">background corrected (by subtracting the median intensity of the negative control probes), and quantile normalized across all samples </w:t>
      </w:r>
      <w:r w:rsidRPr="00062A17">
        <w:rPr>
          <w:rFonts w:eastAsia="Times New Roman"/>
        </w:rPr>
        <w:t xml:space="preserve">with the R package, </w:t>
      </w:r>
      <w:proofErr w:type="spellStart"/>
      <w:r w:rsidRPr="00062A17">
        <w:rPr>
          <w:rFonts w:eastAsia="Times New Roman"/>
        </w:rPr>
        <w:t>lumi</w:t>
      </w:r>
      <w:proofErr w:type="spellEnd"/>
      <w:r w:rsidRPr="00062A17">
        <w:rPr>
          <w:rFonts w:eastAsia="Times New Roman"/>
        </w:rPr>
        <w:t xml:space="preserve">. </w:t>
      </w:r>
      <w:r w:rsidR="00D63B81" w:rsidRPr="00062A17">
        <w:rPr>
          <w:rFonts w:eastAsia="Times New Roman"/>
        </w:rPr>
        <w:fldChar w:fldCharType="begin"/>
      </w:r>
      <w:r w:rsidR="00111FEB" w:rsidRPr="00062A17">
        <w:rPr>
          <w:rFonts w:eastAsia="Times New Roman"/>
        </w:rPr>
        <w:instrText xml:space="preserve"> ADDIN ZOTERO_ITEM CSL_CITATION {"citationID":"oe8kv2h6h","properties":{"formattedCitation":"[3]","plainCitation":"[3]"},"citationItems":[{"id":492,"uris":["http://zotero.org/users/1026282/items/WP6VDM75"],"uri":["http://zotero.org/users/1026282/items/WP6VDM75"],"itemData":{"id":492,"type":"article-journal","title":"Methylomics of gene expression in human monocytes","container-title":"Human Molecular Genetics","page":"ddt356","source":"hmg.oxfordjournals.org","abstract":"DNA methylation is one of several epigenetic mechanisms that contribute to the regulation of gene expression; however, the extent to which methylation of CpG dinucleotides correlates with gene expression at the genome-wide level is still largely unknown. Using purified primary monocytes from subjects in a large community-based cohort (n = 1264), we characterized methylation (&gt;485 000 CpG sites) and mRNA expression (&gt;48K transcripts) and carried out genome-wide association analyses of 8370 expression phenotypes. We identified 11 203 potential cis-acting CpG loci whose degree of methylation was associated with gene expression (eMS) at a false discovery rate threshold of 0.001. Most of the associations were consistent in effect size and direction of effect across sex and three ethnicities. Contrary to expectation, these eMS were not predominately enriched in promoter regions, or CpG islands, but rather in the 3′ UTR, gene bodies, CpG shores or ‘offshore’ sites, and both positive and negative correlations between methylation and expression were observed across all locations. eMS were enriched for regions predicted to be regulatory by ENCODE (Encyclopedia of DNA Elements) data in multiple cell types, particularly enhancers. One of the strongest association signals detected (P &lt; 2.2 × 10−308) was a methylation probe (cg17005068) in the promoter/enhancer region of the glutathione S-transferase theta 1 gene (GSTT1, encoding the detoxification enzyme) with GSTT1 mRNA expression. Our study provides a detailed description of the epigenetic architecture in human monocytes and its relationship to gene expression. These data may help prioritize interrogation of biologically relevant methylation loci and provide new insights into the epigenetic basis of human health and diseases.","DOI":"10.1093/hmg/ddt356","ISSN":"0964-6906, 1460-2083","note":"PMID: 23900078","journalAbbreviation":"Hum. Mol. Genet.","language":"en","author":[{"family":"Liu","given":"Yongmei"},{"family":"Ding","given":"Jingzhong"},{"family":"Reynolds","given":"Lindsay M."},{"family":"Lohman","given":"Kurt"},{"family":"Register","given":"Thomas C."},{"family":"Fuente","given":"Alberto De La"},{"family":"Howard","given":"Timothy D."},{"family":"Hawkins","given":"Greg A."},{"family":"Cui","given":"Wei"},{"family":"Morris","given":"Jessica"},{"family":"Smith","given":"Shelly G."},{"family":"Barr","given":"R. Graham"},{"family":"Kaufman","given":"Joel D."},{"family":"Burke","given":"Gregory L."},{"family":"Post","given":"Wendy"},{"family":"Shea","given":"Steven"},{"family":"Mccall","given":"Charles E."},{"family":"Siscovick","given":"David"},{"family":"Jacobs","given":"David R."},{"family":"Tracy","given":"Russell P."},{"family":"Herrington","given":"David M."},{"family":"Hoeschele","given":"Ina"}],"issued":{"date-parts":[["2013",7,29]]}}}],"schema":"https://github.com/citation-style-language/schema/raw/master/csl-citation.json"} </w:instrText>
      </w:r>
      <w:r w:rsidR="00D63B81" w:rsidRPr="00062A17">
        <w:rPr>
          <w:rFonts w:eastAsia="Times New Roman"/>
        </w:rPr>
        <w:fldChar w:fldCharType="separate"/>
      </w:r>
      <w:r w:rsidR="00111FEB" w:rsidRPr="00062A17">
        <w:rPr>
          <w:rFonts w:eastAsia="Times New Roman"/>
          <w:noProof/>
        </w:rPr>
        <w:t>[3]</w:t>
      </w:r>
      <w:r w:rsidR="00D63B81" w:rsidRPr="00062A17">
        <w:rPr>
          <w:rFonts w:eastAsia="Times New Roman"/>
        </w:rPr>
        <w:fldChar w:fldCharType="end"/>
      </w:r>
      <w:r w:rsidR="00D63B81" w:rsidRPr="00062A17">
        <w:rPr>
          <w:rFonts w:eastAsia="Times New Roman"/>
        </w:rPr>
        <w:t>.</w:t>
      </w:r>
      <w:r w:rsidRPr="00062A17">
        <w:t xml:space="preserve"> The final methylation value for each methylation probe was computed as the </w:t>
      </w:r>
      <w:r w:rsidR="005773EB" w:rsidRPr="00062A17">
        <w:rPr>
          <w:rStyle w:val="Emphasis"/>
        </w:rPr>
        <w:t>M</w:t>
      </w:r>
      <w:r w:rsidRPr="00062A17">
        <w:t>-value</w:t>
      </w:r>
      <w:r w:rsidR="005773EB" w:rsidRPr="00062A17">
        <w:t xml:space="preserve"> [</w:t>
      </w:r>
      <w:r w:rsidR="005773EB" w:rsidRPr="00062A17">
        <w:rPr>
          <w:rStyle w:val="Emphasis"/>
        </w:rPr>
        <w:t>M</w:t>
      </w:r>
      <w:r w:rsidR="005773EB" w:rsidRPr="00062A17">
        <w:t xml:space="preserve"> is </w:t>
      </w:r>
      <w:proofErr w:type="gramStart"/>
      <w:r w:rsidR="005773EB" w:rsidRPr="00062A17">
        <w:t>logit(</w:t>
      </w:r>
      <w:proofErr w:type="gramEnd"/>
      <w:r w:rsidR="005773EB" w:rsidRPr="00062A17">
        <w:t>beta-value)]</w:t>
      </w:r>
      <w:r w:rsidRPr="00062A17">
        <w:t>.</w:t>
      </w:r>
      <w:r w:rsidR="005773EB" w:rsidRPr="00062A17">
        <w:t xml:space="preserve"> We collected these values from GEO, transformed the </w:t>
      </w:r>
      <w:r w:rsidR="005773EB" w:rsidRPr="00062A17">
        <w:rPr>
          <w:i/>
        </w:rPr>
        <w:t>M</w:t>
      </w:r>
      <w:r w:rsidR="005773EB" w:rsidRPr="00062A17">
        <w:t xml:space="preserve">-values to β-values and performed additional QC (concerning </w:t>
      </w:r>
      <w:proofErr w:type="spellStart"/>
      <w:r w:rsidR="005773EB" w:rsidRPr="00062A17">
        <w:t>missingness</w:t>
      </w:r>
      <w:proofErr w:type="spellEnd"/>
      <w:r w:rsidR="005773EB" w:rsidRPr="00062A17">
        <w:t xml:space="preserve"> and low signal intensity; as in the GTP methylation data).</w:t>
      </w:r>
      <w:r w:rsidRPr="00062A17">
        <w:t xml:space="preserve"> </w:t>
      </w:r>
    </w:p>
    <w:p w14:paraId="367F5F21" w14:textId="58866304" w:rsidR="009D7F87" w:rsidRPr="00062A17" w:rsidRDefault="009D7F87" w:rsidP="00A62D9B">
      <w:pPr>
        <w:spacing w:line="480" w:lineRule="auto"/>
        <w:rPr>
          <w:rFonts w:eastAsia="Times New Roman"/>
        </w:rPr>
      </w:pPr>
      <w:r w:rsidRPr="00062A17">
        <w:rPr>
          <w:rFonts w:eastAsia="Times New Roman"/>
          <w:b/>
        </w:rPr>
        <w:t>Transcript Annotation.</w:t>
      </w:r>
      <w:r w:rsidRPr="00062A17">
        <w:rPr>
          <w:rFonts w:eastAsia="Times New Roman"/>
        </w:rPr>
        <w:t xml:space="preserve"> The Illumina HT12 probe locations were provided a re-annotation of the array (Bioconductor packages illuminaHumanv3.db and illuminaHumanv4.db</w:t>
      </w:r>
      <w:r w:rsidRPr="00062A17">
        <w:rPr>
          <w:rFonts w:eastAsia="Times New Roman"/>
        </w:rPr>
        <w:fldChar w:fldCharType="begin"/>
      </w:r>
      <w:r w:rsidR="00111FEB" w:rsidRPr="00062A17">
        <w:rPr>
          <w:rFonts w:eastAsia="Times New Roman"/>
        </w:rPr>
        <w:instrText xml:space="preserve"> ADDIN ZOTERO_ITEM CSL_CITATION {"citationID":"au259v72c","properties":{"formattedCitation":"(Barbosa-Morais et al., 2010)","plainCitation":"(Barbosa-Morais et al., 2010)","dontUpdate":true},"citationItems":[{"id":1617,"uris":["http://zotero.org/users/1026282/items/U99NK83U"],"uri":["http://zotero.org/users/1026282/items/U99NK83U"],"itemData":{"id":1617,"type":"article-journal","title":"A re-annotation pipeline for Illumina BeadArrays: improving the interpretation of gene expression data","container-title":"Nucleic Acids Research","page":"e17-e17","volume":"38","issue":"3","source":"nar.oxfordjournals.org","abstract":"Illumina BeadArrays are among the most popular and reliable platforms for gene expression profiling. However, little external scrutiny has been given to the design, selection and annotation of BeadArray probes, which is a fundamental issue in data quality and interpretation. Here we present a pipeline for the complete genomic and transcriptomic re-annotation of Illumina probe sequences, also applicable to other platforms, with its output available through a Web interface and incorporated into Bioconductor packages. We have identified several problems with the design of individual probes and we show the benefits of probe re-annotation on the analysis of BeadArray gene expression data sets. We discuss the importance of aspects such as probe coverage of individual transcripts, alternative messenger RNA splicing, single-nucleotide polymorphisms, repeat sequences, RNA degradation biases and probes targeting genomic regions with no known transcription. We conclude that many of the Illumina probes have unreliable original annotation and that our re-annotation allows analyses to focus on the good quality probes, which form the majority, and also to expand the scope of biological information that can be extracted.","DOI":"10.1093/nar/gkp942","ISSN":"0305-1048, 1362-4962","note":"PMID: 19923232","shortTitle":"A re-annotation pipeline for Illumina BeadArrays","journalAbbreviation":"Nucl. Acids Res.","language":"en","author":[{"family":"Barbosa-Morais","given":"Nuno L."},{"family":"Dunning","given":"Mark J."},{"family":"Samarajiwa","given":"Shamith A."},{"family":"Darot","given":"Jeremy F. J."},{"family":"Ritchie","given":"Matthew E."},{"family":"Lynch","given":"Andy G."},{"family":"Tavaré","given":"Simon"}],"issued":{"date-parts":[["2010",1,1]]}}}],"schema":"https://github.com/citation-style-language/schema/raw/master/csl-citation.json"} </w:instrText>
      </w:r>
      <w:r w:rsidRPr="00062A17">
        <w:rPr>
          <w:rFonts w:eastAsia="Times New Roman"/>
        </w:rPr>
        <w:fldChar w:fldCharType="separate"/>
      </w:r>
      <w:r w:rsidRPr="00062A17">
        <w:rPr>
          <w:rFonts w:eastAsia="Times New Roman"/>
          <w:noProof/>
        </w:rPr>
        <w:t>; Barbosa-Morais et al., 2010)</w:t>
      </w:r>
      <w:r w:rsidRPr="00062A17">
        <w:rPr>
          <w:rFonts w:eastAsia="Times New Roman"/>
        </w:rPr>
        <w:fldChar w:fldCharType="end"/>
      </w:r>
      <w:r w:rsidRPr="00062A17">
        <w:rPr>
          <w:rFonts w:eastAsia="Times New Roman"/>
        </w:rPr>
        <w:t xml:space="preserve">. </w:t>
      </w:r>
      <w:r w:rsidR="0019063E" w:rsidRPr="00062A17">
        <w:rPr>
          <w:rFonts w:eastAsia="Times New Roman"/>
        </w:rPr>
        <w:t xml:space="preserve">Probes annotated as “bad” or “’no match” were removed from analysis. </w:t>
      </w:r>
      <w:r w:rsidR="00543EBF" w:rsidRPr="00062A17">
        <w:rPr>
          <w:rFonts w:eastAsia="Times New Roman"/>
        </w:rPr>
        <w:t>E</w:t>
      </w:r>
      <w:r w:rsidR="0019063E" w:rsidRPr="00062A17">
        <w:rPr>
          <w:rFonts w:eastAsia="Times New Roman"/>
        </w:rPr>
        <w:t>ach probe</w:t>
      </w:r>
      <w:r w:rsidR="00543EBF" w:rsidRPr="00062A17">
        <w:rPr>
          <w:rFonts w:eastAsia="Times New Roman"/>
        </w:rPr>
        <w:t xml:space="preserve"> was assigned multiple</w:t>
      </w:r>
      <w:r w:rsidR="0019063E" w:rsidRPr="00062A17">
        <w:rPr>
          <w:rFonts w:eastAsia="Times New Roman"/>
        </w:rPr>
        <w:t xml:space="preserve"> </w:t>
      </w:r>
      <w:r w:rsidR="00E62C4A" w:rsidRPr="00062A17">
        <w:rPr>
          <w:rFonts w:eastAsia="Times New Roman"/>
        </w:rPr>
        <w:t xml:space="preserve">genomic </w:t>
      </w:r>
      <w:r w:rsidR="0019063E" w:rsidRPr="00062A17">
        <w:rPr>
          <w:rFonts w:eastAsia="Times New Roman"/>
        </w:rPr>
        <w:t>locations</w:t>
      </w:r>
      <w:r w:rsidR="00543EBF" w:rsidRPr="00062A17">
        <w:rPr>
          <w:rFonts w:eastAsia="Times New Roman"/>
        </w:rPr>
        <w:t>, based on the</w:t>
      </w:r>
      <w:r w:rsidR="0019063E" w:rsidRPr="00062A17">
        <w:rPr>
          <w:rFonts w:eastAsia="Times New Roman"/>
        </w:rPr>
        <w:t xml:space="preserve"> “</w:t>
      </w:r>
      <w:proofErr w:type="spellStart"/>
      <w:r w:rsidR="0019063E" w:rsidRPr="00062A17">
        <w:rPr>
          <w:rFonts w:eastAsia="Times New Roman"/>
        </w:rPr>
        <w:t>GenomicLocation</w:t>
      </w:r>
      <w:proofErr w:type="spellEnd"/>
      <w:r w:rsidR="0019063E" w:rsidRPr="00062A17">
        <w:rPr>
          <w:rFonts w:eastAsia="Times New Roman"/>
        </w:rPr>
        <w:t>”, “</w:t>
      </w:r>
      <w:proofErr w:type="spellStart"/>
      <w:r w:rsidR="0019063E" w:rsidRPr="00062A17">
        <w:rPr>
          <w:rFonts w:eastAsia="Times New Roman"/>
        </w:rPr>
        <w:t>SecondMatches</w:t>
      </w:r>
      <w:proofErr w:type="spellEnd"/>
      <w:r w:rsidR="0019063E" w:rsidRPr="00062A17">
        <w:rPr>
          <w:rFonts w:eastAsia="Times New Roman"/>
        </w:rPr>
        <w:t xml:space="preserve">”, </w:t>
      </w:r>
      <w:r w:rsidR="00E62C4A" w:rsidRPr="00062A17">
        <w:rPr>
          <w:rFonts w:eastAsia="Times New Roman"/>
        </w:rPr>
        <w:t>and</w:t>
      </w:r>
      <w:r w:rsidR="0019063E" w:rsidRPr="00062A17">
        <w:rPr>
          <w:rFonts w:eastAsia="Times New Roman"/>
        </w:rPr>
        <w:t xml:space="preserve"> “</w:t>
      </w:r>
      <w:proofErr w:type="spellStart"/>
      <w:r w:rsidR="0019063E" w:rsidRPr="00062A17">
        <w:rPr>
          <w:rFonts w:eastAsia="Times New Roman"/>
        </w:rPr>
        <w:t>OtherGenomicMatches</w:t>
      </w:r>
      <w:proofErr w:type="spellEnd"/>
      <w:r w:rsidR="0019063E" w:rsidRPr="00062A17">
        <w:rPr>
          <w:rFonts w:eastAsia="Times New Roman"/>
        </w:rPr>
        <w:t>”</w:t>
      </w:r>
      <w:r w:rsidR="00E62C4A" w:rsidRPr="00062A17">
        <w:rPr>
          <w:rFonts w:eastAsia="Times New Roman"/>
        </w:rPr>
        <w:t xml:space="preserve"> </w:t>
      </w:r>
      <w:r w:rsidR="00543EBF" w:rsidRPr="00062A17">
        <w:rPr>
          <w:rFonts w:eastAsia="Times New Roman"/>
        </w:rPr>
        <w:t>listed in the re-annotation</w:t>
      </w:r>
      <w:r w:rsidR="0019063E" w:rsidRPr="00062A17">
        <w:rPr>
          <w:rFonts w:eastAsia="Times New Roman"/>
        </w:rPr>
        <w:t>.</w:t>
      </w:r>
      <w:r w:rsidR="00543EBF" w:rsidRPr="00062A17">
        <w:rPr>
          <w:rFonts w:eastAsia="Times New Roman"/>
        </w:rPr>
        <w:t xml:space="preserve"> </w:t>
      </w:r>
      <w:proofErr w:type="spellStart"/>
      <w:r w:rsidRPr="00062A17">
        <w:rPr>
          <w:rFonts w:eastAsia="Times New Roman"/>
        </w:rPr>
        <w:t>Refseq</w:t>
      </w:r>
      <w:proofErr w:type="spellEnd"/>
      <w:r w:rsidRPr="00062A17">
        <w:rPr>
          <w:rFonts w:eastAsia="Times New Roman"/>
        </w:rPr>
        <w:t xml:space="preserve"> and </w:t>
      </w:r>
      <w:proofErr w:type="spellStart"/>
      <w:r w:rsidRPr="00062A17">
        <w:rPr>
          <w:rFonts w:eastAsia="Times New Roman"/>
        </w:rPr>
        <w:t>Ensembl</w:t>
      </w:r>
      <w:proofErr w:type="spellEnd"/>
      <w:r w:rsidRPr="00062A17">
        <w:rPr>
          <w:rFonts w:eastAsia="Times New Roman"/>
        </w:rPr>
        <w:t xml:space="preserve"> transcript and exon intervals for the HG19 build were collected from the UCSC table browser. When exons for the same gene overlapped, the start and end </w:t>
      </w:r>
      <w:r w:rsidR="00443A88" w:rsidRPr="00062A17">
        <w:rPr>
          <w:rFonts w:eastAsia="Times New Roman"/>
        </w:rPr>
        <w:t xml:space="preserve">points yielding the largest interval </w:t>
      </w:r>
      <w:r w:rsidRPr="00062A17">
        <w:rPr>
          <w:rFonts w:eastAsia="Times New Roman"/>
        </w:rPr>
        <w:t>were taken to make a representative</w:t>
      </w:r>
      <w:r w:rsidR="00543EBF" w:rsidRPr="00062A17">
        <w:rPr>
          <w:rFonts w:eastAsia="Times New Roman"/>
        </w:rPr>
        <w:t xml:space="preserve"> or average</w:t>
      </w:r>
      <w:r w:rsidRPr="00062A17">
        <w:rPr>
          <w:rFonts w:eastAsia="Times New Roman"/>
        </w:rPr>
        <w:t xml:space="preserve"> exon. </w:t>
      </w:r>
      <w:proofErr w:type="spellStart"/>
      <w:r w:rsidR="00232A93" w:rsidRPr="00062A17">
        <w:rPr>
          <w:rFonts w:eastAsia="Times New Roman"/>
        </w:rPr>
        <w:t>Refseq</w:t>
      </w:r>
      <w:proofErr w:type="spellEnd"/>
      <w:r w:rsidR="00232A93" w:rsidRPr="00062A17">
        <w:rPr>
          <w:rFonts w:eastAsia="Times New Roman"/>
        </w:rPr>
        <w:t xml:space="preserve"> and </w:t>
      </w:r>
      <w:proofErr w:type="spellStart"/>
      <w:r w:rsidR="00232A93" w:rsidRPr="00062A17">
        <w:rPr>
          <w:rFonts w:eastAsia="Times New Roman"/>
        </w:rPr>
        <w:t>Ensembl</w:t>
      </w:r>
      <w:proofErr w:type="spellEnd"/>
      <w:r w:rsidR="00232A93" w:rsidRPr="00062A17">
        <w:rPr>
          <w:rFonts w:eastAsia="Times New Roman"/>
        </w:rPr>
        <w:t xml:space="preserve"> g</w:t>
      </w:r>
      <w:r w:rsidRPr="00062A17">
        <w:rPr>
          <w:rFonts w:eastAsia="Times New Roman"/>
        </w:rPr>
        <w:t xml:space="preserve">ene information was annotated to </w:t>
      </w:r>
      <w:r w:rsidR="00543EBF" w:rsidRPr="00062A17">
        <w:rPr>
          <w:rFonts w:eastAsia="Times New Roman"/>
        </w:rPr>
        <w:t>each</w:t>
      </w:r>
      <w:r w:rsidR="00232A93" w:rsidRPr="00062A17">
        <w:rPr>
          <w:rFonts w:eastAsia="Times New Roman"/>
        </w:rPr>
        <w:t xml:space="preserve"> expression</w:t>
      </w:r>
      <w:r w:rsidRPr="00062A17">
        <w:rPr>
          <w:rFonts w:eastAsia="Times New Roman"/>
        </w:rPr>
        <w:t xml:space="preserve"> probe ID (using R Bioconductor package </w:t>
      </w:r>
      <w:proofErr w:type="spellStart"/>
      <w:r w:rsidRPr="00062A17">
        <w:rPr>
          <w:rFonts w:eastAsia="Times New Roman"/>
        </w:rPr>
        <w:t>GenomicRanges</w:t>
      </w:r>
      <w:proofErr w:type="spellEnd"/>
      <w:r w:rsidR="00E80118" w:rsidRPr="00062A17">
        <w:rPr>
          <w:rFonts w:eastAsia="Times New Roman"/>
        </w:rPr>
        <w:t xml:space="preserve">; </w:t>
      </w:r>
      <w:r w:rsidR="00E80118" w:rsidRPr="00062A17">
        <w:rPr>
          <w:rFonts w:eastAsia="Times New Roman"/>
        </w:rPr>
        <w:fldChar w:fldCharType="begin"/>
      </w:r>
      <w:r w:rsidR="00111FEB" w:rsidRPr="00062A17">
        <w:rPr>
          <w:rFonts w:eastAsia="Times New Roman"/>
        </w:rPr>
        <w:instrText xml:space="preserve"> ADDIN ZOTERO_ITEM CSL_CITATION {"citationID":"2p87e3vasn","properties":{"formattedCitation":"[5]","plainCitation":"[5]"},"citationItems":[{"id":1375,"uris":["http://zotero.org/users/1026282/items/UZZJF23K"],"uri":["http://zotero.org/users/1026282/items/UZZJF23K"],"itemData":{"id":1375,"type":"article-journal","title":"Software for Computing and Annotating Genomic Ranges","container-title":"PLoS Comput Biol","page":"e1003118","volume":"9","issue":"8","source":"PLoS Journals","abstract":"We describe Bioconductor infrastructure for representing and computing on annotated genomic ranges and integrating genomic data with the statistical computing features of R and its extensions. At the core of the infrastructure are three packages: IRanges, GenomicRanges, and GenomicFeatures. These packages provide scalable data structures for representing annotated ranges on the genome, with special support for transcript structures, read alignments and coverage vectors. Computational facilities include efficient algorithms for overlap and nearest neighbor detection, coverage calculation and other range operations. This infrastructure directly supports more than 80 other Bioconductor packages, including those for sequence analysis, differential expression analysis and visualization.","DOI":"10.1371/journal.pcbi.1003118","note":"PMCID: PMC3738458\nPMID: 23950696","journalAbbreviation":"PLoS Comput Biol","author":[{"family":"Lawrence","given":"Michael"},{"family":"Huber","given":"Wolfgang"},{"family":"Pagès","given":"Hervé"},{"family":"Aboyoun","given":"Patrick"},{"family":"Carlson","given":"Marc"},{"family":"Gentleman","given":"Robert"},{"family":"Morgan","given":"Martin T."},{"family":"Carey","given":"Vincent J."}],"issued":{"date-parts":[["2013",8,8]]}}}],"schema":"https://github.com/citation-style-language/schema/raw/master/csl-citation.json"} </w:instrText>
      </w:r>
      <w:r w:rsidR="00E80118" w:rsidRPr="00062A17">
        <w:rPr>
          <w:rFonts w:eastAsia="Times New Roman"/>
        </w:rPr>
        <w:fldChar w:fldCharType="separate"/>
      </w:r>
      <w:r w:rsidR="00111FEB" w:rsidRPr="00062A17">
        <w:t>[5]</w:t>
      </w:r>
      <w:r w:rsidR="00E80118" w:rsidRPr="00062A17">
        <w:rPr>
          <w:rFonts w:eastAsia="Times New Roman"/>
        </w:rPr>
        <w:fldChar w:fldCharType="end"/>
      </w:r>
      <w:r w:rsidRPr="00062A17">
        <w:rPr>
          <w:rFonts w:eastAsia="Times New Roman"/>
        </w:rPr>
        <w:t xml:space="preserve"> if the probe interval overlapped the exon interval by more than 25 </w:t>
      </w:r>
      <w:proofErr w:type="spellStart"/>
      <w:r w:rsidRPr="00062A17">
        <w:rPr>
          <w:rFonts w:eastAsia="Times New Roman"/>
        </w:rPr>
        <w:t>bp.</w:t>
      </w:r>
      <w:proofErr w:type="spellEnd"/>
      <w:r w:rsidRPr="00062A17">
        <w:rPr>
          <w:rFonts w:eastAsia="Times New Roman"/>
        </w:rPr>
        <w:t xml:space="preserve"> Where more than one gene exon overlapped the expression probe, poorly characterized genes (gene</w:t>
      </w:r>
      <w:r w:rsidR="00ED35F1" w:rsidRPr="00062A17">
        <w:rPr>
          <w:rFonts w:eastAsia="Times New Roman"/>
        </w:rPr>
        <w:t xml:space="preserve"> name</w:t>
      </w:r>
      <w:r w:rsidRPr="00062A17">
        <w:rPr>
          <w:rFonts w:eastAsia="Times New Roman"/>
        </w:rPr>
        <w:t>s beginning with KIAA, FLJ or LOC and those containing “</w:t>
      </w:r>
      <w:proofErr w:type="spellStart"/>
      <w:r w:rsidRPr="00062A17">
        <w:rPr>
          <w:rFonts w:eastAsia="Times New Roman"/>
        </w:rPr>
        <w:t>orf</w:t>
      </w:r>
      <w:proofErr w:type="spellEnd"/>
      <w:r w:rsidRPr="00062A17">
        <w:rPr>
          <w:rFonts w:eastAsia="Times New Roman"/>
        </w:rPr>
        <w:t xml:space="preserve">”) and read-through </w:t>
      </w:r>
      <w:r w:rsidR="00232A93" w:rsidRPr="00062A17">
        <w:rPr>
          <w:rFonts w:eastAsia="Times New Roman"/>
        </w:rPr>
        <w:t xml:space="preserve">transcripts </w:t>
      </w:r>
      <w:r w:rsidRPr="00062A17">
        <w:rPr>
          <w:rFonts w:eastAsia="Times New Roman"/>
        </w:rPr>
        <w:t xml:space="preserve">were removed from the duplicates. The remaining duplicate gene names were compiled for that probe ID and the transcript area </w:t>
      </w:r>
      <w:r w:rsidRPr="00062A17">
        <w:rPr>
          <w:rFonts w:eastAsia="Times New Roman"/>
        </w:rPr>
        <w:lastRenderedPageBreak/>
        <w:t xml:space="preserve">taken as the </w:t>
      </w:r>
      <w:r w:rsidR="00ED35F1" w:rsidRPr="00062A17">
        <w:rPr>
          <w:rFonts w:eastAsia="Times New Roman"/>
        </w:rPr>
        <w:t>largest interval formed by</w:t>
      </w:r>
      <w:r w:rsidRPr="00062A17">
        <w:rPr>
          <w:rFonts w:eastAsia="Times New Roman"/>
        </w:rPr>
        <w:t xml:space="preserve"> the overlapping transcripts.</w:t>
      </w:r>
      <w:r w:rsidRPr="00062A17">
        <w:rPr>
          <w:rFonts w:eastAsia="Times New Roman"/>
          <w:vertAlign w:val="subscript"/>
        </w:rPr>
        <w:t xml:space="preserve"> </w:t>
      </w:r>
      <w:r w:rsidR="008F5DB8" w:rsidRPr="00062A17">
        <w:rPr>
          <w:rFonts w:eastAsia="Times New Roman"/>
        </w:rPr>
        <w:t xml:space="preserve">Similarly, if overlapping transcript areas </w:t>
      </w:r>
      <w:r w:rsidR="00232A93" w:rsidRPr="00062A17">
        <w:rPr>
          <w:rFonts w:eastAsia="Times New Roman"/>
        </w:rPr>
        <w:t xml:space="preserve">(transcription start site to transcription end site, including introns) </w:t>
      </w:r>
      <w:r w:rsidR="008F5DB8" w:rsidRPr="00062A17">
        <w:rPr>
          <w:rFonts w:eastAsia="Times New Roman"/>
        </w:rPr>
        <w:t xml:space="preserve">existed for the same gene name in the </w:t>
      </w:r>
      <w:proofErr w:type="spellStart"/>
      <w:r w:rsidR="008F5DB8" w:rsidRPr="00062A17">
        <w:rPr>
          <w:rFonts w:eastAsia="Times New Roman"/>
        </w:rPr>
        <w:t>Refseq</w:t>
      </w:r>
      <w:proofErr w:type="spellEnd"/>
      <w:r w:rsidR="008F5DB8" w:rsidRPr="00062A17">
        <w:rPr>
          <w:rFonts w:eastAsia="Times New Roman"/>
        </w:rPr>
        <w:t xml:space="preserve"> or </w:t>
      </w:r>
      <w:proofErr w:type="spellStart"/>
      <w:r w:rsidR="008F5DB8" w:rsidRPr="00062A17">
        <w:rPr>
          <w:rFonts w:eastAsia="Times New Roman"/>
        </w:rPr>
        <w:t>Ensembl</w:t>
      </w:r>
      <w:proofErr w:type="spellEnd"/>
      <w:r w:rsidR="008F5DB8" w:rsidRPr="00062A17">
        <w:rPr>
          <w:rFonts w:eastAsia="Times New Roman"/>
        </w:rPr>
        <w:t xml:space="preserve"> tables, the</w:t>
      </w:r>
      <w:r w:rsidR="00232A93" w:rsidRPr="00062A17">
        <w:rPr>
          <w:rFonts w:eastAsia="Times New Roman"/>
        </w:rPr>
        <w:t xml:space="preserve"> minimum TSS</w:t>
      </w:r>
      <w:r w:rsidR="00907005" w:rsidRPr="00062A17">
        <w:rPr>
          <w:rFonts w:eastAsia="Times New Roman"/>
        </w:rPr>
        <w:t xml:space="preserve"> and</w:t>
      </w:r>
      <w:r w:rsidR="008F5DB8" w:rsidRPr="00062A17">
        <w:rPr>
          <w:rFonts w:eastAsia="Times New Roman"/>
        </w:rPr>
        <w:t xml:space="preserve"> maximum </w:t>
      </w:r>
      <w:r w:rsidR="00907005" w:rsidRPr="00062A17">
        <w:rPr>
          <w:rFonts w:eastAsia="Times New Roman"/>
        </w:rPr>
        <w:t>TES were</w:t>
      </w:r>
      <w:r w:rsidR="008F5DB8" w:rsidRPr="00062A17">
        <w:rPr>
          <w:rFonts w:eastAsia="Times New Roman"/>
        </w:rPr>
        <w:t xml:space="preserve"> taken</w:t>
      </w:r>
      <w:r w:rsidR="00907005" w:rsidRPr="00062A17">
        <w:rPr>
          <w:rFonts w:eastAsia="Times New Roman"/>
        </w:rPr>
        <w:t xml:space="preserve"> for the gene entry</w:t>
      </w:r>
      <w:r w:rsidR="008F5DB8" w:rsidRPr="00062A17">
        <w:rPr>
          <w:rFonts w:eastAsia="Times New Roman"/>
        </w:rPr>
        <w:t xml:space="preserve">. </w:t>
      </w:r>
      <w:proofErr w:type="spellStart"/>
      <w:r w:rsidR="008F5DB8" w:rsidRPr="00062A17">
        <w:rPr>
          <w:rFonts w:eastAsia="Times New Roman"/>
        </w:rPr>
        <w:t>Refseq</w:t>
      </w:r>
      <w:proofErr w:type="spellEnd"/>
      <w:r w:rsidR="008F5DB8" w:rsidRPr="00062A17">
        <w:rPr>
          <w:rFonts w:eastAsia="Times New Roman"/>
        </w:rPr>
        <w:t xml:space="preserve"> or </w:t>
      </w:r>
      <w:proofErr w:type="spellStart"/>
      <w:r w:rsidR="008F5DB8" w:rsidRPr="00062A17">
        <w:rPr>
          <w:rFonts w:eastAsia="Times New Roman"/>
        </w:rPr>
        <w:t>Ensembl</w:t>
      </w:r>
      <w:proofErr w:type="spellEnd"/>
      <w:r w:rsidR="008F5DB8" w:rsidRPr="00062A17">
        <w:rPr>
          <w:rFonts w:eastAsia="Times New Roman"/>
        </w:rPr>
        <w:t xml:space="preserve"> tables with representative transcript intervals are referred to as average </w:t>
      </w:r>
      <w:proofErr w:type="spellStart"/>
      <w:r w:rsidR="008F5DB8" w:rsidRPr="00062A17">
        <w:rPr>
          <w:rFonts w:eastAsia="Times New Roman"/>
        </w:rPr>
        <w:t>Refseq</w:t>
      </w:r>
      <w:proofErr w:type="spellEnd"/>
      <w:r w:rsidR="008F5DB8" w:rsidRPr="00062A17">
        <w:rPr>
          <w:rFonts w:eastAsia="Times New Roman"/>
        </w:rPr>
        <w:t xml:space="preserve"> </w:t>
      </w:r>
      <w:proofErr w:type="gramStart"/>
      <w:r w:rsidR="008F5DB8" w:rsidRPr="00062A17">
        <w:rPr>
          <w:rFonts w:eastAsia="Times New Roman"/>
        </w:rPr>
        <w:t>and  average</w:t>
      </w:r>
      <w:proofErr w:type="gramEnd"/>
      <w:r w:rsidR="008F5DB8" w:rsidRPr="00062A17">
        <w:rPr>
          <w:rFonts w:eastAsia="Times New Roman"/>
        </w:rPr>
        <w:t xml:space="preserve"> </w:t>
      </w:r>
      <w:proofErr w:type="spellStart"/>
      <w:r w:rsidR="008F5DB8" w:rsidRPr="00062A17">
        <w:rPr>
          <w:rFonts w:eastAsia="Times New Roman"/>
        </w:rPr>
        <w:t>Ensembl</w:t>
      </w:r>
      <w:proofErr w:type="spellEnd"/>
      <w:r w:rsidR="00907005" w:rsidRPr="00062A17">
        <w:rPr>
          <w:rFonts w:eastAsia="Times New Roman"/>
        </w:rPr>
        <w:t xml:space="preserve"> gene locations in the Materials and Methods section</w:t>
      </w:r>
      <w:r w:rsidR="008F5DB8" w:rsidRPr="00062A17">
        <w:rPr>
          <w:rFonts w:eastAsia="Times New Roman"/>
        </w:rPr>
        <w:t>.</w:t>
      </w:r>
    </w:p>
    <w:p w14:paraId="313A07BA" w14:textId="77777777" w:rsidR="006A7390" w:rsidRPr="00062A17" w:rsidRDefault="006A7390" w:rsidP="00A62D9B">
      <w:pPr>
        <w:pStyle w:val="ListParagraph"/>
        <w:spacing w:line="480" w:lineRule="auto"/>
        <w:ind w:left="0" w:firstLine="540"/>
        <w:rPr>
          <w:rFonts w:eastAsia="Times New Roman"/>
        </w:rPr>
      </w:pPr>
    </w:p>
    <w:p w14:paraId="1B9826EA" w14:textId="18DAE06E" w:rsidR="00FF705C" w:rsidRPr="00062A17" w:rsidRDefault="006A7390" w:rsidP="00A62D9B">
      <w:pPr>
        <w:pStyle w:val="ListParagraph"/>
        <w:spacing w:line="480" w:lineRule="auto"/>
        <w:ind w:left="0"/>
        <w:rPr>
          <w:rFonts w:eastAsia="Times New Roman"/>
        </w:rPr>
      </w:pPr>
      <w:r w:rsidRPr="00062A17">
        <w:rPr>
          <w:rFonts w:eastAsia="Times New Roman"/>
          <w:b/>
        </w:rPr>
        <w:t>Assignment of Probe location.</w:t>
      </w:r>
      <w:r w:rsidRPr="00062A17">
        <w:rPr>
          <w:rFonts w:eastAsia="Times New Roman"/>
        </w:rPr>
        <w:t xml:space="preserve"> For each eCpG-transcript pair, all probe locations</w:t>
      </w:r>
      <w:r w:rsidR="000F2398" w:rsidRPr="00062A17">
        <w:rPr>
          <w:rFonts w:eastAsia="Times New Roman"/>
        </w:rPr>
        <w:t xml:space="preserve"> (for one Probe ID) were compared to the eCpG location. </w:t>
      </w:r>
      <w:r w:rsidR="009B23D2">
        <w:rPr>
          <w:rFonts w:eastAsia="Times New Roman"/>
        </w:rPr>
        <w:t xml:space="preserve">3,943 (29.2%) of the expression probes passing QC in GTP and 6,335 (32.6%) of the expression probes passing QC in MESA had multiple possible genomic locations. </w:t>
      </w:r>
      <w:r w:rsidR="000F2398" w:rsidRPr="00062A17">
        <w:rPr>
          <w:rFonts w:eastAsia="Times New Roman"/>
        </w:rPr>
        <w:t xml:space="preserve">Probe locations were prioritized </w:t>
      </w:r>
      <w:r w:rsidR="004D17EB" w:rsidRPr="00062A17">
        <w:rPr>
          <w:rFonts w:eastAsia="Times New Roman"/>
        </w:rPr>
        <w:t>in the following order</w:t>
      </w:r>
      <w:r w:rsidR="000F2398" w:rsidRPr="00062A17">
        <w:rPr>
          <w:rFonts w:eastAsia="Times New Roman"/>
        </w:rPr>
        <w:t xml:space="preserve">: </w:t>
      </w:r>
    </w:p>
    <w:p w14:paraId="384CC999" w14:textId="27FD3E90" w:rsidR="00FF705C" w:rsidRPr="00062A17" w:rsidRDefault="00BF32B5" w:rsidP="00A62D9B">
      <w:pPr>
        <w:pStyle w:val="ListParagraph"/>
        <w:numPr>
          <w:ilvl w:val="0"/>
          <w:numId w:val="2"/>
        </w:numPr>
        <w:spacing w:line="480" w:lineRule="auto"/>
        <w:rPr>
          <w:rFonts w:eastAsia="Times New Roman"/>
        </w:rPr>
      </w:pPr>
      <w:r w:rsidRPr="00062A17">
        <w:rPr>
          <w:rFonts w:eastAsia="Times New Roman"/>
        </w:rPr>
        <w:t>T</w:t>
      </w:r>
      <w:r w:rsidR="000F2398" w:rsidRPr="00062A17">
        <w:rPr>
          <w:rFonts w:eastAsia="Times New Roman"/>
        </w:rPr>
        <w:t>he eCpG location fell within the gene annotated to one of the probe locations</w:t>
      </w:r>
      <w:r w:rsidR="00500D17" w:rsidRPr="00062A17">
        <w:rPr>
          <w:rFonts w:eastAsia="Times New Roman"/>
        </w:rPr>
        <w:t xml:space="preserve"> or up to 2,500 </w:t>
      </w:r>
      <w:proofErr w:type="spellStart"/>
      <w:r w:rsidR="00500D17" w:rsidRPr="00062A17">
        <w:rPr>
          <w:rFonts w:eastAsia="Times New Roman"/>
        </w:rPr>
        <w:t>bp</w:t>
      </w:r>
      <w:proofErr w:type="spellEnd"/>
      <w:r w:rsidR="00500D17" w:rsidRPr="00062A17">
        <w:rPr>
          <w:rFonts w:eastAsia="Times New Roman"/>
        </w:rPr>
        <w:t xml:space="preserve"> upstream of </w:t>
      </w:r>
      <w:r w:rsidR="00FF705C" w:rsidRPr="00062A17">
        <w:rPr>
          <w:rFonts w:eastAsia="Times New Roman"/>
        </w:rPr>
        <w:t>that</w:t>
      </w:r>
      <w:r w:rsidR="00500D17" w:rsidRPr="00062A17">
        <w:rPr>
          <w:rFonts w:eastAsia="Times New Roman"/>
        </w:rPr>
        <w:t xml:space="preserve"> gene’s TSS</w:t>
      </w:r>
      <w:r w:rsidRPr="00062A17">
        <w:rPr>
          <w:rFonts w:eastAsia="Times New Roman"/>
        </w:rPr>
        <w:t>.</w:t>
      </w:r>
      <w:r w:rsidR="00FC7E94" w:rsidRPr="00062A17">
        <w:rPr>
          <w:rFonts w:eastAsia="Times New Roman"/>
        </w:rPr>
        <w:t xml:space="preserve"> </w:t>
      </w:r>
    </w:p>
    <w:p w14:paraId="45E78F59" w14:textId="5B149947" w:rsidR="00D63B81" w:rsidRPr="00062A17" w:rsidRDefault="00BF32B5" w:rsidP="00A62D9B">
      <w:pPr>
        <w:pStyle w:val="ListParagraph"/>
        <w:numPr>
          <w:ilvl w:val="0"/>
          <w:numId w:val="2"/>
        </w:numPr>
        <w:spacing w:line="480" w:lineRule="auto"/>
        <w:rPr>
          <w:rFonts w:eastAsia="Times New Roman"/>
        </w:rPr>
      </w:pPr>
      <w:r w:rsidRPr="00062A17">
        <w:rPr>
          <w:rFonts w:eastAsia="Times New Roman"/>
        </w:rPr>
        <w:t>T</w:t>
      </w:r>
      <w:r w:rsidR="00FC7E94" w:rsidRPr="00062A17">
        <w:rPr>
          <w:rFonts w:eastAsia="Times New Roman"/>
        </w:rPr>
        <w:t xml:space="preserve">he eCpG was within 1 </w:t>
      </w:r>
      <w:proofErr w:type="spellStart"/>
      <w:r w:rsidR="00FC7E94" w:rsidRPr="00062A17">
        <w:rPr>
          <w:rFonts w:eastAsia="Times New Roman"/>
        </w:rPr>
        <w:t>megabase</w:t>
      </w:r>
      <w:proofErr w:type="spellEnd"/>
      <w:r w:rsidR="00FC7E94" w:rsidRPr="00062A17">
        <w:rPr>
          <w:rFonts w:eastAsia="Times New Roman"/>
        </w:rPr>
        <w:t xml:space="preserve"> of the </w:t>
      </w:r>
      <w:r w:rsidR="00706CD1" w:rsidRPr="00062A17">
        <w:rPr>
          <w:rFonts w:eastAsia="Times New Roman"/>
        </w:rPr>
        <w:t xml:space="preserve">TSS of the </w:t>
      </w:r>
      <w:r w:rsidR="00FC7E94" w:rsidRPr="00062A17">
        <w:rPr>
          <w:rFonts w:eastAsia="Times New Roman"/>
        </w:rPr>
        <w:t>gene annotated to one the probe locations.</w:t>
      </w:r>
    </w:p>
    <w:p w14:paraId="4778D59D" w14:textId="7ADA676A" w:rsidR="00FF705C" w:rsidRPr="00062A17" w:rsidRDefault="00BF32B5" w:rsidP="00A62D9B">
      <w:pPr>
        <w:pStyle w:val="ListParagraph"/>
        <w:numPr>
          <w:ilvl w:val="0"/>
          <w:numId w:val="2"/>
        </w:numPr>
        <w:spacing w:line="480" w:lineRule="auto"/>
        <w:rPr>
          <w:rFonts w:eastAsia="Times New Roman"/>
        </w:rPr>
      </w:pPr>
      <w:r w:rsidRPr="00062A17">
        <w:rPr>
          <w:rFonts w:eastAsia="Times New Roman"/>
        </w:rPr>
        <w:t>T</w:t>
      </w:r>
      <w:r w:rsidR="00FF705C" w:rsidRPr="00062A17">
        <w:rPr>
          <w:rFonts w:eastAsia="Times New Roman"/>
        </w:rPr>
        <w:t xml:space="preserve">he eCpG was on the same chromosome as one </w:t>
      </w:r>
      <w:r w:rsidR="00C756DA">
        <w:rPr>
          <w:rFonts w:eastAsia="Times New Roman"/>
        </w:rPr>
        <w:t xml:space="preserve">of </w:t>
      </w:r>
      <w:r w:rsidR="00FF705C" w:rsidRPr="00062A17">
        <w:rPr>
          <w:rFonts w:eastAsia="Times New Roman"/>
        </w:rPr>
        <w:t>the probe locations</w:t>
      </w:r>
      <w:r w:rsidRPr="00062A17">
        <w:rPr>
          <w:rFonts w:eastAsia="Times New Roman"/>
        </w:rPr>
        <w:t>.</w:t>
      </w:r>
    </w:p>
    <w:p w14:paraId="23A5CBA6" w14:textId="46D29CEC" w:rsidR="00FF705C" w:rsidRDefault="00706CD1" w:rsidP="00A62D9B">
      <w:pPr>
        <w:spacing w:line="480" w:lineRule="auto"/>
        <w:rPr>
          <w:rFonts w:eastAsia="Times New Roman"/>
        </w:rPr>
      </w:pPr>
      <w:r w:rsidRPr="00062A17">
        <w:rPr>
          <w:rFonts w:eastAsia="Times New Roman"/>
        </w:rPr>
        <w:t xml:space="preserve">If more than one probe location fell into the highest priority group, they were further </w:t>
      </w:r>
      <w:r w:rsidR="001B705B" w:rsidRPr="00062A17">
        <w:rPr>
          <w:rFonts w:eastAsia="Times New Roman"/>
        </w:rPr>
        <w:t xml:space="preserve">filtered by the following criteria until one probe location was chosen: locations annotated to a gene are preferred, locations marked as </w:t>
      </w:r>
      <w:proofErr w:type="spellStart"/>
      <w:r w:rsidR="001B705B" w:rsidRPr="00062A17">
        <w:rPr>
          <w:rFonts w:eastAsia="Times New Roman"/>
        </w:rPr>
        <w:t>GenomicLocation</w:t>
      </w:r>
      <w:proofErr w:type="spellEnd"/>
      <w:r w:rsidR="001B705B" w:rsidRPr="00062A17">
        <w:rPr>
          <w:rFonts w:eastAsia="Times New Roman"/>
        </w:rPr>
        <w:t xml:space="preserve"> &gt; </w:t>
      </w:r>
      <w:proofErr w:type="spellStart"/>
      <w:r w:rsidR="001B705B" w:rsidRPr="00062A17">
        <w:rPr>
          <w:rFonts w:eastAsia="Times New Roman"/>
        </w:rPr>
        <w:t>SecondMatches</w:t>
      </w:r>
      <w:proofErr w:type="spellEnd"/>
      <w:r w:rsidR="001B705B" w:rsidRPr="00062A17">
        <w:rPr>
          <w:rFonts w:eastAsia="Times New Roman"/>
        </w:rPr>
        <w:t xml:space="preserve"> &gt; </w:t>
      </w:r>
      <w:proofErr w:type="spellStart"/>
      <w:r w:rsidR="001B705B" w:rsidRPr="00062A17">
        <w:rPr>
          <w:rFonts w:eastAsia="Times New Roman"/>
        </w:rPr>
        <w:t>OtherGenomicMatches</w:t>
      </w:r>
      <w:proofErr w:type="spellEnd"/>
      <w:r w:rsidR="001B705B" w:rsidRPr="00062A17">
        <w:rPr>
          <w:rFonts w:eastAsia="Times New Roman"/>
        </w:rPr>
        <w:t>, locations in which the eCpG was closest to the TSS of the annotated gene were preferred. If</w:t>
      </w:r>
      <w:r w:rsidRPr="00062A17">
        <w:rPr>
          <w:rFonts w:eastAsia="Times New Roman"/>
        </w:rPr>
        <w:t xml:space="preserve"> all probe locations were on different chromosomes than the eCpG</w:t>
      </w:r>
      <w:r w:rsidR="001B705B" w:rsidRPr="00062A17">
        <w:rPr>
          <w:rFonts w:eastAsia="Times New Roman"/>
        </w:rPr>
        <w:t xml:space="preserve">, probe locations were chosen as follows: locations annotated to a gene are </w:t>
      </w:r>
      <w:r w:rsidR="001B705B" w:rsidRPr="00062A17">
        <w:rPr>
          <w:rFonts w:eastAsia="Times New Roman"/>
        </w:rPr>
        <w:lastRenderedPageBreak/>
        <w:t xml:space="preserve">preferred, locations marked as </w:t>
      </w:r>
      <w:proofErr w:type="spellStart"/>
      <w:r w:rsidR="001B705B" w:rsidRPr="00062A17">
        <w:rPr>
          <w:rFonts w:eastAsia="Times New Roman"/>
        </w:rPr>
        <w:t>GenomicLocation</w:t>
      </w:r>
      <w:proofErr w:type="spellEnd"/>
      <w:r w:rsidR="001B705B" w:rsidRPr="00062A17">
        <w:rPr>
          <w:rFonts w:eastAsia="Times New Roman"/>
        </w:rPr>
        <w:t xml:space="preserve"> &gt; </w:t>
      </w:r>
      <w:proofErr w:type="spellStart"/>
      <w:r w:rsidR="001B705B" w:rsidRPr="00062A17">
        <w:rPr>
          <w:rFonts w:eastAsia="Times New Roman"/>
        </w:rPr>
        <w:t>SecondMatches</w:t>
      </w:r>
      <w:proofErr w:type="spellEnd"/>
      <w:r w:rsidR="001B705B" w:rsidRPr="00062A17">
        <w:rPr>
          <w:rFonts w:eastAsia="Times New Roman"/>
        </w:rPr>
        <w:t xml:space="preserve"> &gt; </w:t>
      </w:r>
      <w:proofErr w:type="spellStart"/>
      <w:r w:rsidR="001B705B" w:rsidRPr="00062A17">
        <w:rPr>
          <w:rFonts w:eastAsia="Times New Roman"/>
        </w:rPr>
        <w:t>OtherGenomicMatches</w:t>
      </w:r>
      <w:proofErr w:type="spellEnd"/>
      <w:r w:rsidR="001B705B" w:rsidRPr="00062A17">
        <w:rPr>
          <w:rFonts w:eastAsia="Times New Roman"/>
        </w:rPr>
        <w:t>.</w:t>
      </w:r>
      <w:r w:rsidR="00FF705C" w:rsidRPr="00062A17">
        <w:rPr>
          <w:rFonts w:eastAsia="Times New Roman"/>
        </w:rPr>
        <w:t xml:space="preserve"> </w:t>
      </w:r>
      <w:r w:rsidR="00C756DA">
        <w:rPr>
          <w:rFonts w:eastAsia="Times New Roman"/>
        </w:rPr>
        <w:t>The effects of these decisions are outlined in the following table, which compares the proportions of cis, distal and trans eCpGs in MESA and GTP both before and after the implementation of the above probe assignment rules.</w:t>
      </w:r>
    </w:p>
    <w:tbl>
      <w:tblPr>
        <w:tblpPr w:leftFromText="180" w:rightFromText="180" w:vertAnchor="text" w:horzAnchor="page" w:tblpX="2906" w:tblpY="292"/>
        <w:tblW w:w="6300" w:type="dxa"/>
        <w:tblLayout w:type="fixed"/>
        <w:tblCellMar>
          <w:left w:w="0" w:type="dxa"/>
          <w:right w:w="0" w:type="dxa"/>
        </w:tblCellMar>
        <w:tblLook w:val="0600" w:firstRow="0" w:lastRow="0" w:firstColumn="0" w:lastColumn="0" w:noHBand="1" w:noVBand="1"/>
      </w:tblPr>
      <w:tblGrid>
        <w:gridCol w:w="3433"/>
        <w:gridCol w:w="1697"/>
        <w:gridCol w:w="1170"/>
      </w:tblGrid>
      <w:tr w:rsidR="00C756DA" w:rsidRPr="00953391" w14:paraId="15DC50D5" w14:textId="77777777" w:rsidTr="00A7238F">
        <w:trPr>
          <w:trHeight w:val="300"/>
        </w:trPr>
        <w:tc>
          <w:tcPr>
            <w:tcW w:w="6300" w:type="dxa"/>
            <w:gridSpan w:val="3"/>
            <w:tcBorders>
              <w:top w:val="nil"/>
              <w:left w:val="nil"/>
              <w:bottom w:val="single" w:sz="8" w:space="0" w:color="000000"/>
              <w:right w:val="nil"/>
            </w:tcBorders>
            <w:shd w:val="clear" w:color="auto" w:fill="auto"/>
            <w:tcMar>
              <w:top w:w="20" w:type="dxa"/>
              <w:left w:w="20" w:type="dxa"/>
              <w:bottom w:w="0" w:type="dxa"/>
              <w:right w:w="20" w:type="dxa"/>
            </w:tcMar>
            <w:vAlign w:val="bottom"/>
          </w:tcPr>
          <w:p w14:paraId="4A4A0CDD" w14:textId="77777777" w:rsidR="00C756DA" w:rsidRPr="00953391" w:rsidRDefault="00C756DA" w:rsidP="00A7238F">
            <w:pPr>
              <w:jc w:val="center"/>
              <w:rPr>
                <w:b/>
                <w:color w:val="365F91" w:themeColor="accent1" w:themeShade="BF"/>
              </w:rPr>
            </w:pPr>
            <w:r w:rsidRPr="00953391">
              <w:rPr>
                <w:b/>
                <w:color w:val="365F91" w:themeColor="accent1" w:themeShade="BF"/>
              </w:rPr>
              <w:t xml:space="preserve">Comparison of status proportions before and after implementation of </w:t>
            </w:r>
            <w:r>
              <w:rPr>
                <w:b/>
                <w:color w:val="365F91" w:themeColor="accent1" w:themeShade="BF"/>
              </w:rPr>
              <w:t>flexible expression probe assignment</w:t>
            </w:r>
          </w:p>
        </w:tc>
      </w:tr>
      <w:tr w:rsidR="00C756DA" w:rsidRPr="00953391" w14:paraId="19B406D0" w14:textId="77777777" w:rsidTr="00A7238F">
        <w:trPr>
          <w:trHeight w:val="300"/>
        </w:trPr>
        <w:tc>
          <w:tcPr>
            <w:tcW w:w="6300" w:type="dxa"/>
            <w:gridSpan w:val="3"/>
            <w:tcBorders>
              <w:top w:val="nil"/>
              <w:left w:val="nil"/>
              <w:bottom w:val="single" w:sz="8" w:space="0" w:color="000000"/>
              <w:right w:val="nil"/>
            </w:tcBorders>
            <w:shd w:val="clear" w:color="auto" w:fill="auto"/>
            <w:tcMar>
              <w:top w:w="20" w:type="dxa"/>
              <w:left w:w="20" w:type="dxa"/>
              <w:bottom w:w="0" w:type="dxa"/>
              <w:right w:w="20" w:type="dxa"/>
            </w:tcMar>
            <w:vAlign w:val="bottom"/>
            <w:hideMark/>
          </w:tcPr>
          <w:p w14:paraId="4015A6FD" w14:textId="77777777" w:rsidR="00C756DA" w:rsidRPr="00953391" w:rsidRDefault="00C756DA" w:rsidP="00F737AF">
            <w:pPr>
              <w:jc w:val="center"/>
              <w:rPr>
                <w:b/>
                <w:color w:val="365F91" w:themeColor="accent1" w:themeShade="BF"/>
              </w:rPr>
            </w:pPr>
            <w:r w:rsidRPr="00953391">
              <w:rPr>
                <w:b/>
                <w:color w:val="365F91" w:themeColor="accent1" w:themeShade="BF"/>
              </w:rPr>
              <w:t>MESA</w:t>
            </w:r>
          </w:p>
        </w:tc>
      </w:tr>
      <w:tr w:rsidR="00C756DA" w:rsidRPr="00953391" w14:paraId="5FC03893" w14:textId="77777777" w:rsidTr="00A7238F">
        <w:trPr>
          <w:trHeight w:val="300"/>
        </w:trPr>
        <w:tc>
          <w:tcPr>
            <w:tcW w:w="3433" w:type="dxa"/>
            <w:tcBorders>
              <w:top w:val="single" w:sz="8" w:space="0" w:color="000000"/>
              <w:left w:val="nil"/>
              <w:bottom w:val="single" w:sz="8" w:space="0" w:color="000000"/>
              <w:right w:val="nil"/>
            </w:tcBorders>
            <w:shd w:val="clear" w:color="auto" w:fill="auto"/>
            <w:tcMar>
              <w:top w:w="20" w:type="dxa"/>
              <w:left w:w="20" w:type="dxa"/>
              <w:bottom w:w="0" w:type="dxa"/>
              <w:right w:w="20" w:type="dxa"/>
            </w:tcMar>
            <w:vAlign w:val="bottom"/>
            <w:hideMark/>
          </w:tcPr>
          <w:p w14:paraId="2A76174E" w14:textId="77777777" w:rsidR="00C756DA" w:rsidRPr="00953391" w:rsidRDefault="00C756DA" w:rsidP="00F737AF">
            <w:pPr>
              <w:rPr>
                <w:b/>
                <w:color w:val="365F91" w:themeColor="accent1" w:themeShade="BF"/>
              </w:rPr>
            </w:pPr>
            <w:r w:rsidRPr="00953391">
              <w:rPr>
                <w:b/>
                <w:color w:val="365F91" w:themeColor="accent1" w:themeShade="BF"/>
              </w:rPr>
              <w:t>eCpG-transcript status</w:t>
            </w:r>
          </w:p>
        </w:tc>
        <w:tc>
          <w:tcPr>
            <w:tcW w:w="1697" w:type="dxa"/>
            <w:tcBorders>
              <w:top w:val="single" w:sz="8" w:space="0" w:color="000000"/>
              <w:left w:val="nil"/>
              <w:bottom w:val="single" w:sz="8" w:space="0" w:color="000000"/>
              <w:right w:val="nil"/>
            </w:tcBorders>
            <w:shd w:val="clear" w:color="auto" w:fill="auto"/>
            <w:tcMar>
              <w:top w:w="20" w:type="dxa"/>
              <w:left w:w="20" w:type="dxa"/>
              <w:bottom w:w="0" w:type="dxa"/>
              <w:right w:w="20" w:type="dxa"/>
            </w:tcMar>
            <w:vAlign w:val="bottom"/>
            <w:hideMark/>
          </w:tcPr>
          <w:p w14:paraId="0F68D897" w14:textId="367E2135" w:rsidR="00C756DA" w:rsidRPr="00953391" w:rsidRDefault="00C756DA" w:rsidP="00F737AF">
            <w:pPr>
              <w:rPr>
                <w:b/>
                <w:color w:val="365F91" w:themeColor="accent1" w:themeShade="BF"/>
              </w:rPr>
            </w:pPr>
            <w:r w:rsidRPr="00953391">
              <w:rPr>
                <w:b/>
                <w:color w:val="365F91" w:themeColor="accent1" w:themeShade="BF"/>
              </w:rPr>
              <w:t>Before</w:t>
            </w:r>
            <w:r w:rsidR="009126BA">
              <w:rPr>
                <w:b/>
                <w:color w:val="365F91" w:themeColor="accent1" w:themeShade="BF"/>
              </w:rPr>
              <w:t xml:space="preserve"> (%)</w:t>
            </w:r>
          </w:p>
        </w:tc>
        <w:tc>
          <w:tcPr>
            <w:tcW w:w="1170" w:type="dxa"/>
            <w:tcBorders>
              <w:top w:val="single" w:sz="8" w:space="0" w:color="000000"/>
              <w:left w:val="nil"/>
              <w:bottom w:val="single" w:sz="8" w:space="0" w:color="000000"/>
              <w:right w:val="nil"/>
            </w:tcBorders>
            <w:shd w:val="clear" w:color="auto" w:fill="auto"/>
            <w:tcMar>
              <w:top w:w="20" w:type="dxa"/>
              <w:left w:w="20" w:type="dxa"/>
              <w:bottom w:w="0" w:type="dxa"/>
              <w:right w:w="20" w:type="dxa"/>
            </w:tcMar>
            <w:vAlign w:val="bottom"/>
            <w:hideMark/>
          </w:tcPr>
          <w:p w14:paraId="4449D6BF" w14:textId="35F96F6D" w:rsidR="00C756DA" w:rsidRPr="00953391" w:rsidRDefault="00C756DA" w:rsidP="00F737AF">
            <w:pPr>
              <w:rPr>
                <w:b/>
                <w:color w:val="365F91" w:themeColor="accent1" w:themeShade="BF"/>
              </w:rPr>
            </w:pPr>
            <w:r w:rsidRPr="00953391">
              <w:rPr>
                <w:b/>
                <w:color w:val="365F91" w:themeColor="accent1" w:themeShade="BF"/>
              </w:rPr>
              <w:t>After</w:t>
            </w:r>
            <w:r w:rsidR="009126BA">
              <w:rPr>
                <w:b/>
                <w:color w:val="365F91" w:themeColor="accent1" w:themeShade="BF"/>
              </w:rPr>
              <w:t xml:space="preserve"> (%)</w:t>
            </w:r>
          </w:p>
        </w:tc>
      </w:tr>
      <w:tr w:rsidR="00C756DA" w:rsidRPr="00953391" w14:paraId="0E0BBF91" w14:textId="77777777" w:rsidTr="00A7238F">
        <w:trPr>
          <w:trHeight w:val="105"/>
        </w:trPr>
        <w:tc>
          <w:tcPr>
            <w:tcW w:w="3433" w:type="dxa"/>
            <w:tcBorders>
              <w:top w:val="single" w:sz="8" w:space="0" w:color="000000"/>
              <w:left w:val="nil"/>
              <w:bottom w:val="nil"/>
              <w:right w:val="nil"/>
            </w:tcBorders>
            <w:shd w:val="clear" w:color="auto" w:fill="auto"/>
            <w:tcMar>
              <w:top w:w="20" w:type="dxa"/>
              <w:left w:w="20" w:type="dxa"/>
              <w:bottom w:w="0" w:type="dxa"/>
              <w:right w:w="20" w:type="dxa"/>
            </w:tcMar>
            <w:vAlign w:val="bottom"/>
            <w:hideMark/>
          </w:tcPr>
          <w:p w14:paraId="6C473B69" w14:textId="77777777" w:rsidR="00C756DA" w:rsidRPr="00953391" w:rsidRDefault="00C756DA" w:rsidP="00F737AF">
            <w:pPr>
              <w:rPr>
                <w:b/>
                <w:color w:val="365F91" w:themeColor="accent1" w:themeShade="BF"/>
              </w:rPr>
            </w:pPr>
            <w:r w:rsidRPr="00953391">
              <w:rPr>
                <w:b/>
                <w:color w:val="365F91" w:themeColor="accent1" w:themeShade="BF"/>
              </w:rPr>
              <w:t>Cis</w:t>
            </w:r>
          </w:p>
        </w:tc>
        <w:tc>
          <w:tcPr>
            <w:tcW w:w="1697" w:type="dxa"/>
            <w:tcBorders>
              <w:top w:val="single" w:sz="8" w:space="0" w:color="000000"/>
              <w:left w:val="nil"/>
              <w:bottom w:val="nil"/>
              <w:right w:val="nil"/>
            </w:tcBorders>
            <w:shd w:val="clear" w:color="auto" w:fill="auto"/>
            <w:tcMar>
              <w:top w:w="20" w:type="dxa"/>
              <w:left w:w="20" w:type="dxa"/>
              <w:bottom w:w="0" w:type="dxa"/>
              <w:right w:w="20" w:type="dxa"/>
            </w:tcMar>
            <w:vAlign w:val="bottom"/>
            <w:hideMark/>
          </w:tcPr>
          <w:p w14:paraId="03BF2D73" w14:textId="77777777" w:rsidR="00C756DA" w:rsidRPr="00953391" w:rsidRDefault="00C756DA" w:rsidP="00F737AF">
            <w:pPr>
              <w:rPr>
                <w:b/>
                <w:color w:val="365F91" w:themeColor="accent1" w:themeShade="BF"/>
              </w:rPr>
            </w:pPr>
            <w:r w:rsidRPr="00953391">
              <w:rPr>
                <w:b/>
                <w:color w:val="365F91" w:themeColor="accent1" w:themeShade="BF"/>
              </w:rPr>
              <w:t>19.9</w:t>
            </w:r>
          </w:p>
        </w:tc>
        <w:tc>
          <w:tcPr>
            <w:tcW w:w="1170" w:type="dxa"/>
            <w:tcBorders>
              <w:top w:val="single" w:sz="8" w:space="0" w:color="000000"/>
              <w:left w:val="nil"/>
              <w:bottom w:val="nil"/>
              <w:right w:val="nil"/>
            </w:tcBorders>
            <w:shd w:val="clear" w:color="auto" w:fill="auto"/>
            <w:tcMar>
              <w:top w:w="20" w:type="dxa"/>
              <w:left w:w="20" w:type="dxa"/>
              <w:bottom w:w="0" w:type="dxa"/>
              <w:right w:w="20" w:type="dxa"/>
            </w:tcMar>
            <w:vAlign w:val="bottom"/>
            <w:hideMark/>
          </w:tcPr>
          <w:p w14:paraId="583F4375" w14:textId="77777777" w:rsidR="00C756DA" w:rsidRPr="00953391" w:rsidRDefault="00C756DA" w:rsidP="00F737AF">
            <w:pPr>
              <w:rPr>
                <w:b/>
                <w:color w:val="365F91" w:themeColor="accent1" w:themeShade="BF"/>
              </w:rPr>
            </w:pPr>
            <w:r w:rsidRPr="00953391">
              <w:rPr>
                <w:b/>
                <w:color w:val="365F91" w:themeColor="accent1" w:themeShade="BF"/>
              </w:rPr>
              <w:t>21.0</w:t>
            </w:r>
          </w:p>
        </w:tc>
      </w:tr>
      <w:tr w:rsidR="00C756DA" w:rsidRPr="00953391" w14:paraId="0C9EDB2C" w14:textId="77777777" w:rsidTr="00A7238F">
        <w:trPr>
          <w:trHeight w:val="300"/>
        </w:trPr>
        <w:tc>
          <w:tcPr>
            <w:tcW w:w="3433" w:type="dxa"/>
            <w:tcBorders>
              <w:top w:val="nil"/>
              <w:left w:val="nil"/>
              <w:bottom w:val="nil"/>
              <w:right w:val="nil"/>
            </w:tcBorders>
            <w:shd w:val="clear" w:color="auto" w:fill="auto"/>
            <w:tcMar>
              <w:top w:w="20" w:type="dxa"/>
              <w:left w:w="20" w:type="dxa"/>
              <w:bottom w:w="0" w:type="dxa"/>
              <w:right w:w="20" w:type="dxa"/>
            </w:tcMar>
            <w:vAlign w:val="bottom"/>
            <w:hideMark/>
          </w:tcPr>
          <w:p w14:paraId="73C0CBE7" w14:textId="77777777" w:rsidR="00C756DA" w:rsidRPr="00953391" w:rsidRDefault="00C756DA" w:rsidP="00F737AF">
            <w:pPr>
              <w:rPr>
                <w:b/>
                <w:color w:val="365F91" w:themeColor="accent1" w:themeShade="BF"/>
              </w:rPr>
            </w:pPr>
            <w:r w:rsidRPr="00953391">
              <w:rPr>
                <w:b/>
                <w:color w:val="365F91" w:themeColor="accent1" w:themeShade="BF"/>
              </w:rPr>
              <w:t>Distal</w:t>
            </w:r>
          </w:p>
        </w:tc>
        <w:tc>
          <w:tcPr>
            <w:tcW w:w="1697" w:type="dxa"/>
            <w:tcBorders>
              <w:top w:val="nil"/>
              <w:left w:val="nil"/>
              <w:bottom w:val="nil"/>
              <w:right w:val="nil"/>
            </w:tcBorders>
            <w:shd w:val="clear" w:color="auto" w:fill="auto"/>
            <w:tcMar>
              <w:top w:w="20" w:type="dxa"/>
              <w:left w:w="20" w:type="dxa"/>
              <w:bottom w:w="0" w:type="dxa"/>
              <w:right w:w="20" w:type="dxa"/>
            </w:tcMar>
            <w:vAlign w:val="bottom"/>
            <w:hideMark/>
          </w:tcPr>
          <w:p w14:paraId="465B5FE4" w14:textId="77777777" w:rsidR="00C756DA" w:rsidRPr="00953391" w:rsidRDefault="00C756DA" w:rsidP="00F737AF">
            <w:pPr>
              <w:rPr>
                <w:b/>
                <w:color w:val="365F91" w:themeColor="accent1" w:themeShade="BF"/>
              </w:rPr>
            </w:pPr>
            <w:r w:rsidRPr="00953391">
              <w:rPr>
                <w:b/>
                <w:color w:val="365F91" w:themeColor="accent1" w:themeShade="BF"/>
              </w:rPr>
              <w:t>9.4</w:t>
            </w:r>
          </w:p>
        </w:tc>
        <w:tc>
          <w:tcPr>
            <w:tcW w:w="1170" w:type="dxa"/>
            <w:tcBorders>
              <w:top w:val="nil"/>
              <w:left w:val="nil"/>
              <w:right w:val="nil"/>
            </w:tcBorders>
            <w:shd w:val="clear" w:color="auto" w:fill="auto"/>
            <w:tcMar>
              <w:top w:w="20" w:type="dxa"/>
              <w:left w:w="20" w:type="dxa"/>
              <w:bottom w:w="0" w:type="dxa"/>
              <w:right w:w="20" w:type="dxa"/>
            </w:tcMar>
            <w:vAlign w:val="bottom"/>
            <w:hideMark/>
          </w:tcPr>
          <w:p w14:paraId="3A7A9B26" w14:textId="77777777" w:rsidR="00C756DA" w:rsidRPr="00953391" w:rsidRDefault="00C756DA" w:rsidP="00F737AF">
            <w:pPr>
              <w:rPr>
                <w:b/>
                <w:color w:val="365F91" w:themeColor="accent1" w:themeShade="BF"/>
              </w:rPr>
            </w:pPr>
            <w:r w:rsidRPr="00953391">
              <w:rPr>
                <w:b/>
                <w:color w:val="365F91" w:themeColor="accent1" w:themeShade="BF"/>
              </w:rPr>
              <w:t>10.0</w:t>
            </w:r>
          </w:p>
        </w:tc>
      </w:tr>
      <w:tr w:rsidR="00C756DA" w:rsidRPr="00953391" w14:paraId="258315FD" w14:textId="77777777" w:rsidTr="00A7238F">
        <w:trPr>
          <w:trHeight w:val="300"/>
        </w:trPr>
        <w:tc>
          <w:tcPr>
            <w:tcW w:w="3433" w:type="dxa"/>
            <w:tcBorders>
              <w:top w:val="nil"/>
              <w:left w:val="nil"/>
              <w:bottom w:val="single" w:sz="8" w:space="0" w:color="000000"/>
              <w:right w:val="nil"/>
            </w:tcBorders>
            <w:shd w:val="clear" w:color="auto" w:fill="auto"/>
            <w:tcMar>
              <w:top w:w="20" w:type="dxa"/>
              <w:left w:w="20" w:type="dxa"/>
              <w:bottom w:w="0" w:type="dxa"/>
              <w:right w:w="20" w:type="dxa"/>
            </w:tcMar>
            <w:vAlign w:val="bottom"/>
            <w:hideMark/>
          </w:tcPr>
          <w:p w14:paraId="454ADCB5" w14:textId="77777777" w:rsidR="00C756DA" w:rsidRPr="00953391" w:rsidRDefault="00C756DA" w:rsidP="00F737AF">
            <w:pPr>
              <w:rPr>
                <w:b/>
                <w:color w:val="365F91" w:themeColor="accent1" w:themeShade="BF"/>
              </w:rPr>
            </w:pPr>
            <w:r w:rsidRPr="00953391">
              <w:rPr>
                <w:b/>
                <w:color w:val="365F91" w:themeColor="accent1" w:themeShade="BF"/>
              </w:rPr>
              <w:t>Trans</w:t>
            </w:r>
          </w:p>
        </w:tc>
        <w:tc>
          <w:tcPr>
            <w:tcW w:w="1697" w:type="dxa"/>
            <w:tcBorders>
              <w:top w:val="nil"/>
              <w:left w:val="nil"/>
              <w:bottom w:val="single" w:sz="8" w:space="0" w:color="000000"/>
              <w:right w:val="nil"/>
            </w:tcBorders>
            <w:shd w:val="clear" w:color="auto" w:fill="auto"/>
            <w:tcMar>
              <w:top w:w="20" w:type="dxa"/>
              <w:left w:w="20" w:type="dxa"/>
              <w:bottom w:w="0" w:type="dxa"/>
              <w:right w:w="20" w:type="dxa"/>
            </w:tcMar>
            <w:vAlign w:val="bottom"/>
            <w:hideMark/>
          </w:tcPr>
          <w:p w14:paraId="6401EEA8" w14:textId="77777777" w:rsidR="00C756DA" w:rsidRPr="00953391" w:rsidRDefault="00C756DA" w:rsidP="00F737AF">
            <w:pPr>
              <w:rPr>
                <w:b/>
                <w:color w:val="365F91" w:themeColor="accent1" w:themeShade="BF"/>
              </w:rPr>
            </w:pPr>
            <w:r w:rsidRPr="00953391">
              <w:rPr>
                <w:b/>
                <w:color w:val="365F91" w:themeColor="accent1" w:themeShade="BF"/>
              </w:rPr>
              <w:t>70.7</w:t>
            </w:r>
          </w:p>
        </w:tc>
        <w:tc>
          <w:tcPr>
            <w:tcW w:w="1170" w:type="dxa"/>
            <w:tcBorders>
              <w:top w:val="nil"/>
              <w:left w:val="nil"/>
              <w:bottom w:val="single" w:sz="4" w:space="0" w:color="auto"/>
              <w:right w:val="nil"/>
            </w:tcBorders>
            <w:shd w:val="clear" w:color="auto" w:fill="auto"/>
            <w:tcMar>
              <w:top w:w="20" w:type="dxa"/>
              <w:left w:w="20" w:type="dxa"/>
              <w:bottom w:w="0" w:type="dxa"/>
              <w:right w:w="20" w:type="dxa"/>
            </w:tcMar>
            <w:vAlign w:val="bottom"/>
            <w:hideMark/>
          </w:tcPr>
          <w:p w14:paraId="392D9A3E" w14:textId="77777777" w:rsidR="00C756DA" w:rsidRPr="00953391" w:rsidRDefault="00C756DA" w:rsidP="00F737AF">
            <w:pPr>
              <w:rPr>
                <w:b/>
                <w:color w:val="365F91" w:themeColor="accent1" w:themeShade="BF"/>
              </w:rPr>
            </w:pPr>
            <w:r w:rsidRPr="00953391">
              <w:rPr>
                <w:b/>
                <w:color w:val="365F91" w:themeColor="accent1" w:themeShade="BF"/>
              </w:rPr>
              <w:t>69.0</w:t>
            </w:r>
          </w:p>
        </w:tc>
      </w:tr>
      <w:tr w:rsidR="00C756DA" w:rsidRPr="00953391" w14:paraId="6A46B370" w14:textId="77777777" w:rsidTr="00A7238F">
        <w:trPr>
          <w:trHeight w:val="547"/>
        </w:trPr>
        <w:tc>
          <w:tcPr>
            <w:tcW w:w="6300" w:type="dxa"/>
            <w:gridSpan w:val="3"/>
            <w:tcBorders>
              <w:top w:val="nil"/>
              <w:left w:val="nil"/>
              <w:bottom w:val="single" w:sz="8" w:space="0" w:color="000000"/>
              <w:right w:val="nil"/>
            </w:tcBorders>
            <w:shd w:val="clear" w:color="auto" w:fill="auto"/>
            <w:tcMar>
              <w:top w:w="20" w:type="dxa"/>
              <w:left w:w="20" w:type="dxa"/>
              <w:bottom w:w="0" w:type="dxa"/>
              <w:right w:w="20" w:type="dxa"/>
            </w:tcMar>
            <w:vAlign w:val="bottom"/>
            <w:hideMark/>
          </w:tcPr>
          <w:p w14:paraId="30EF601B" w14:textId="77777777" w:rsidR="00C756DA" w:rsidRPr="00953391" w:rsidRDefault="00C756DA" w:rsidP="00F737AF">
            <w:pPr>
              <w:jc w:val="center"/>
              <w:rPr>
                <w:b/>
                <w:color w:val="365F91" w:themeColor="accent1" w:themeShade="BF"/>
              </w:rPr>
            </w:pPr>
            <w:r w:rsidRPr="00953391">
              <w:rPr>
                <w:b/>
                <w:color w:val="365F91" w:themeColor="accent1" w:themeShade="BF"/>
              </w:rPr>
              <w:t>GTP</w:t>
            </w:r>
          </w:p>
        </w:tc>
      </w:tr>
      <w:tr w:rsidR="00C756DA" w:rsidRPr="00953391" w14:paraId="2AB5068F" w14:textId="77777777" w:rsidTr="00A7238F">
        <w:trPr>
          <w:trHeight w:val="300"/>
        </w:trPr>
        <w:tc>
          <w:tcPr>
            <w:tcW w:w="3433" w:type="dxa"/>
            <w:tcBorders>
              <w:top w:val="single" w:sz="8" w:space="0" w:color="000000"/>
              <w:left w:val="nil"/>
              <w:bottom w:val="single" w:sz="4" w:space="0" w:color="auto"/>
              <w:right w:val="nil"/>
            </w:tcBorders>
            <w:shd w:val="clear" w:color="auto" w:fill="auto"/>
            <w:tcMar>
              <w:top w:w="20" w:type="dxa"/>
              <w:left w:w="20" w:type="dxa"/>
              <w:bottom w:w="0" w:type="dxa"/>
              <w:right w:w="20" w:type="dxa"/>
            </w:tcMar>
            <w:vAlign w:val="bottom"/>
            <w:hideMark/>
          </w:tcPr>
          <w:p w14:paraId="355EC267" w14:textId="77777777" w:rsidR="00C756DA" w:rsidRPr="00953391" w:rsidRDefault="00C756DA" w:rsidP="00F737AF">
            <w:pPr>
              <w:rPr>
                <w:b/>
                <w:color w:val="365F91" w:themeColor="accent1" w:themeShade="BF"/>
              </w:rPr>
            </w:pPr>
            <w:r w:rsidRPr="00953391">
              <w:rPr>
                <w:b/>
                <w:color w:val="365F91" w:themeColor="accent1" w:themeShade="BF"/>
              </w:rPr>
              <w:t>eCpG-transcript status</w:t>
            </w:r>
          </w:p>
        </w:tc>
        <w:tc>
          <w:tcPr>
            <w:tcW w:w="1697" w:type="dxa"/>
            <w:tcBorders>
              <w:top w:val="single" w:sz="8" w:space="0" w:color="000000"/>
              <w:left w:val="nil"/>
              <w:bottom w:val="single" w:sz="4" w:space="0" w:color="auto"/>
              <w:right w:val="nil"/>
            </w:tcBorders>
            <w:shd w:val="clear" w:color="auto" w:fill="auto"/>
            <w:tcMar>
              <w:top w:w="20" w:type="dxa"/>
              <w:left w:w="20" w:type="dxa"/>
              <w:bottom w:w="0" w:type="dxa"/>
              <w:right w:w="20" w:type="dxa"/>
            </w:tcMar>
            <w:vAlign w:val="bottom"/>
            <w:hideMark/>
          </w:tcPr>
          <w:p w14:paraId="0F54C6C8" w14:textId="77777777" w:rsidR="00C756DA" w:rsidRPr="00953391" w:rsidRDefault="00C756DA" w:rsidP="00F737AF">
            <w:pPr>
              <w:rPr>
                <w:b/>
                <w:color w:val="365F91" w:themeColor="accent1" w:themeShade="BF"/>
              </w:rPr>
            </w:pPr>
            <w:r w:rsidRPr="00953391">
              <w:rPr>
                <w:b/>
                <w:color w:val="365F91" w:themeColor="accent1" w:themeShade="BF"/>
              </w:rPr>
              <w:t>Before</w:t>
            </w:r>
          </w:p>
        </w:tc>
        <w:tc>
          <w:tcPr>
            <w:tcW w:w="1170" w:type="dxa"/>
            <w:tcBorders>
              <w:top w:val="single" w:sz="8" w:space="0" w:color="000000"/>
              <w:left w:val="nil"/>
              <w:bottom w:val="single" w:sz="4" w:space="0" w:color="auto"/>
              <w:right w:val="nil"/>
            </w:tcBorders>
            <w:shd w:val="clear" w:color="auto" w:fill="auto"/>
            <w:tcMar>
              <w:top w:w="20" w:type="dxa"/>
              <w:left w:w="20" w:type="dxa"/>
              <w:bottom w:w="0" w:type="dxa"/>
              <w:right w:w="20" w:type="dxa"/>
            </w:tcMar>
            <w:vAlign w:val="bottom"/>
            <w:hideMark/>
          </w:tcPr>
          <w:p w14:paraId="425AA692" w14:textId="77777777" w:rsidR="00C756DA" w:rsidRPr="00953391" w:rsidRDefault="00C756DA" w:rsidP="00F737AF">
            <w:pPr>
              <w:rPr>
                <w:b/>
                <w:color w:val="365F91" w:themeColor="accent1" w:themeShade="BF"/>
              </w:rPr>
            </w:pPr>
            <w:r w:rsidRPr="00953391">
              <w:rPr>
                <w:b/>
                <w:color w:val="365F91" w:themeColor="accent1" w:themeShade="BF"/>
              </w:rPr>
              <w:t>After</w:t>
            </w:r>
          </w:p>
        </w:tc>
      </w:tr>
      <w:tr w:rsidR="00C756DA" w:rsidRPr="00953391" w14:paraId="2BDEC0B1" w14:textId="77777777" w:rsidTr="00A7238F">
        <w:trPr>
          <w:trHeight w:val="300"/>
        </w:trPr>
        <w:tc>
          <w:tcPr>
            <w:tcW w:w="3433" w:type="dxa"/>
            <w:tcBorders>
              <w:top w:val="single" w:sz="4" w:space="0" w:color="auto"/>
            </w:tcBorders>
            <w:shd w:val="clear" w:color="auto" w:fill="auto"/>
            <w:tcMar>
              <w:top w:w="20" w:type="dxa"/>
              <w:left w:w="20" w:type="dxa"/>
              <w:bottom w:w="0" w:type="dxa"/>
              <w:right w:w="20" w:type="dxa"/>
            </w:tcMar>
            <w:vAlign w:val="bottom"/>
            <w:hideMark/>
          </w:tcPr>
          <w:p w14:paraId="7DC9556A" w14:textId="77777777" w:rsidR="00C756DA" w:rsidRPr="00953391" w:rsidRDefault="00C756DA" w:rsidP="00F737AF">
            <w:pPr>
              <w:rPr>
                <w:b/>
                <w:color w:val="365F91" w:themeColor="accent1" w:themeShade="BF"/>
              </w:rPr>
            </w:pPr>
            <w:r w:rsidRPr="00953391">
              <w:rPr>
                <w:b/>
                <w:color w:val="365F91" w:themeColor="accent1" w:themeShade="BF"/>
              </w:rPr>
              <w:t>Cis</w:t>
            </w:r>
          </w:p>
        </w:tc>
        <w:tc>
          <w:tcPr>
            <w:tcW w:w="1697" w:type="dxa"/>
            <w:tcBorders>
              <w:top w:val="single" w:sz="4" w:space="0" w:color="auto"/>
            </w:tcBorders>
            <w:shd w:val="clear" w:color="auto" w:fill="auto"/>
            <w:tcMar>
              <w:top w:w="20" w:type="dxa"/>
              <w:left w:w="20" w:type="dxa"/>
              <w:bottom w:w="0" w:type="dxa"/>
              <w:right w:w="20" w:type="dxa"/>
            </w:tcMar>
            <w:vAlign w:val="bottom"/>
            <w:hideMark/>
          </w:tcPr>
          <w:p w14:paraId="2FDECFED" w14:textId="77777777" w:rsidR="00C756DA" w:rsidRPr="00953391" w:rsidRDefault="00C756DA" w:rsidP="00F737AF">
            <w:pPr>
              <w:rPr>
                <w:b/>
                <w:color w:val="365F91" w:themeColor="accent1" w:themeShade="BF"/>
              </w:rPr>
            </w:pPr>
            <w:r w:rsidRPr="00953391">
              <w:rPr>
                <w:b/>
                <w:color w:val="365F91" w:themeColor="accent1" w:themeShade="BF"/>
              </w:rPr>
              <w:t>39.4</w:t>
            </w:r>
          </w:p>
        </w:tc>
        <w:tc>
          <w:tcPr>
            <w:tcW w:w="1170" w:type="dxa"/>
            <w:tcBorders>
              <w:top w:val="single" w:sz="4" w:space="0" w:color="auto"/>
            </w:tcBorders>
            <w:shd w:val="clear" w:color="auto" w:fill="auto"/>
            <w:tcMar>
              <w:top w:w="20" w:type="dxa"/>
              <w:left w:w="20" w:type="dxa"/>
              <w:bottom w:w="0" w:type="dxa"/>
              <w:right w:w="20" w:type="dxa"/>
            </w:tcMar>
            <w:vAlign w:val="bottom"/>
            <w:hideMark/>
          </w:tcPr>
          <w:p w14:paraId="11DB79DD" w14:textId="77777777" w:rsidR="00C756DA" w:rsidRPr="00953391" w:rsidRDefault="00C756DA" w:rsidP="00F737AF">
            <w:pPr>
              <w:rPr>
                <w:b/>
                <w:color w:val="365F91" w:themeColor="accent1" w:themeShade="BF"/>
              </w:rPr>
            </w:pPr>
            <w:r w:rsidRPr="00953391">
              <w:rPr>
                <w:b/>
                <w:color w:val="365F91" w:themeColor="accent1" w:themeShade="BF"/>
              </w:rPr>
              <w:t>47.3</w:t>
            </w:r>
          </w:p>
        </w:tc>
      </w:tr>
      <w:tr w:rsidR="00C756DA" w:rsidRPr="00953391" w14:paraId="7C28E414" w14:textId="77777777" w:rsidTr="00A7238F">
        <w:trPr>
          <w:trHeight w:val="300"/>
        </w:trPr>
        <w:tc>
          <w:tcPr>
            <w:tcW w:w="3433" w:type="dxa"/>
            <w:shd w:val="clear" w:color="auto" w:fill="auto"/>
            <w:tcMar>
              <w:top w:w="20" w:type="dxa"/>
              <w:left w:w="20" w:type="dxa"/>
              <w:bottom w:w="0" w:type="dxa"/>
              <w:right w:w="20" w:type="dxa"/>
            </w:tcMar>
            <w:vAlign w:val="bottom"/>
            <w:hideMark/>
          </w:tcPr>
          <w:p w14:paraId="1B9322FD" w14:textId="77777777" w:rsidR="00C756DA" w:rsidRPr="00953391" w:rsidRDefault="00C756DA" w:rsidP="00F737AF">
            <w:pPr>
              <w:rPr>
                <w:b/>
                <w:color w:val="365F91" w:themeColor="accent1" w:themeShade="BF"/>
              </w:rPr>
            </w:pPr>
            <w:r w:rsidRPr="00953391">
              <w:rPr>
                <w:b/>
                <w:color w:val="365F91" w:themeColor="accent1" w:themeShade="BF"/>
              </w:rPr>
              <w:t>Distal</w:t>
            </w:r>
          </w:p>
        </w:tc>
        <w:tc>
          <w:tcPr>
            <w:tcW w:w="1697" w:type="dxa"/>
            <w:shd w:val="clear" w:color="auto" w:fill="auto"/>
            <w:tcMar>
              <w:top w:w="20" w:type="dxa"/>
              <w:left w:w="20" w:type="dxa"/>
              <w:bottom w:w="0" w:type="dxa"/>
              <w:right w:w="20" w:type="dxa"/>
            </w:tcMar>
            <w:vAlign w:val="bottom"/>
            <w:hideMark/>
          </w:tcPr>
          <w:p w14:paraId="76B211D5" w14:textId="77777777" w:rsidR="00C756DA" w:rsidRPr="00953391" w:rsidRDefault="00C756DA" w:rsidP="00F737AF">
            <w:pPr>
              <w:rPr>
                <w:b/>
                <w:color w:val="365F91" w:themeColor="accent1" w:themeShade="BF"/>
              </w:rPr>
            </w:pPr>
            <w:r w:rsidRPr="00953391">
              <w:rPr>
                <w:b/>
                <w:color w:val="365F91" w:themeColor="accent1" w:themeShade="BF"/>
              </w:rPr>
              <w:t>11.1</w:t>
            </w:r>
          </w:p>
        </w:tc>
        <w:tc>
          <w:tcPr>
            <w:tcW w:w="1170" w:type="dxa"/>
            <w:shd w:val="clear" w:color="auto" w:fill="auto"/>
            <w:tcMar>
              <w:top w:w="20" w:type="dxa"/>
              <w:left w:w="20" w:type="dxa"/>
              <w:bottom w:w="0" w:type="dxa"/>
              <w:right w:w="20" w:type="dxa"/>
            </w:tcMar>
            <w:vAlign w:val="bottom"/>
            <w:hideMark/>
          </w:tcPr>
          <w:p w14:paraId="286314FD" w14:textId="77777777" w:rsidR="00C756DA" w:rsidRPr="00953391" w:rsidRDefault="00C756DA" w:rsidP="00F737AF">
            <w:pPr>
              <w:rPr>
                <w:b/>
                <w:color w:val="365F91" w:themeColor="accent1" w:themeShade="BF"/>
              </w:rPr>
            </w:pPr>
            <w:r w:rsidRPr="00953391">
              <w:rPr>
                <w:b/>
                <w:color w:val="365F91" w:themeColor="accent1" w:themeShade="BF"/>
              </w:rPr>
              <w:t>13.8</w:t>
            </w:r>
          </w:p>
        </w:tc>
      </w:tr>
      <w:tr w:rsidR="00C756DA" w:rsidRPr="00953391" w14:paraId="616E4296" w14:textId="77777777" w:rsidTr="00A7238F">
        <w:trPr>
          <w:trHeight w:val="300"/>
        </w:trPr>
        <w:tc>
          <w:tcPr>
            <w:tcW w:w="3433" w:type="dxa"/>
            <w:tcBorders>
              <w:bottom w:val="single" w:sz="4" w:space="0" w:color="auto"/>
            </w:tcBorders>
            <w:shd w:val="clear" w:color="auto" w:fill="auto"/>
            <w:tcMar>
              <w:top w:w="20" w:type="dxa"/>
              <w:left w:w="20" w:type="dxa"/>
              <w:bottom w:w="0" w:type="dxa"/>
              <w:right w:w="20" w:type="dxa"/>
            </w:tcMar>
            <w:vAlign w:val="bottom"/>
            <w:hideMark/>
          </w:tcPr>
          <w:p w14:paraId="47C2DFFB" w14:textId="77777777" w:rsidR="00C756DA" w:rsidRPr="00953391" w:rsidRDefault="00C756DA" w:rsidP="00F737AF">
            <w:pPr>
              <w:rPr>
                <w:b/>
                <w:color w:val="365F91" w:themeColor="accent1" w:themeShade="BF"/>
              </w:rPr>
            </w:pPr>
            <w:r w:rsidRPr="00953391">
              <w:rPr>
                <w:b/>
                <w:color w:val="365F91" w:themeColor="accent1" w:themeShade="BF"/>
              </w:rPr>
              <w:t>Trans</w:t>
            </w:r>
          </w:p>
        </w:tc>
        <w:tc>
          <w:tcPr>
            <w:tcW w:w="1697" w:type="dxa"/>
            <w:tcBorders>
              <w:bottom w:val="single" w:sz="4" w:space="0" w:color="auto"/>
            </w:tcBorders>
            <w:shd w:val="clear" w:color="auto" w:fill="auto"/>
            <w:tcMar>
              <w:top w:w="20" w:type="dxa"/>
              <w:left w:w="20" w:type="dxa"/>
              <w:bottom w:w="0" w:type="dxa"/>
              <w:right w:w="20" w:type="dxa"/>
            </w:tcMar>
            <w:vAlign w:val="bottom"/>
            <w:hideMark/>
          </w:tcPr>
          <w:p w14:paraId="1A177ED2" w14:textId="77777777" w:rsidR="00C756DA" w:rsidRPr="00953391" w:rsidRDefault="00C756DA" w:rsidP="00F737AF">
            <w:pPr>
              <w:rPr>
                <w:b/>
                <w:color w:val="365F91" w:themeColor="accent1" w:themeShade="BF"/>
              </w:rPr>
            </w:pPr>
            <w:r w:rsidRPr="00953391">
              <w:rPr>
                <w:b/>
                <w:color w:val="365F91" w:themeColor="accent1" w:themeShade="BF"/>
              </w:rPr>
              <w:t>49.4</w:t>
            </w:r>
          </w:p>
        </w:tc>
        <w:tc>
          <w:tcPr>
            <w:tcW w:w="1170" w:type="dxa"/>
            <w:tcBorders>
              <w:bottom w:val="single" w:sz="4" w:space="0" w:color="auto"/>
            </w:tcBorders>
            <w:shd w:val="clear" w:color="auto" w:fill="auto"/>
            <w:tcMar>
              <w:top w:w="20" w:type="dxa"/>
              <w:left w:w="20" w:type="dxa"/>
              <w:bottom w:w="0" w:type="dxa"/>
              <w:right w:w="20" w:type="dxa"/>
            </w:tcMar>
            <w:vAlign w:val="bottom"/>
            <w:hideMark/>
          </w:tcPr>
          <w:p w14:paraId="12690194" w14:textId="77777777" w:rsidR="00C756DA" w:rsidRPr="00953391" w:rsidRDefault="00C756DA" w:rsidP="00F737AF">
            <w:pPr>
              <w:rPr>
                <w:b/>
                <w:color w:val="365F91" w:themeColor="accent1" w:themeShade="BF"/>
              </w:rPr>
            </w:pPr>
            <w:r w:rsidRPr="00953391">
              <w:rPr>
                <w:b/>
                <w:color w:val="365F91" w:themeColor="accent1" w:themeShade="BF"/>
              </w:rPr>
              <w:t>38.9</w:t>
            </w:r>
          </w:p>
        </w:tc>
      </w:tr>
    </w:tbl>
    <w:p w14:paraId="4BF8D74D" w14:textId="5DFD5AB1" w:rsidR="00C756DA" w:rsidRDefault="00C756DA" w:rsidP="00A62D9B">
      <w:pPr>
        <w:spacing w:line="480" w:lineRule="auto"/>
        <w:rPr>
          <w:rFonts w:eastAsia="Times New Roman"/>
        </w:rPr>
      </w:pPr>
    </w:p>
    <w:p w14:paraId="5B8D2F36" w14:textId="52590E92" w:rsidR="00C756DA" w:rsidRDefault="00C756DA" w:rsidP="00A62D9B">
      <w:pPr>
        <w:spacing w:line="480" w:lineRule="auto"/>
        <w:rPr>
          <w:rFonts w:eastAsia="Times New Roman"/>
        </w:rPr>
      </w:pPr>
    </w:p>
    <w:p w14:paraId="3D90DCB8" w14:textId="797044F9" w:rsidR="00C756DA" w:rsidRDefault="00C756DA" w:rsidP="00A62D9B">
      <w:pPr>
        <w:spacing w:line="480" w:lineRule="auto"/>
        <w:rPr>
          <w:rFonts w:eastAsia="Times New Roman"/>
        </w:rPr>
      </w:pPr>
    </w:p>
    <w:p w14:paraId="63130542" w14:textId="6BBD981B" w:rsidR="00C756DA" w:rsidRDefault="00C756DA" w:rsidP="00A62D9B">
      <w:pPr>
        <w:spacing w:line="480" w:lineRule="auto"/>
        <w:rPr>
          <w:rFonts w:eastAsia="Times New Roman"/>
        </w:rPr>
      </w:pPr>
    </w:p>
    <w:p w14:paraId="6381298F" w14:textId="6D244690" w:rsidR="00C756DA" w:rsidRDefault="00C756DA" w:rsidP="00A62D9B">
      <w:pPr>
        <w:spacing w:line="480" w:lineRule="auto"/>
        <w:rPr>
          <w:rFonts w:eastAsia="Times New Roman"/>
        </w:rPr>
      </w:pPr>
    </w:p>
    <w:p w14:paraId="23B3E692" w14:textId="47A12403" w:rsidR="00C756DA" w:rsidRDefault="00C756DA" w:rsidP="00A62D9B">
      <w:pPr>
        <w:spacing w:line="480" w:lineRule="auto"/>
        <w:rPr>
          <w:rFonts w:eastAsia="Times New Roman"/>
        </w:rPr>
      </w:pPr>
    </w:p>
    <w:p w14:paraId="0BEF710B" w14:textId="7BD06053" w:rsidR="00C756DA" w:rsidRDefault="00C756DA" w:rsidP="00A62D9B">
      <w:pPr>
        <w:spacing w:line="480" w:lineRule="auto"/>
        <w:rPr>
          <w:rFonts w:eastAsia="Times New Roman"/>
        </w:rPr>
      </w:pPr>
    </w:p>
    <w:p w14:paraId="040C4C3D" w14:textId="66D56BD7" w:rsidR="00C756DA" w:rsidRDefault="00C756DA" w:rsidP="00A62D9B">
      <w:pPr>
        <w:spacing w:line="480" w:lineRule="auto"/>
        <w:rPr>
          <w:rFonts w:eastAsia="Times New Roman"/>
        </w:rPr>
      </w:pPr>
    </w:p>
    <w:p w14:paraId="24971357" w14:textId="77777777" w:rsidR="00C756DA" w:rsidRPr="00062A17" w:rsidRDefault="00C756DA" w:rsidP="00A62D9B">
      <w:pPr>
        <w:spacing w:line="480" w:lineRule="auto"/>
        <w:rPr>
          <w:rFonts w:eastAsia="Times New Roman"/>
        </w:rPr>
      </w:pPr>
    </w:p>
    <w:p w14:paraId="14DA6441" w14:textId="77777777" w:rsidR="00996192" w:rsidRPr="00492585" w:rsidRDefault="00996192" w:rsidP="00996192">
      <w:pPr>
        <w:spacing w:before="120" w:line="480" w:lineRule="auto"/>
        <w:rPr>
          <w:b/>
        </w:rPr>
      </w:pPr>
      <w:r w:rsidRPr="00492585">
        <w:rPr>
          <w:rFonts w:eastAsia="Times New Roman"/>
          <w:b/>
        </w:rPr>
        <w:t>Genomic Interaction Distance Decay</w:t>
      </w:r>
    </w:p>
    <w:p w14:paraId="1944C371" w14:textId="77777777" w:rsidR="00996192" w:rsidRPr="00492585" w:rsidRDefault="00996192" w:rsidP="00996192">
      <w:pPr>
        <w:spacing w:line="480" w:lineRule="auto"/>
        <w:ind w:firstLine="720"/>
        <w:rPr>
          <w:u w:val="single"/>
        </w:rPr>
      </w:pPr>
      <w:r w:rsidRPr="00492585">
        <w:rPr>
          <w:rFonts w:eastAsia="Times New Roman"/>
        </w:rPr>
        <w:t xml:space="preserve">In this analysis we used the GM12878 Hi-C dataset of Rao </w:t>
      </w:r>
      <w:proofErr w:type="gramStart"/>
      <w:r w:rsidRPr="00492585">
        <w:rPr>
          <w:rFonts w:eastAsia="Times New Roman"/>
        </w:rPr>
        <w:t>et</w:t>
      </w:r>
      <w:proofErr w:type="gramEnd"/>
      <w:r w:rsidRPr="00492585">
        <w:rPr>
          <w:rFonts w:eastAsia="Times New Roman"/>
        </w:rPr>
        <w:t xml:space="preserve">. al 2014 accessed from GSE63525 </w:t>
      </w:r>
      <w:r w:rsidRPr="001A046B">
        <w:rPr>
          <w:rFonts w:eastAsia="Times New Roman"/>
        </w:rPr>
        <w:fldChar w:fldCharType="begin"/>
      </w:r>
      <w:r>
        <w:rPr>
          <w:rFonts w:eastAsia="Times New Roman"/>
        </w:rPr>
        <w:instrText xml:space="preserve"> ADDIN ZOTERO_ITEM CSL_CITATION {"citationID":"a185mmh6ufc","properties":{"formattedCitation":"[28]","plainCitation":"[28]"},"citationItems":[{"id":1563,"uris":["http://zotero.org/users/1026282/items/48TVTCRV"],"uri":["http://zotero.org/users/1026282/items/48TVTCRV"],"itemData":{"id":1563,"type":"article-journal","title":"A 3D map of the human genome at kilobase resolution reveals principles of chromatin looping","container-title":"Cell","page":"1665-1680","volume":"159","issue":"7","source":"PubMed","abstract":"We use in situ Hi-C to probe the 3D architecture of genomes, constructing haploid and diploid maps of nine cell types. The densest, in human lymphoblastoid cells, contains 4.9 billion contacts, achieving 1 kb resolution. We find that genomes are partitioned into contact domains (median length, 185 kb), which are associated with distinct patterns of histone marks and segregate into six subcompartments. We identify </w:instrText>
      </w:r>
      <w:r>
        <w:rPr>
          <w:rFonts w:ascii="Cambria Math" w:eastAsia="Times New Roman" w:hAnsi="Cambria Math" w:cs="Cambria Math"/>
        </w:rPr>
        <w:instrText>∼</w:instrText>
      </w:r>
      <w:r>
        <w:rPr>
          <w:rFonts w:eastAsia="Times New Roman"/>
        </w:rPr>
        <w:instrText xml:space="preserve">10,000 loops. These loops frequently link promoters and enhancers, correlate with gene activation, and show conservation across cell types and species. Loop anchors typically occur at domain boundaries and bind CTCF. CTCF sites at loop anchors occur predominantly (&gt;90%) in a convergent orientation, with the asymmetric motifs \"facing\" one another. The inactive X chromosome splits into two massive domains and contains large loops anchored at CTCF-binding repeats.","DOI":"10.1016/j.cell.2014.11.021","ISSN":"1097-4172","note":"PMID: 25497547","journalAbbreviation":"Cell","language":"eng","author":[{"family":"Rao","given":"Suhas S. P."},{"family":"Huntley","given":"Miriam H."},{"family":"Durand","given":"Neva C."},{"family":"Stamenova","given":"Elena K."},{"family":"Bochkov","given":"Ivan D."},{"family":"Robinson","given":"James T."},{"family":"Sanborn","given":"Adrian L."},{"family":"Machol","given":"Ido"},{"family":"Omer","given":"Arina D."},{"family":"Lander","given":"Eric S."},{"family":"Aiden","given":"Erez Lieberman"}],"issued":{"date-parts":[["2014",12,18]]}}}],"schema":"https://github.com/citation-style-language/schema/raw/master/csl-citation.json"} </w:instrText>
      </w:r>
      <w:r w:rsidRPr="001A046B">
        <w:rPr>
          <w:rFonts w:eastAsia="Times New Roman"/>
        </w:rPr>
        <w:fldChar w:fldCharType="separate"/>
      </w:r>
      <w:r>
        <w:rPr>
          <w:rFonts w:eastAsia="Times New Roman"/>
          <w:noProof/>
        </w:rPr>
        <w:t>[28]</w:t>
      </w:r>
      <w:r w:rsidRPr="001A046B">
        <w:rPr>
          <w:rFonts w:eastAsia="Times New Roman"/>
        </w:rPr>
        <w:fldChar w:fldCharType="end"/>
      </w:r>
      <w:r w:rsidRPr="00492585">
        <w:rPr>
          <w:rFonts w:eastAsia="Times New Roman"/>
        </w:rPr>
        <w:t xml:space="preserve">. The average number of interactions between each 1 kb bin was taken from the expected values for </w:t>
      </w:r>
      <w:proofErr w:type="spellStart"/>
      <w:r w:rsidRPr="00492585">
        <w:rPr>
          <w:rFonts w:eastAsia="Times New Roman"/>
        </w:rPr>
        <w:t>unnormalized</w:t>
      </w:r>
      <w:proofErr w:type="spellEnd"/>
      <w:r w:rsidRPr="00492585">
        <w:rPr>
          <w:rFonts w:eastAsia="Times New Roman"/>
        </w:rPr>
        <w:t xml:space="preserve"> interaction counts on Chromosome 1 at 1 kb. We next calculated the distance (rounded to the nearest 1 kb) between eCpGs and the transcription start sites (TSS) annotated to their associated expression probes for each of the 4,799 significant cis and distal eCpG-transcript pairs. To plot the distance decay of both datasets, the logarithmic space between 10</w:t>
      </w:r>
      <w:r w:rsidRPr="00492585">
        <w:rPr>
          <w:rFonts w:eastAsia="Times New Roman"/>
          <w:vertAlign w:val="superscript"/>
        </w:rPr>
        <w:t>3</w:t>
      </w:r>
      <w:r w:rsidRPr="00492585">
        <w:rPr>
          <w:rFonts w:eastAsia="Times New Roman"/>
        </w:rPr>
        <w:t xml:space="preserve"> and 10</w:t>
      </w:r>
      <w:r w:rsidRPr="00492585">
        <w:rPr>
          <w:rFonts w:eastAsia="Times New Roman"/>
          <w:vertAlign w:val="superscript"/>
        </w:rPr>
        <w:t>8</w:t>
      </w:r>
      <w:r w:rsidRPr="00492585">
        <w:rPr>
          <w:rFonts w:eastAsia="Times New Roman"/>
        </w:rPr>
        <w:t xml:space="preserve"> was divided into 30 equally spaced bins. Means and 0.95 confidence intervals were computed for each bin using the .</w:t>
      </w:r>
      <w:proofErr w:type="spellStart"/>
      <w:r w:rsidRPr="00492585">
        <w:rPr>
          <w:rFonts w:eastAsia="Times New Roman"/>
        </w:rPr>
        <w:t>regplot</w:t>
      </w:r>
      <w:proofErr w:type="spellEnd"/>
      <w:r w:rsidRPr="00492585">
        <w:rPr>
          <w:rFonts w:eastAsia="Times New Roman"/>
        </w:rPr>
        <w:t xml:space="preserve"> function in the python package, </w:t>
      </w:r>
      <w:proofErr w:type="spellStart"/>
      <w:r w:rsidRPr="00492585">
        <w:rPr>
          <w:rFonts w:eastAsia="Times New Roman"/>
        </w:rPr>
        <w:t>Seaborn</w:t>
      </w:r>
      <w:proofErr w:type="spellEnd"/>
      <w:r w:rsidRPr="00492585">
        <w:rPr>
          <w:rFonts w:eastAsia="Times New Roman"/>
        </w:rPr>
        <w:t xml:space="preserve"> (DOI 10.5281/zenodo.592845).</w:t>
      </w:r>
    </w:p>
    <w:p w14:paraId="3DE8377B" w14:textId="215E9372" w:rsidR="00996192" w:rsidRPr="00A7238F" w:rsidRDefault="00996192" w:rsidP="00A7238F">
      <w:pPr>
        <w:spacing w:before="120" w:line="480" w:lineRule="auto"/>
        <w:rPr>
          <w:rFonts w:eastAsia="Times New Roman"/>
          <w:b/>
        </w:rPr>
      </w:pPr>
      <w:r>
        <w:rPr>
          <w:rFonts w:eastAsia="Times New Roman"/>
          <w:b/>
        </w:rPr>
        <w:lastRenderedPageBreak/>
        <w:t>Further Gene Body eCpG Analysis</w:t>
      </w:r>
      <w:r w:rsidRPr="00492585">
        <w:rPr>
          <w:rFonts w:eastAsia="Times New Roman"/>
        </w:rPr>
        <w:tab/>
      </w:r>
    </w:p>
    <w:p w14:paraId="02CB7A45" w14:textId="4A8FC519" w:rsidR="001B705B" w:rsidRDefault="00996192" w:rsidP="00A7238F">
      <w:pPr>
        <w:spacing w:line="480" w:lineRule="auto"/>
        <w:rPr>
          <w:rFonts w:eastAsia="Times New Roman"/>
        </w:rPr>
      </w:pPr>
      <w:r w:rsidRPr="00492585">
        <w:rPr>
          <w:rFonts w:eastAsia="Times New Roman"/>
        </w:rPr>
        <w:tab/>
        <w:t xml:space="preserve">To test the hypothesis that positively correlated gene body eCpGs reside in the promoters of overlapping genes, we first identified eCpGs within our results that were associated with expression transcripts that annotated to overlapping genes. Read-through genes and low-confidence (i.e., LOC, </w:t>
      </w:r>
      <w:proofErr w:type="spellStart"/>
      <w:r w:rsidRPr="00492585">
        <w:rPr>
          <w:rFonts w:eastAsia="Times New Roman"/>
        </w:rPr>
        <w:t>orf</w:t>
      </w:r>
      <w:proofErr w:type="spellEnd"/>
      <w:r w:rsidRPr="00492585">
        <w:rPr>
          <w:rFonts w:eastAsia="Times New Roman"/>
        </w:rPr>
        <w:t xml:space="preserve">, KIAA, FLJ) annotations were excluded. We compared the </w:t>
      </w:r>
      <w:proofErr w:type="spellStart"/>
      <w:r w:rsidRPr="00492585">
        <w:rPr>
          <w:rFonts w:eastAsia="Times New Roman"/>
        </w:rPr>
        <w:t>refseq</w:t>
      </w:r>
      <w:proofErr w:type="spellEnd"/>
      <w:r w:rsidRPr="00492585">
        <w:rPr>
          <w:rFonts w:eastAsia="Times New Roman"/>
        </w:rPr>
        <w:t xml:space="preserve"> and </w:t>
      </w:r>
      <w:proofErr w:type="spellStart"/>
      <w:r w:rsidRPr="00492585">
        <w:rPr>
          <w:rFonts w:eastAsia="Times New Roman"/>
        </w:rPr>
        <w:t>ensembl</w:t>
      </w:r>
      <w:proofErr w:type="spellEnd"/>
      <w:r w:rsidRPr="00492585">
        <w:rPr>
          <w:rFonts w:eastAsia="Times New Roman"/>
        </w:rPr>
        <w:t xml:space="preserve"> annotations separately. From these eCpGs we were able to compare the numbers of negative and positive eCpG-gene body correlations.</w:t>
      </w:r>
    </w:p>
    <w:p w14:paraId="08892FB2" w14:textId="77777777" w:rsidR="00996192" w:rsidRPr="00062A17" w:rsidRDefault="00996192" w:rsidP="00D3325B">
      <w:pPr>
        <w:spacing w:line="480" w:lineRule="auto"/>
        <w:ind w:left="270" w:hanging="270"/>
        <w:rPr>
          <w:rFonts w:eastAsia="Times New Roman"/>
        </w:rPr>
      </w:pPr>
    </w:p>
    <w:p w14:paraId="43E98132" w14:textId="77777777" w:rsidR="00111FEB" w:rsidRPr="00062A17" w:rsidRDefault="00111FEB" w:rsidP="00D3325B">
      <w:pPr>
        <w:pStyle w:val="Bibliography"/>
        <w:spacing w:after="0" w:line="480" w:lineRule="auto"/>
        <w:ind w:left="270" w:hanging="270"/>
      </w:pPr>
      <w:r w:rsidRPr="00062A17">
        <w:rPr>
          <w:b/>
          <w:u w:val="single"/>
        </w:rPr>
        <w:fldChar w:fldCharType="begin"/>
      </w:r>
      <w:r w:rsidRPr="00062A17">
        <w:rPr>
          <w:b/>
          <w:u w:val="single"/>
        </w:rPr>
        <w:instrText xml:space="preserve"> ADDIN ZOTERO_BIBL {"custom":[]} CSL_BIBLIOGRAPHY </w:instrText>
      </w:r>
      <w:r w:rsidRPr="00062A17">
        <w:rPr>
          <w:b/>
          <w:u w:val="single"/>
        </w:rPr>
        <w:fldChar w:fldCharType="separate"/>
      </w:r>
      <w:r w:rsidRPr="00062A17">
        <w:t>1. Gillespie CF, Bradley B, Mercer K, Smith AK, Conneely K, Gapen M, et al. Trauma Exposure and Stress-Related Disorders in Inner City Primary Care Patients. Gen Hosp Psychiatry. 2009;31:505–14.</w:t>
      </w:r>
    </w:p>
    <w:p w14:paraId="700E24AB" w14:textId="77777777" w:rsidR="00111FEB" w:rsidRPr="00062A17" w:rsidRDefault="00111FEB" w:rsidP="00D3325B">
      <w:pPr>
        <w:pStyle w:val="Bibliography"/>
        <w:spacing w:after="0" w:line="480" w:lineRule="auto"/>
        <w:ind w:left="270" w:hanging="270"/>
      </w:pPr>
      <w:r w:rsidRPr="00062A17">
        <w:t>2. Kilaru V, Iyer SV, Almli LM, Stevens JS, Lori A, Jovanovic T, et al. Genome-wide gene-based analysis suggests an association between Neuroligin 1 (NLGN1) and post-traumatic stress disorder. Transl Psychiatry. 2016;6:e820.</w:t>
      </w:r>
    </w:p>
    <w:p w14:paraId="69A1953A" w14:textId="77777777" w:rsidR="00111FEB" w:rsidRPr="00062A17" w:rsidRDefault="00111FEB" w:rsidP="00D3325B">
      <w:pPr>
        <w:pStyle w:val="Bibliography"/>
        <w:spacing w:after="0" w:line="480" w:lineRule="auto"/>
        <w:ind w:left="270" w:hanging="270"/>
      </w:pPr>
      <w:r w:rsidRPr="00062A17">
        <w:t>3. Liu Y, Ding J, Reynolds LM, Lohman K, Register TC, Fuente ADL, et al. Methylomics of gene expression in human monocytes. Hum Mol Genet. 2013;:ddt356.</w:t>
      </w:r>
    </w:p>
    <w:p w14:paraId="76E6BB7E" w14:textId="77777777" w:rsidR="00111FEB" w:rsidRPr="00062A17" w:rsidRDefault="00111FEB" w:rsidP="00D3325B">
      <w:pPr>
        <w:pStyle w:val="Bibliography"/>
        <w:spacing w:after="0" w:line="480" w:lineRule="auto"/>
        <w:ind w:left="270" w:hanging="270"/>
      </w:pPr>
      <w:r w:rsidRPr="00062A17">
        <w:t>4. Barbosa-Morais NL, Dunning MJ, Samarajiwa SA, Darot JFJ, Ritchie ME, Lynch AG, et al. A re-annotation pipeline for Illumina BeadArrays: improving the interpretation of gene expression data. Nucleic Acids Res. 2010;38:e17–e17.</w:t>
      </w:r>
    </w:p>
    <w:p w14:paraId="0CB3C06C" w14:textId="77777777" w:rsidR="00111FEB" w:rsidRPr="00062A17" w:rsidRDefault="00111FEB" w:rsidP="00D3325B">
      <w:pPr>
        <w:pStyle w:val="Bibliography"/>
        <w:spacing w:after="0" w:line="480" w:lineRule="auto"/>
        <w:ind w:left="270" w:hanging="270"/>
      </w:pPr>
      <w:r w:rsidRPr="00062A17">
        <w:t>5. Lawrence M, Huber W, Pagès H, Aboyoun P, Carlson M, Gentleman R, et al. Software for Computing and Annotating Genomic Ranges. PLoS Comput Biol. 2013;9:e1003118.</w:t>
      </w:r>
    </w:p>
    <w:p w14:paraId="4503EBD4" w14:textId="6B924F40" w:rsidR="001448AF" w:rsidRPr="00597FA9" w:rsidRDefault="00111FEB" w:rsidP="00D3325B">
      <w:pPr>
        <w:spacing w:line="480" w:lineRule="auto"/>
        <w:ind w:left="270" w:hanging="270"/>
        <w:rPr>
          <w:b/>
          <w:u w:val="single"/>
        </w:rPr>
      </w:pPr>
      <w:r w:rsidRPr="00062A17">
        <w:rPr>
          <w:b/>
          <w:u w:val="single"/>
        </w:rPr>
        <w:fldChar w:fldCharType="end"/>
      </w:r>
    </w:p>
    <w:sectPr w:rsidR="001448AF" w:rsidRPr="00597FA9" w:rsidSect="009230B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23A2F"/>
    <w:multiLevelType w:val="hybridMultilevel"/>
    <w:tmpl w:val="4DFA06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8A3C85"/>
    <w:multiLevelType w:val="hybridMultilevel"/>
    <w:tmpl w:val="36B8A052"/>
    <w:lvl w:ilvl="0" w:tplc="0409000F">
      <w:start w:val="1"/>
      <w:numFmt w:val="decimal"/>
      <w:lvlText w:val="%1."/>
      <w:lvlJc w:val="left"/>
      <w:pPr>
        <w:ind w:left="360" w:hanging="360"/>
      </w:pPr>
    </w:lvl>
    <w:lvl w:ilvl="1" w:tplc="DA2C670C">
      <w:start w:val="1"/>
      <w:numFmt w:val="lowerLetter"/>
      <w:lvlText w:val="%2."/>
      <w:lvlJc w:val="left"/>
      <w:pPr>
        <w:ind w:left="1080" w:hanging="360"/>
      </w:pPr>
      <w:rPr>
        <w:vertAlign w:val="baseline"/>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ennedy, Elizabeth M.">
    <w15:presenceInfo w15:providerId="AD" w15:userId="S-1-5-21-4279633407-28481931-2677731258-2590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B81"/>
    <w:rsid w:val="00013CC8"/>
    <w:rsid w:val="00034737"/>
    <w:rsid w:val="00062A17"/>
    <w:rsid w:val="000F2398"/>
    <w:rsid w:val="00111FEB"/>
    <w:rsid w:val="001448AF"/>
    <w:rsid w:val="00181825"/>
    <w:rsid w:val="0019063E"/>
    <w:rsid w:val="00195CE4"/>
    <w:rsid w:val="001A0641"/>
    <w:rsid w:val="001B705B"/>
    <w:rsid w:val="00232A93"/>
    <w:rsid w:val="002E631A"/>
    <w:rsid w:val="00302C54"/>
    <w:rsid w:val="00352A04"/>
    <w:rsid w:val="003E4F35"/>
    <w:rsid w:val="003E73D3"/>
    <w:rsid w:val="003F06C1"/>
    <w:rsid w:val="0040119C"/>
    <w:rsid w:val="00431BA4"/>
    <w:rsid w:val="00443A88"/>
    <w:rsid w:val="00477C40"/>
    <w:rsid w:val="004A54E1"/>
    <w:rsid w:val="004D17EB"/>
    <w:rsid w:val="00500D17"/>
    <w:rsid w:val="0051036D"/>
    <w:rsid w:val="005343D6"/>
    <w:rsid w:val="00543EBF"/>
    <w:rsid w:val="005773EB"/>
    <w:rsid w:val="00597FA9"/>
    <w:rsid w:val="005C089A"/>
    <w:rsid w:val="006A7390"/>
    <w:rsid w:val="0070255D"/>
    <w:rsid w:val="00703E5B"/>
    <w:rsid w:val="00706CD1"/>
    <w:rsid w:val="0071187B"/>
    <w:rsid w:val="007407CE"/>
    <w:rsid w:val="007509DF"/>
    <w:rsid w:val="00834880"/>
    <w:rsid w:val="008508D6"/>
    <w:rsid w:val="008E7202"/>
    <w:rsid w:val="008F5DB8"/>
    <w:rsid w:val="00907005"/>
    <w:rsid w:val="009126BA"/>
    <w:rsid w:val="009230BB"/>
    <w:rsid w:val="009662CD"/>
    <w:rsid w:val="009711A1"/>
    <w:rsid w:val="00985FA0"/>
    <w:rsid w:val="00996192"/>
    <w:rsid w:val="009B23D2"/>
    <w:rsid w:val="009D7F87"/>
    <w:rsid w:val="00A62D9B"/>
    <w:rsid w:val="00A7238F"/>
    <w:rsid w:val="00AC6CC8"/>
    <w:rsid w:val="00B241E8"/>
    <w:rsid w:val="00BD5839"/>
    <w:rsid w:val="00BF32B5"/>
    <w:rsid w:val="00C756DA"/>
    <w:rsid w:val="00CA3FF0"/>
    <w:rsid w:val="00CB5AD3"/>
    <w:rsid w:val="00CD667B"/>
    <w:rsid w:val="00D3325B"/>
    <w:rsid w:val="00D36FF8"/>
    <w:rsid w:val="00D63B81"/>
    <w:rsid w:val="00D85970"/>
    <w:rsid w:val="00DD29BB"/>
    <w:rsid w:val="00E62C4A"/>
    <w:rsid w:val="00E80118"/>
    <w:rsid w:val="00E85ECE"/>
    <w:rsid w:val="00ED35F1"/>
    <w:rsid w:val="00EE3825"/>
    <w:rsid w:val="00F20FDC"/>
    <w:rsid w:val="00F678C0"/>
    <w:rsid w:val="00F945E8"/>
    <w:rsid w:val="00FA372E"/>
    <w:rsid w:val="00FA6DB4"/>
    <w:rsid w:val="00FB767F"/>
    <w:rsid w:val="00FC7E94"/>
    <w:rsid w:val="00FE4F8B"/>
    <w:rsid w:val="00FF70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6AB7EE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3B81"/>
    <w:pPr>
      <w:ind w:left="720"/>
      <w:contextualSpacing/>
    </w:pPr>
  </w:style>
  <w:style w:type="paragraph" w:styleId="BalloonText">
    <w:name w:val="Balloon Text"/>
    <w:basedOn w:val="Normal"/>
    <w:link w:val="BalloonTextChar"/>
    <w:uiPriority w:val="99"/>
    <w:semiHidden/>
    <w:unhideWhenUsed/>
    <w:rsid w:val="004A54E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A54E1"/>
    <w:rPr>
      <w:rFonts w:ascii="Lucida Grande" w:hAnsi="Lucida Grande" w:cs="Lucida Grande"/>
      <w:sz w:val="18"/>
      <w:szCs w:val="18"/>
    </w:rPr>
  </w:style>
  <w:style w:type="character" w:styleId="CommentReference">
    <w:name w:val="annotation reference"/>
    <w:basedOn w:val="DefaultParagraphFont"/>
    <w:uiPriority w:val="99"/>
    <w:semiHidden/>
    <w:unhideWhenUsed/>
    <w:rsid w:val="004A54E1"/>
    <w:rPr>
      <w:sz w:val="18"/>
      <w:szCs w:val="18"/>
    </w:rPr>
  </w:style>
  <w:style w:type="paragraph" w:styleId="CommentText">
    <w:name w:val="annotation text"/>
    <w:basedOn w:val="Normal"/>
    <w:link w:val="CommentTextChar"/>
    <w:uiPriority w:val="99"/>
    <w:semiHidden/>
    <w:unhideWhenUsed/>
    <w:rsid w:val="004A54E1"/>
  </w:style>
  <w:style w:type="character" w:customStyle="1" w:styleId="CommentTextChar">
    <w:name w:val="Comment Text Char"/>
    <w:basedOn w:val="DefaultParagraphFont"/>
    <w:link w:val="CommentText"/>
    <w:uiPriority w:val="99"/>
    <w:semiHidden/>
    <w:rsid w:val="004A54E1"/>
  </w:style>
  <w:style w:type="paragraph" w:styleId="CommentSubject">
    <w:name w:val="annotation subject"/>
    <w:basedOn w:val="CommentText"/>
    <w:next w:val="CommentText"/>
    <w:link w:val="CommentSubjectChar"/>
    <w:uiPriority w:val="99"/>
    <w:semiHidden/>
    <w:unhideWhenUsed/>
    <w:rsid w:val="004A54E1"/>
    <w:rPr>
      <w:b/>
      <w:bCs/>
      <w:sz w:val="20"/>
      <w:szCs w:val="20"/>
    </w:rPr>
  </w:style>
  <w:style w:type="character" w:customStyle="1" w:styleId="CommentSubjectChar">
    <w:name w:val="Comment Subject Char"/>
    <w:basedOn w:val="CommentTextChar"/>
    <w:link w:val="CommentSubject"/>
    <w:uiPriority w:val="99"/>
    <w:semiHidden/>
    <w:rsid w:val="004A54E1"/>
    <w:rPr>
      <w:b/>
      <w:bCs/>
      <w:sz w:val="20"/>
      <w:szCs w:val="20"/>
    </w:rPr>
  </w:style>
  <w:style w:type="paragraph" w:styleId="NormalWeb">
    <w:name w:val="Normal (Web)"/>
    <w:basedOn w:val="Normal"/>
    <w:uiPriority w:val="99"/>
    <w:semiHidden/>
    <w:unhideWhenUsed/>
    <w:rsid w:val="00F678C0"/>
    <w:pPr>
      <w:spacing w:before="100" w:beforeAutospacing="1" w:after="100" w:afterAutospacing="1"/>
    </w:pPr>
    <w:rPr>
      <w:rFonts w:ascii="Times" w:hAnsi="Times"/>
      <w:sz w:val="20"/>
      <w:szCs w:val="20"/>
    </w:rPr>
  </w:style>
  <w:style w:type="character" w:styleId="Emphasis">
    <w:name w:val="Emphasis"/>
    <w:basedOn w:val="DefaultParagraphFont"/>
    <w:uiPriority w:val="20"/>
    <w:qFormat/>
    <w:rsid w:val="00F678C0"/>
    <w:rPr>
      <w:i/>
      <w:iCs/>
    </w:rPr>
  </w:style>
  <w:style w:type="character" w:styleId="Hyperlink">
    <w:name w:val="Hyperlink"/>
    <w:basedOn w:val="DefaultParagraphFont"/>
    <w:uiPriority w:val="99"/>
    <w:semiHidden/>
    <w:unhideWhenUsed/>
    <w:rsid w:val="00F678C0"/>
    <w:rPr>
      <w:color w:val="0000FF"/>
      <w:u w:val="single"/>
    </w:rPr>
  </w:style>
  <w:style w:type="paragraph" w:styleId="Bibliography">
    <w:name w:val="Bibliography"/>
    <w:basedOn w:val="Normal"/>
    <w:next w:val="Normal"/>
    <w:uiPriority w:val="37"/>
    <w:unhideWhenUsed/>
    <w:rsid w:val="00111FEB"/>
    <w:pPr>
      <w:spacing w:after="240"/>
    </w:pPr>
  </w:style>
  <w:style w:type="character" w:customStyle="1" w:styleId="xbe">
    <w:name w:val="_xbe"/>
    <w:basedOn w:val="DefaultParagraphFont"/>
    <w:rsid w:val="00FE4F8B"/>
  </w:style>
  <w:style w:type="table" w:styleId="TableGrid">
    <w:name w:val="Table Grid"/>
    <w:basedOn w:val="TableNormal"/>
    <w:uiPriority w:val="59"/>
    <w:rsid w:val="00B241E8"/>
    <w:rPr>
      <w:rFonts w:ascii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3B81"/>
    <w:pPr>
      <w:ind w:left="720"/>
      <w:contextualSpacing/>
    </w:pPr>
  </w:style>
  <w:style w:type="paragraph" w:styleId="BalloonText">
    <w:name w:val="Balloon Text"/>
    <w:basedOn w:val="Normal"/>
    <w:link w:val="BalloonTextChar"/>
    <w:uiPriority w:val="99"/>
    <w:semiHidden/>
    <w:unhideWhenUsed/>
    <w:rsid w:val="004A54E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A54E1"/>
    <w:rPr>
      <w:rFonts w:ascii="Lucida Grande" w:hAnsi="Lucida Grande" w:cs="Lucida Grande"/>
      <w:sz w:val="18"/>
      <w:szCs w:val="18"/>
    </w:rPr>
  </w:style>
  <w:style w:type="character" w:styleId="CommentReference">
    <w:name w:val="annotation reference"/>
    <w:basedOn w:val="DefaultParagraphFont"/>
    <w:uiPriority w:val="99"/>
    <w:semiHidden/>
    <w:unhideWhenUsed/>
    <w:rsid w:val="004A54E1"/>
    <w:rPr>
      <w:sz w:val="18"/>
      <w:szCs w:val="18"/>
    </w:rPr>
  </w:style>
  <w:style w:type="paragraph" w:styleId="CommentText">
    <w:name w:val="annotation text"/>
    <w:basedOn w:val="Normal"/>
    <w:link w:val="CommentTextChar"/>
    <w:uiPriority w:val="99"/>
    <w:semiHidden/>
    <w:unhideWhenUsed/>
    <w:rsid w:val="004A54E1"/>
  </w:style>
  <w:style w:type="character" w:customStyle="1" w:styleId="CommentTextChar">
    <w:name w:val="Comment Text Char"/>
    <w:basedOn w:val="DefaultParagraphFont"/>
    <w:link w:val="CommentText"/>
    <w:uiPriority w:val="99"/>
    <w:semiHidden/>
    <w:rsid w:val="004A54E1"/>
  </w:style>
  <w:style w:type="paragraph" w:styleId="CommentSubject">
    <w:name w:val="annotation subject"/>
    <w:basedOn w:val="CommentText"/>
    <w:next w:val="CommentText"/>
    <w:link w:val="CommentSubjectChar"/>
    <w:uiPriority w:val="99"/>
    <w:semiHidden/>
    <w:unhideWhenUsed/>
    <w:rsid w:val="004A54E1"/>
    <w:rPr>
      <w:b/>
      <w:bCs/>
      <w:sz w:val="20"/>
      <w:szCs w:val="20"/>
    </w:rPr>
  </w:style>
  <w:style w:type="character" w:customStyle="1" w:styleId="CommentSubjectChar">
    <w:name w:val="Comment Subject Char"/>
    <w:basedOn w:val="CommentTextChar"/>
    <w:link w:val="CommentSubject"/>
    <w:uiPriority w:val="99"/>
    <w:semiHidden/>
    <w:rsid w:val="004A54E1"/>
    <w:rPr>
      <w:b/>
      <w:bCs/>
      <w:sz w:val="20"/>
      <w:szCs w:val="20"/>
    </w:rPr>
  </w:style>
  <w:style w:type="paragraph" w:styleId="NormalWeb">
    <w:name w:val="Normal (Web)"/>
    <w:basedOn w:val="Normal"/>
    <w:uiPriority w:val="99"/>
    <w:semiHidden/>
    <w:unhideWhenUsed/>
    <w:rsid w:val="00F678C0"/>
    <w:pPr>
      <w:spacing w:before="100" w:beforeAutospacing="1" w:after="100" w:afterAutospacing="1"/>
    </w:pPr>
    <w:rPr>
      <w:rFonts w:ascii="Times" w:hAnsi="Times"/>
      <w:sz w:val="20"/>
      <w:szCs w:val="20"/>
    </w:rPr>
  </w:style>
  <w:style w:type="character" w:styleId="Emphasis">
    <w:name w:val="Emphasis"/>
    <w:basedOn w:val="DefaultParagraphFont"/>
    <w:uiPriority w:val="20"/>
    <w:qFormat/>
    <w:rsid w:val="00F678C0"/>
    <w:rPr>
      <w:i/>
      <w:iCs/>
    </w:rPr>
  </w:style>
  <w:style w:type="character" w:styleId="Hyperlink">
    <w:name w:val="Hyperlink"/>
    <w:basedOn w:val="DefaultParagraphFont"/>
    <w:uiPriority w:val="99"/>
    <w:semiHidden/>
    <w:unhideWhenUsed/>
    <w:rsid w:val="00F678C0"/>
    <w:rPr>
      <w:color w:val="0000FF"/>
      <w:u w:val="single"/>
    </w:rPr>
  </w:style>
  <w:style w:type="paragraph" w:styleId="Bibliography">
    <w:name w:val="Bibliography"/>
    <w:basedOn w:val="Normal"/>
    <w:next w:val="Normal"/>
    <w:uiPriority w:val="37"/>
    <w:unhideWhenUsed/>
    <w:rsid w:val="00111FEB"/>
    <w:pPr>
      <w:spacing w:after="240"/>
    </w:pPr>
  </w:style>
  <w:style w:type="character" w:customStyle="1" w:styleId="xbe">
    <w:name w:val="_xbe"/>
    <w:basedOn w:val="DefaultParagraphFont"/>
    <w:rsid w:val="00FE4F8B"/>
  </w:style>
  <w:style w:type="table" w:styleId="TableGrid">
    <w:name w:val="Table Grid"/>
    <w:basedOn w:val="TableNormal"/>
    <w:uiPriority w:val="59"/>
    <w:rsid w:val="00B241E8"/>
    <w:rPr>
      <w:rFonts w:ascii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30820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9" Type="http://schemas.microsoft.com/office/2011/relationships/people" Target="people.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8</Pages>
  <Words>4650</Words>
  <Characters>26511</Characters>
  <Application>Microsoft Macintosh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Emory University</Company>
  <LinksUpToDate>false</LinksUpToDate>
  <CharactersWithSpaces>31099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Kennedy</dc:creator>
  <cp:keywords/>
  <dc:description/>
  <cp:lastModifiedBy>Liz Kennedy</cp:lastModifiedBy>
  <cp:revision>7</cp:revision>
  <dcterms:created xsi:type="dcterms:W3CDTF">2018-04-26T17:56:00Z</dcterms:created>
  <dcterms:modified xsi:type="dcterms:W3CDTF">2018-05-05T14:21:00Z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zotero-version="4.0.29.21"&gt;&lt;session id="QgTxSk4X"/&gt;&lt;style id="http://www.zotero.org/styles/biomed-central" hasBibliography="1" bibliographyStyleHasBeenSet="1"/&gt;&lt;prefs&gt;&lt;pref name="fieldType" value="Field"/&gt;&lt;pref name="storeReferences</vt:lpwstr>
  </property>
  <property fmtid="{D5CDD505-2E9C-101B-9397-08002B2CF9AE}" pid="3" name="ZOTERO_PREF_2">
    <vt:lpwstr>" value="true"/&gt;&lt;pref name="automaticJournalAbbreviations" value="true"/&gt;&lt;pref name="noteType" value=""/&gt;&lt;/prefs&gt;&lt;/data&gt;</vt:lpwstr>
  </property>
</Properties>
</file>