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6A5" w:rsidRPr="003E56A5" w:rsidRDefault="001400D5" w:rsidP="003E56A5">
      <w:pPr>
        <w:spacing w:line="360" w:lineRule="auto"/>
        <w:jc w:val="both"/>
        <w:rPr>
          <w:rFonts w:ascii="Times New Roman" w:hAnsi="Times New Roman" w:cs="Times New Roman"/>
          <w:b/>
          <w:bCs/>
          <w:color w:val="000000"/>
          <w:sz w:val="28"/>
          <w:szCs w:val="28"/>
          <w:lang w:val="en-US"/>
        </w:rPr>
      </w:pPr>
      <w:r w:rsidRPr="001400D5">
        <w:rPr>
          <w:rFonts w:ascii="Times New Roman" w:hAnsi="Times New Roman" w:cs="Times New Roman"/>
          <w:b/>
          <w:sz w:val="28"/>
          <w:szCs w:val="28"/>
        </w:rPr>
        <w:t>Additional File</w:t>
      </w:r>
      <w:r>
        <w:rPr>
          <w:rFonts w:ascii="Times New Roman" w:hAnsi="Times New Roman" w:cs="Times New Roman"/>
          <w:b/>
          <w:sz w:val="28"/>
          <w:szCs w:val="28"/>
        </w:rPr>
        <w:t xml:space="preserve"> </w:t>
      </w:r>
      <w:r w:rsidR="003E56A5" w:rsidRPr="003E56A5">
        <w:rPr>
          <w:rFonts w:ascii="Times New Roman" w:hAnsi="Times New Roman" w:cs="Times New Roman"/>
          <w:b/>
          <w:sz w:val="28"/>
          <w:szCs w:val="28"/>
        </w:rPr>
        <w:t xml:space="preserve">15: </w:t>
      </w:r>
      <w:r w:rsidR="003E56A5" w:rsidRPr="003E56A5">
        <w:rPr>
          <w:rFonts w:ascii="Times New Roman" w:hAnsi="Times New Roman" w:cs="Times New Roman"/>
          <w:b/>
          <w:bCs/>
          <w:color w:val="000000"/>
          <w:sz w:val="28"/>
          <w:szCs w:val="28"/>
          <w:lang w:val="en-US"/>
        </w:rPr>
        <w:t>Identification of shortest-paths</w:t>
      </w:r>
    </w:p>
    <w:p w:rsidR="003E56A5" w:rsidRPr="003E56A5" w:rsidRDefault="003E56A5" w:rsidP="003E56A5">
      <w:pPr>
        <w:spacing w:line="360" w:lineRule="auto"/>
        <w:jc w:val="both"/>
        <w:rPr>
          <w:rFonts w:ascii="Times New Roman" w:hAnsi="Times New Roman" w:cs="Times New Roman"/>
          <w:b/>
          <w:bCs/>
          <w:color w:val="000000"/>
          <w:lang w:val="en-US"/>
        </w:rPr>
      </w:pPr>
    </w:p>
    <w:p w:rsidR="003E56A5" w:rsidRPr="003E56A5" w:rsidRDefault="003E56A5" w:rsidP="003E56A5">
      <w:pPr>
        <w:spacing w:line="360" w:lineRule="auto"/>
        <w:jc w:val="both"/>
        <w:rPr>
          <w:rFonts w:ascii="Times New Roman" w:eastAsia="Liberation Sans" w:hAnsi="Times New Roman" w:cs="Times New Roman"/>
          <w:color w:val="000000"/>
          <w:lang w:val="en-US"/>
        </w:rPr>
      </w:pPr>
      <w:r w:rsidRPr="003E56A5">
        <w:rPr>
          <w:rFonts w:ascii="Times New Roman" w:hAnsi="Times New Roman" w:cs="Times New Roman"/>
          <w:bCs/>
          <w:color w:val="000000"/>
          <w:lang w:val="en-US"/>
        </w:rPr>
        <w:t xml:space="preserve">In order to recognize the paths carrying information between the three modules (during intra-cellular </w:t>
      </w:r>
      <w:r w:rsidRPr="003E56A5">
        <w:rPr>
          <w:rFonts w:ascii="Times New Roman" w:eastAsia="Liberation Sans" w:hAnsi="Times New Roman" w:cs="Times New Roman"/>
          <w:color w:val="000000"/>
          <w:lang w:val="en-US"/>
        </w:rPr>
        <w:t>survival)</w:t>
      </w:r>
      <w:r w:rsidRPr="003E56A5">
        <w:rPr>
          <w:rFonts w:ascii="Times New Roman" w:hAnsi="Times New Roman" w:cs="Times New Roman"/>
          <w:bCs/>
          <w:color w:val="000000"/>
          <w:lang w:val="en-US"/>
        </w:rPr>
        <w:t xml:space="preserve">, viz., (A) the </w:t>
      </w:r>
      <w:r w:rsidRPr="003E56A5">
        <w:rPr>
          <w:rFonts w:ascii="Times New Roman" w:eastAsia="Liberation Sans" w:hAnsi="Times New Roman" w:cs="Times New Roman"/>
          <w:color w:val="000000"/>
          <w:lang w:val="en-US"/>
        </w:rPr>
        <w:t>HPI-network, (B) the Mtb hypoxic-GRN, and (C) the hypoxic-metabolism network of Mtb, the s</w:t>
      </w:r>
      <w:r w:rsidRPr="003E56A5">
        <w:rPr>
          <w:rFonts w:ascii="Times New Roman" w:hAnsi="Times New Roman" w:cs="Times New Roman"/>
          <w:bCs/>
          <w:color w:val="000000"/>
          <w:lang w:val="en-US"/>
        </w:rPr>
        <w:t>hortest-path analysis was performed</w:t>
      </w:r>
      <w:r w:rsidRPr="003E56A5">
        <w:rPr>
          <w:rFonts w:ascii="Times New Roman" w:eastAsia="Liberation Sans" w:hAnsi="Times New Roman" w:cs="Times New Roman"/>
          <w:color w:val="000000"/>
          <w:lang w:val="en-US"/>
        </w:rPr>
        <w:t xml:space="preserve">. For this purpose, the </w:t>
      </w:r>
      <w:proofErr w:type="spellStart"/>
      <w:r w:rsidRPr="003E56A5">
        <w:rPr>
          <w:rFonts w:ascii="Times New Roman" w:eastAsia="Liberation Sans" w:hAnsi="Times New Roman" w:cs="Times New Roman"/>
          <w:color w:val="000000"/>
          <w:lang w:val="en-US"/>
        </w:rPr>
        <w:t>Mtb</w:t>
      </w:r>
      <w:proofErr w:type="spellEnd"/>
      <w:r w:rsidRPr="003E56A5">
        <w:rPr>
          <w:rFonts w:ascii="Times New Roman" w:eastAsia="Liberation Sans" w:hAnsi="Times New Roman" w:cs="Times New Roman"/>
          <w:color w:val="000000"/>
          <w:lang w:val="en-US"/>
        </w:rPr>
        <w:t xml:space="preserve"> background PPI network was obtained from the STRING database </w:t>
      </w:r>
      <w:r w:rsidR="00B6614F">
        <w:rPr>
          <w:rFonts w:ascii="Times New Roman" w:eastAsia="Liberation Sans" w:hAnsi="Times New Roman" w:cs="Times New Roman"/>
          <w:color w:val="000000"/>
          <w:lang w:val="en-US"/>
        </w:rPr>
        <w:fldChar w:fldCharType="begin"/>
      </w:r>
      <w:r w:rsidR="007B3351">
        <w:rPr>
          <w:rFonts w:ascii="Times New Roman" w:eastAsia="Liberation Sans" w:hAnsi="Times New Roman" w:cs="Times New Roman"/>
          <w:color w:val="000000"/>
          <w:lang w:val="en-US"/>
        </w:rPr>
        <w:instrText xml:space="preserve"> ADDIN ZOTERO_ITEM CSL_CITATION {"citationID":"a2im5g5gl","properties":{"formattedCitation":"[1]","plainCitation":"[1]"},"citationItems":[{"id":467,"uris":["http://zotero.org/users/local/9EyN3M13/items/DXW4VWL6"],"uri":["http://zotero.org/users/local/9EyN3M13/items/DXW4VWL6"],"itemData":{"id":467,"type":"article-journal","title":"STRING v9.1: protein-protein interaction networks, with increased coverage and integration","container-title":"Nucleic Acids Research","page":"D808-D815","volume":"41","issue":"Database issue","source":"PubMed Central","abstract":"Complete knowledge of all direct and indirect interactions between proteins in a given cell would represent an important milestone towards a comprehensive description of cellular mechanisms and functions. Although this goal is still elusive, considerable progress has been made—particularly for certain model organisms and functional systems. Currently, protein interactions and associations are annotated at various levels of detail in online resources, ranging from raw data repositories to highly formalized pathway databases. For many applications, a global view of all the available interaction data is desirable, including lower-quality data and/or computational predictions. The STRING database (http://string-db.org/) aims to provide such a global perspective for as many organisms as feasible. Known and predicted associations are scored and integrated, resulting in comprehensive protein networks covering &gt;1100 organisms. Here, we describe the update to version 9.1 of STRING, introducing several improvements: (i) we extend the automated mining of scientific texts for interaction information, to now also include full-text articles; (ii) we entirely re-designed the algorithm for transferring interactions from one model organism to the other; and (iii) we provide users with statistical information on any functional enrichment observed in their networks.","DOI":"10.1093/nar/gks1094","ISSN":"0305-1048","note":"PMID: 23203871\nPMCID: PMC3531103","shortTitle":"STRING v9.1","journalAbbreviation":"Nucleic Acids Res","author":[{"family":"Franceschini","given":"Andrea"},{"family":"Szklarczyk","given":"Damian"},{"family":"Frankild","given":"Sune"},{"family":"Kuhn","given":"Michael"},{"family":"Simonovic","given":"Milan"},{"family":"Roth","given":"Alexander"},{"family":"Lin","given":"Jianyi"},{"family":"Minguez","given":"Pablo"},{"family":"Bork","given":"Peer"},{"family":"Mering","given":"Christian","non-dropping-particle":"von"},{"family":"Jensen","given":"Lars J."}],"issued":{"date-parts":[["2013",1]]}}}],"schema":"https://github.com/citation-style-language/schema/raw/master/csl-citation.json"} </w:instrText>
      </w:r>
      <w:r w:rsidR="00B6614F">
        <w:rPr>
          <w:rFonts w:ascii="Times New Roman" w:eastAsia="Liberation Sans" w:hAnsi="Times New Roman" w:cs="Times New Roman"/>
          <w:color w:val="000000"/>
          <w:lang w:val="en-US"/>
        </w:rPr>
        <w:fldChar w:fldCharType="separate"/>
      </w:r>
      <w:r w:rsidR="007B3351" w:rsidRPr="007B3351">
        <w:rPr>
          <w:rFonts w:ascii="Times New Roman" w:hAnsi="Times New Roman" w:cs="Times New Roman"/>
        </w:rPr>
        <w:t>[1]</w:t>
      </w:r>
      <w:r w:rsidR="00B6614F">
        <w:rPr>
          <w:rFonts w:ascii="Times New Roman" w:eastAsia="Liberation Sans" w:hAnsi="Times New Roman" w:cs="Times New Roman"/>
          <w:color w:val="000000"/>
          <w:lang w:val="en-US"/>
        </w:rPr>
        <w:fldChar w:fldCharType="end"/>
      </w:r>
      <w:r w:rsidRPr="003E56A5">
        <w:rPr>
          <w:rFonts w:ascii="Times New Roman" w:eastAsia="Liberation Sans" w:hAnsi="Times New Roman" w:cs="Times New Roman"/>
          <w:color w:val="000000"/>
          <w:lang w:val="en-US"/>
        </w:rPr>
        <w:t xml:space="preserve"> </w:t>
      </w:r>
      <w:r w:rsidRPr="003E56A5">
        <w:rPr>
          <w:rFonts w:ascii="Times New Roman" w:hAnsi="Times New Roman" w:cs="Times New Roman"/>
          <w:color w:val="000000"/>
        </w:rPr>
        <w:t>and filtered for a combined score cut-off of greater than (or equal to) 900.</w:t>
      </w:r>
      <w:r w:rsidRPr="003E56A5">
        <w:rPr>
          <w:rFonts w:ascii="Times New Roman" w:eastAsia="Liberation Sans" w:hAnsi="Times New Roman" w:cs="Times New Roman"/>
          <w:color w:val="000000"/>
          <w:lang w:val="en-US"/>
        </w:rPr>
        <w:t xml:space="preserve"> </w:t>
      </w:r>
      <w:r w:rsidRPr="003E56A5">
        <w:rPr>
          <w:rFonts w:ascii="Times New Roman" w:hAnsi="Times New Roman" w:cs="Times New Roman"/>
          <w:bCs/>
          <w:color w:val="000000"/>
          <w:lang w:val="en-US"/>
        </w:rPr>
        <w:t>All paths connecting (</w:t>
      </w:r>
      <w:proofErr w:type="spellStart"/>
      <w:r w:rsidRPr="003E56A5">
        <w:rPr>
          <w:rFonts w:ascii="Times New Roman" w:hAnsi="Times New Roman" w:cs="Times New Roman"/>
          <w:bCs/>
          <w:color w:val="000000"/>
          <w:lang w:val="en-US"/>
        </w:rPr>
        <w:t>i</w:t>
      </w:r>
      <w:proofErr w:type="spellEnd"/>
      <w:r w:rsidRPr="003E56A5">
        <w:rPr>
          <w:rFonts w:ascii="Times New Roman" w:hAnsi="Times New Roman" w:cs="Times New Roman"/>
          <w:bCs/>
          <w:color w:val="000000"/>
          <w:lang w:val="en-US"/>
        </w:rPr>
        <w:t xml:space="preserve">) 28 (out of 30) </w:t>
      </w:r>
      <w:proofErr w:type="spellStart"/>
      <w:r w:rsidRPr="003E56A5">
        <w:rPr>
          <w:rFonts w:ascii="Times New Roman" w:hAnsi="Times New Roman" w:cs="Times New Roman"/>
          <w:bCs/>
          <w:color w:val="000000"/>
          <w:lang w:val="en-US"/>
        </w:rPr>
        <w:t>Mtb</w:t>
      </w:r>
      <w:proofErr w:type="spellEnd"/>
      <w:r w:rsidRPr="003E56A5">
        <w:rPr>
          <w:rFonts w:ascii="Times New Roman" w:hAnsi="Times New Roman" w:cs="Times New Roman"/>
          <w:bCs/>
          <w:color w:val="000000"/>
          <w:lang w:val="en-US"/>
        </w:rPr>
        <w:t xml:space="preserve"> proteins involved in HPI with the host, (ii) 30 TFs from the </w:t>
      </w:r>
      <w:proofErr w:type="spellStart"/>
      <w:r w:rsidRPr="003E56A5">
        <w:rPr>
          <w:rFonts w:ascii="Times New Roman" w:hAnsi="Times New Roman" w:cs="Times New Roman"/>
          <w:bCs/>
          <w:color w:val="000000"/>
          <w:lang w:val="en-US"/>
        </w:rPr>
        <w:t>Mtb</w:t>
      </w:r>
      <w:proofErr w:type="spellEnd"/>
      <w:r w:rsidRPr="003E56A5">
        <w:rPr>
          <w:rFonts w:ascii="Times New Roman" w:hAnsi="Times New Roman" w:cs="Times New Roman"/>
          <w:bCs/>
          <w:color w:val="000000"/>
          <w:lang w:val="en-US"/>
        </w:rPr>
        <w:t xml:space="preserve"> </w:t>
      </w:r>
      <w:r w:rsidRPr="003E56A5">
        <w:rPr>
          <w:rFonts w:ascii="Times New Roman" w:eastAsia="Liberation Sans" w:hAnsi="Times New Roman" w:cs="Times New Roman"/>
          <w:color w:val="000000"/>
          <w:lang w:val="en-US"/>
        </w:rPr>
        <w:t xml:space="preserve">hypoxic-GRN, and (iii) 78 </w:t>
      </w:r>
      <w:proofErr w:type="spellStart"/>
      <w:r w:rsidRPr="003E56A5">
        <w:rPr>
          <w:rFonts w:ascii="Times New Roman" w:eastAsia="Liberation Sans" w:hAnsi="Times New Roman" w:cs="Times New Roman"/>
          <w:color w:val="000000"/>
          <w:lang w:val="en-US"/>
        </w:rPr>
        <w:t>Mtb</w:t>
      </w:r>
      <w:proofErr w:type="spellEnd"/>
      <w:r w:rsidRPr="003E56A5">
        <w:rPr>
          <w:rFonts w:ascii="Times New Roman" w:eastAsia="Liberation Sans" w:hAnsi="Times New Roman" w:cs="Times New Roman"/>
          <w:color w:val="000000"/>
          <w:lang w:val="en-US"/>
        </w:rPr>
        <w:t xml:space="preserve"> enzymes, the reactions catalyzed by which were maximally perturbed during hypoxia), were first obtained using </w:t>
      </w:r>
      <w:proofErr w:type="spellStart"/>
      <w:r w:rsidRPr="003E56A5">
        <w:rPr>
          <w:rFonts w:ascii="Times New Roman" w:eastAsia="Liberation Sans" w:hAnsi="Times New Roman" w:cs="Times New Roman"/>
          <w:color w:val="000000"/>
          <w:lang w:val="en-US"/>
        </w:rPr>
        <w:t>CompNet</w:t>
      </w:r>
      <w:proofErr w:type="spellEnd"/>
      <w:r w:rsidRPr="003E56A5">
        <w:rPr>
          <w:rFonts w:ascii="Times New Roman" w:eastAsia="Liberation Sans" w:hAnsi="Times New Roman" w:cs="Times New Roman"/>
          <w:color w:val="000000"/>
          <w:lang w:val="en-US"/>
        </w:rPr>
        <w:t xml:space="preserve"> </w:t>
      </w:r>
      <w:r w:rsidR="00B6614F">
        <w:rPr>
          <w:rFonts w:ascii="Times New Roman" w:eastAsia="Liberation Sans" w:hAnsi="Times New Roman" w:cs="Times New Roman"/>
          <w:color w:val="000000"/>
          <w:lang w:val="en-US"/>
        </w:rPr>
        <w:fldChar w:fldCharType="begin"/>
      </w:r>
      <w:r w:rsidR="007B3351">
        <w:rPr>
          <w:rFonts w:ascii="Times New Roman" w:eastAsia="Liberation Sans" w:hAnsi="Times New Roman" w:cs="Times New Roman"/>
          <w:color w:val="000000"/>
          <w:lang w:val="en-US"/>
        </w:rPr>
        <w:instrText xml:space="preserve"> ADDIN ZOTERO_ITEM CSL_CITATION {"citationID":"a1c0vjln9jv","properties":{"formattedCitation":"[2]","plainCitation":"[2]"},"citationItems":[{"id":205,"uris":["http://zotero.org/users/local/9EyN3M13/items/XBSJ5CIB"],"uri":["http://zotero.org/users/local/9EyN3M13/items/XBSJ5CIB"],"itemData":{"id":205,"type":"article-journal","title":"CompNet: a GUI based tool for comparison of multiple biological interaction networks","container-title":"BMC bioinformatics","page":"185","volume":"17","issue":"1","source":"PubMed","abstract":"BACKGROUND: Network visualization and analysis tools aid in better understanding of complex biological systems. Furthermore, to understand the differences in behaviour of system(s) under various environmental conditions (e.g. stress, infection), comparing multiple networks becomes necessary. Such comparisons between multiple networks may help in asserting causation and in identifying key components of the studied biological system(s). Although many available network comparison methods exist, which employ techniques like network alignment and querying to compute pair-wise similarity between selected networks, most of them have limited features with respect to interactive visual comparison of multiple networks.\nRESULTS: In this paper, we present CompNet - a graphical user interface based network comparison tool, which allows visual comparison of multiple networks based on various network metrics. CompNet allows interactive visualization of the union, intersection and/or complement regions of a selected set of networks. Different visualization features (e.g. pie-nodes, edge-pie matrix, etc.) aid in easy identification of the key nodes/interactions and their significance across the compared networks. The tool also allows one to perform network comparisons on the basis of neighbourhood architecture of constituent nodes and community compositions, a feature particularly useful while analyzing biological networks. To demonstrate the utility of CompNet, we have compared a (time-series) human gene-expression dataset, post-infection by two strains of Mycobacterium tuberculosis, overlaid on the human protein-protein interaction network. Using various functionalities of CompNet not only allowed us to comprehend changes in interaction patterns over the course of infection, but also helped in inferring the probable fates of the host cells upon infection by the two strains.\nCONCLUSIONS: CompNet is expected to be a valuable visual data mining tool and is freely available for academic use from http://metagenomics.atc.tcs.com/compnet/ or http://121.241.184.233/compnet/.","DOI":"10.1186/s12859-016-1013-x","ISSN":"1471-2105","note":"PMID: 27112575\nPMCID: PMC4845442","shortTitle":"CompNet","journalAbbreviation":"BMC Bioinformatics","language":"eng","author":[{"family":"Kuntal","given":"Bhusan K."},{"family":"Dutta","given":"Anirban"},{"family":"Mande","given":"Sharmila S."}],"issued":{"date-parts":[["2016",4,26]]}}}],"schema":"https://github.com/citation-style-language/schema/raw/master/csl-citation.json"} </w:instrText>
      </w:r>
      <w:r w:rsidR="00B6614F">
        <w:rPr>
          <w:rFonts w:ascii="Times New Roman" w:eastAsia="Liberation Sans" w:hAnsi="Times New Roman" w:cs="Times New Roman"/>
          <w:color w:val="000000"/>
          <w:lang w:val="en-US"/>
        </w:rPr>
        <w:fldChar w:fldCharType="separate"/>
      </w:r>
      <w:r w:rsidR="007B3351" w:rsidRPr="007B3351">
        <w:rPr>
          <w:rFonts w:ascii="Times New Roman" w:hAnsi="Times New Roman" w:cs="Times New Roman"/>
        </w:rPr>
        <w:t>[2]</w:t>
      </w:r>
      <w:r w:rsidR="00B6614F">
        <w:rPr>
          <w:rFonts w:ascii="Times New Roman" w:eastAsia="Liberation Sans" w:hAnsi="Times New Roman" w:cs="Times New Roman"/>
          <w:color w:val="000000"/>
          <w:lang w:val="en-US"/>
        </w:rPr>
        <w:fldChar w:fldCharType="end"/>
      </w:r>
      <w:r w:rsidRPr="003E56A5">
        <w:rPr>
          <w:rFonts w:ascii="Times New Roman" w:eastAsia="Liberation Sans" w:hAnsi="Times New Roman" w:cs="Times New Roman"/>
          <w:color w:val="000000"/>
          <w:lang w:val="en-US"/>
        </w:rPr>
        <w:t xml:space="preserve">. All identified paths were subsequently filtered for a maximal path-length of five. Paths shorter (or equal) to a path-length of five, were then checked for perturbed expression of the constituent genes </w:t>
      </w:r>
      <w:r w:rsidR="00B6614F">
        <w:rPr>
          <w:rFonts w:ascii="Times New Roman" w:eastAsia="Liberation Sans" w:hAnsi="Times New Roman" w:cs="Times New Roman"/>
          <w:color w:val="000000"/>
          <w:lang w:val="en-US"/>
        </w:rPr>
        <w:fldChar w:fldCharType="begin"/>
      </w:r>
      <w:r w:rsidR="007B3351">
        <w:rPr>
          <w:rFonts w:ascii="Times New Roman" w:eastAsia="Liberation Sans" w:hAnsi="Times New Roman" w:cs="Times New Roman"/>
          <w:color w:val="000000"/>
          <w:lang w:val="en-US"/>
        </w:rPr>
        <w:instrText xml:space="preserve"> ADDIN ZOTERO_ITEM CSL_CITATION {"citationID":"a1jtdqkiodh","properties":{"formattedCitation":"{\\rtf [3\\uc0\\u8211{}5]}","plainCitation":"[3–5]"},"citationItems":[{"id":185,"uris":["http://zotero.org/users/local/9EyN3M13/items/Z2SXSHYV"],"uri":["http://zotero.org/users/local/9EyN3M13/items/Z2SXSHYV"],"itemData":{"id":185,"type":"article-journal","title":"Gene Expression Omnibus: NCBI gene expression and hybridization array data repository","container-title":"Nucleic Acids Research","page":"207-210","volume":"30","issue":"1","source":"PubMed","abstract":"The Gene Expression Omnibus (GEO) project was initiated in response to the growing demand for a public repository for high-throughput gene expression data. GEO provides a flexible and open design that facilitates submission, storage and retrieval of heterogeneous data sets from high-throughput gene expression and genomic hybridization experiments. GEO is not intended to replace in house gene expression databases that benefit from coherent data sets, and which are constructed to facilitate a particular analytic method, but rather complement these by acting as a tertiary, central data distribution hub. The three central data entities of GEO are platforms, samples and series, and were designed with gene expression and genomic hybridization experiments in mind. A platform is, essentially, a list of probes that define what set of molecules may be detected. A sample describes the set of molecules that are being probed and references a single platform used to generate its molecular abundance data. A series organizes samples into the meaningful data sets which make up an experiment. The GEO repository is publicly accessible through the World Wide Web at http://www.ncbi.nlm.nih.gov/geo.","ISSN":"1362-4962","note":"PMID: 11752295\nPMCID: PMC99122","shortTitle":"Gene Expression Omnibus","journalAbbreviation":"Nucleic Acids Res.","language":"eng","author":[{"family":"Edgar","given":"Ron"},{"family":"Domrachev","given":"Michael"},{"family":"Lash","given":"Alex E."}],"issued":{"date-parts":[["2002",1,1]]}}},{"id":187,"uris":["http://zotero.org/users/local/9EyN3M13/items/NU6TS7EB"],"uri":["http://zotero.org/users/local/9EyN3M13/items/NU6TS7EB"],"itemData":{"id":187,"type":"article-journal","title":"Express path analysis identifies a tyrosine kinase Src-centric network regulating divergent host responses to Mycobacterium tuberculosis infection","container-title":"The Journal of Biological Chemistry","page":"40307-40319","volume":"286","issue":"46","source":"PubMed","abstract":"Global gene expression profiling has emerged as a major tool in understanding complex response patterns of biological systems to perturbations. However, a lack of unbiased analytical approaches has restricted the utility of complex microarray data to gain novel system level insights. Here we report a strategy, express path analysis (EPA), that helps to establish various pathways differentially recruited to achieve specific cellular responses under contrasting environmental conditions in an unbiased manner. The analysis superimposes differentially regulated genes between contrasting environments onto the network of functional protein associations followed by a series of iterative enrichments and network analysis. To test the utility of the approach, we infected THP1 macrophage cells with a virulent Mycobacterium tuberculosis strain (H37Rv) or the attenuated non-virulent strain H37Ra as contrasting perturbations and generated the temporal global expression profiles. EPA of the results provided details of response-specific and time-dependent host molecular network perturbations. Further analysis identified tyrosine kinase Src as the major regulatory hub discriminating the responses between wild-type and attenuated Mtb infection. We were then able to verify this novel role of Src experimentally and show that Src executes its role through regulating two vital antimicrobial processes of the host cells (i.e. autophagy and acidification of phagolysosome). These results bear significant potential for developing novel anti-tuberculosis therapy. We propose that EPA could prove extremely useful in understanding complex cellular responses for a variety of perturbations, including pathogenic infections.","DOI":"10.1074/jbc.M111.266239","ISSN":"1083-351X","note":"PMID: 21953458\nPMCID: PMC3220550","journalAbbreviation":"J. Biol. Chem.","language":"eng","author":[{"family":"Karim","given":"Ahmad Faisal"},{"family":"Chandra","given":"Pallavi"},{"family":"Chopra","given":"Aanchal"},{"family":"Siddiqui","given":"Zaved"},{"family":"Bhaskar","given":"Ashima"},{"family":"Singh","given":"Amit"},{"family":"Kumar","given":"Dhiraj"}],"issued":{"date-parts":[["2011",11,18]]}}},{"id":189,"uris":["http://zotero.org/users/local/9EyN3M13/items/BKINH4D7"],"uri":["http://zotero.org/users/local/9EyN3M13/items/BKINH4D7"],"itemData":{"id":189,"type":"article-journal","title":"BμG@Sbase—a microbial gene expression and comparative genomic database","container-title":"Nucleic Acids Research","page":"D605-D609","volume":"40","issue":"Database issue","source":"PubMed Central","abstract":"The reducing cost of high-throughput functional genomic technologies is creating a deluge of high volume, complex data, placing the burden on bioinformatics resources and tool development. The Bacterial Microarray Group at St George's (BμG@S) has been at the forefront of bacterial microarray design and analysis for over a decade and while serving as a hub of a global network of microbial research groups has developed BμG@Sbase, a microbial gene expression and comparative genomic database. BμG@Sbase (http://bugs.sgul.ac.uk/bugsbase/) is a web-browsable, expertly curated, MIAME-compliant database that stores comprehensive experimental annotation and multiple raw and analysed data formats. Consistent annotation is enabled through a structured set of web forms, which guide the user through the process following a set of best practices and controlled vocabulary. The database currently contains 86 expertly curated publicly available data sets (with a further 124 not yet published) and full annotation information for 59 bacterial microarray designs. The data can be browsed and queried using an explorer-like interface; integrating intuitive tree diagrams to present complex experimental details clearly and concisely. Furthermore the modular design of the database will provide a robust platform for integrating other data types beyond microarrays into a more Systems analysis based future.","DOI":"10.1093/nar/gkr796","ISSN":"0305-1048","note":"PMID: 21948792\nPMCID: PMC3245117","journalAbbreviation":"Nucleic Acids Res","author":[{"family":"Witney","given":"Adam A."},{"family":"Waldron","given":"Denise E."},{"family":"Brooks","given":"Lucy A."},{"family":"Tyler","given":"Richard H."},{"family":"Withers","given":"Michael"},{"family":"Stoker","given":"Neil G."},{"family":"Wren","given":"Brendan W."},{"family":"Butcher","given":"Philip D."},{"family":"Hinds","given":"Jason"}],"issued":{"date-parts":[["2012",1]]}}}],"schema":"https://github.com/citation-style-language/schema/raw/master/csl-citation.json"} </w:instrText>
      </w:r>
      <w:r w:rsidR="00B6614F">
        <w:rPr>
          <w:rFonts w:ascii="Times New Roman" w:eastAsia="Liberation Sans" w:hAnsi="Times New Roman" w:cs="Times New Roman"/>
          <w:color w:val="000000"/>
          <w:lang w:val="en-US"/>
        </w:rPr>
        <w:fldChar w:fldCharType="separate"/>
      </w:r>
      <w:r w:rsidR="007B3351" w:rsidRPr="007B3351">
        <w:rPr>
          <w:rFonts w:ascii="Times New Roman" w:hAnsi="Times New Roman" w:cs="Times New Roman"/>
        </w:rPr>
        <w:t>[3–5]</w:t>
      </w:r>
      <w:r w:rsidR="00B6614F">
        <w:rPr>
          <w:rFonts w:ascii="Times New Roman" w:eastAsia="Liberation Sans" w:hAnsi="Times New Roman" w:cs="Times New Roman"/>
          <w:color w:val="000000"/>
          <w:lang w:val="en-US"/>
        </w:rPr>
        <w:fldChar w:fldCharType="end"/>
      </w:r>
      <w:r w:rsidRPr="003E56A5">
        <w:rPr>
          <w:rFonts w:ascii="Times New Roman" w:eastAsia="Liberation Sans" w:hAnsi="Times New Roman" w:cs="Times New Roman"/>
          <w:color w:val="000000"/>
          <w:lang w:val="en-US"/>
        </w:rPr>
        <w:t xml:space="preserve">. Paths, wherein, at least 50% of the genes were observed to be perturbed were considered to be shortest-paths carrying information between the three modules. </w:t>
      </w:r>
    </w:p>
    <w:p w:rsidR="003E56A5" w:rsidRPr="003E56A5" w:rsidRDefault="003E56A5" w:rsidP="003E56A5">
      <w:pPr>
        <w:spacing w:line="360" w:lineRule="auto"/>
        <w:jc w:val="both"/>
        <w:rPr>
          <w:rFonts w:ascii="Times New Roman" w:eastAsia="Liberation Sans" w:hAnsi="Times New Roman" w:cs="Times New Roman"/>
          <w:color w:val="000000"/>
          <w:lang w:val="en-US"/>
        </w:rPr>
      </w:pPr>
    </w:p>
    <w:p w:rsidR="00C93008" w:rsidRDefault="007B3351" w:rsidP="003E56A5">
      <w:pPr>
        <w:spacing w:line="360" w:lineRule="auto"/>
        <w:jc w:val="both"/>
        <w:rPr>
          <w:rFonts w:ascii="Times New Roman" w:eastAsia="Liberation Sans" w:hAnsi="Times New Roman" w:cs="Times New Roman"/>
          <w:color w:val="000000"/>
          <w:lang w:val="en-US"/>
        </w:rPr>
      </w:pPr>
      <w:r>
        <w:rPr>
          <w:rFonts w:ascii="Times New Roman" w:eastAsia="Liberation Sans" w:hAnsi="Times New Roman" w:cs="Times New Roman"/>
          <w:color w:val="000000"/>
          <w:lang w:val="en-US"/>
        </w:rPr>
        <w:tab/>
      </w:r>
      <w:r w:rsidR="003E56A5" w:rsidRPr="003E56A5">
        <w:rPr>
          <w:rFonts w:ascii="Times New Roman" w:eastAsia="Liberation Sans" w:hAnsi="Times New Roman" w:cs="Times New Roman"/>
          <w:color w:val="000000"/>
          <w:lang w:val="en-US"/>
        </w:rPr>
        <w:t>The number of identified (perturbed) shortest-paths connecting the modules (A) to (B), (A) to (C), and (B) to (C) were 2554, 13151, and 4035 respectively. Furthermore, to ascertain that the number of identified (perturbed) shortest-paths between any two modules were statistically significant; a t-test was performed. In this test, for a given pair of modules, two sets of proteins equal to the size of the two modules were drawn from the (filtered) Mtb background network and (perturbed) shortest-paths (connecting the two identified sets of protein) were identified (as mentioned earlier). Using 100 iterations for each pair of the studied modules, the t-test ascertained that the observed shortest-paths connecting these modules were indeed significant with a p-value of lesser than 0.001.</w:t>
      </w:r>
    </w:p>
    <w:p w:rsidR="009249F5" w:rsidRDefault="009249F5" w:rsidP="003E56A5">
      <w:pPr>
        <w:spacing w:line="360" w:lineRule="auto"/>
        <w:jc w:val="both"/>
        <w:rPr>
          <w:rFonts w:ascii="Times New Roman" w:eastAsia="Liberation Sans" w:hAnsi="Times New Roman" w:cs="Times New Roman"/>
          <w:color w:val="000000"/>
          <w:lang w:val="en-US"/>
        </w:rPr>
      </w:pPr>
    </w:p>
    <w:p w:rsidR="009249F5" w:rsidRDefault="009249F5" w:rsidP="003E56A5">
      <w:pPr>
        <w:spacing w:line="360" w:lineRule="auto"/>
        <w:jc w:val="both"/>
        <w:rPr>
          <w:rFonts w:ascii="Times New Roman" w:eastAsia="Liberation Sans" w:hAnsi="Times New Roman" w:cs="Times New Roman"/>
          <w:b/>
          <w:color w:val="000000"/>
          <w:lang w:val="en-US"/>
        </w:rPr>
      </w:pPr>
      <w:r w:rsidRPr="009249F5">
        <w:rPr>
          <w:rFonts w:ascii="Times New Roman" w:eastAsia="Liberation Sans" w:hAnsi="Times New Roman" w:cs="Times New Roman"/>
          <w:b/>
          <w:color w:val="000000"/>
          <w:lang w:val="en-US"/>
        </w:rPr>
        <w:t>References</w:t>
      </w:r>
    </w:p>
    <w:p w:rsidR="007B3351" w:rsidRPr="007B3351" w:rsidRDefault="00B6614F" w:rsidP="007B3351">
      <w:pPr>
        <w:pStyle w:val="Bibliography"/>
        <w:rPr>
          <w:rFonts w:ascii="Times New Roman" w:hAnsi="Times New Roman" w:cs="Times New Roman"/>
          <w:sz w:val="20"/>
        </w:rPr>
      </w:pPr>
      <w:r w:rsidRPr="00B6614F">
        <w:rPr>
          <w:b/>
          <w:sz w:val="20"/>
          <w:szCs w:val="20"/>
        </w:rPr>
        <w:fldChar w:fldCharType="begin"/>
      </w:r>
      <w:r w:rsidR="007B3351">
        <w:rPr>
          <w:b/>
          <w:sz w:val="20"/>
          <w:szCs w:val="20"/>
        </w:rPr>
        <w:instrText xml:space="preserve"> ADDIN ZOTERO_BIBL {"custom":[]} CSL_BIBLIOGRAPHY </w:instrText>
      </w:r>
      <w:r w:rsidRPr="00B6614F">
        <w:rPr>
          <w:b/>
          <w:sz w:val="20"/>
          <w:szCs w:val="20"/>
        </w:rPr>
        <w:fldChar w:fldCharType="separate"/>
      </w:r>
      <w:r w:rsidR="007B3351" w:rsidRPr="007B3351">
        <w:rPr>
          <w:rFonts w:ascii="Times New Roman" w:hAnsi="Times New Roman" w:cs="Times New Roman"/>
          <w:sz w:val="20"/>
        </w:rPr>
        <w:t xml:space="preserve">1. </w:t>
      </w:r>
      <w:proofErr w:type="spellStart"/>
      <w:r w:rsidR="007B3351" w:rsidRPr="007B3351">
        <w:rPr>
          <w:rFonts w:ascii="Times New Roman" w:hAnsi="Times New Roman" w:cs="Times New Roman"/>
          <w:sz w:val="20"/>
        </w:rPr>
        <w:t>Franceschini</w:t>
      </w:r>
      <w:proofErr w:type="spellEnd"/>
      <w:r w:rsidR="007B3351" w:rsidRPr="007B3351">
        <w:rPr>
          <w:rFonts w:ascii="Times New Roman" w:hAnsi="Times New Roman" w:cs="Times New Roman"/>
          <w:sz w:val="20"/>
        </w:rPr>
        <w:t xml:space="preserve"> A, </w:t>
      </w:r>
      <w:proofErr w:type="spellStart"/>
      <w:r w:rsidR="007B3351" w:rsidRPr="007B3351">
        <w:rPr>
          <w:rFonts w:ascii="Times New Roman" w:hAnsi="Times New Roman" w:cs="Times New Roman"/>
          <w:sz w:val="20"/>
        </w:rPr>
        <w:t>Szklarczyk</w:t>
      </w:r>
      <w:proofErr w:type="spellEnd"/>
      <w:r w:rsidR="007B3351" w:rsidRPr="007B3351">
        <w:rPr>
          <w:rFonts w:ascii="Times New Roman" w:hAnsi="Times New Roman" w:cs="Times New Roman"/>
          <w:sz w:val="20"/>
        </w:rPr>
        <w:t xml:space="preserve"> D, </w:t>
      </w:r>
      <w:proofErr w:type="spellStart"/>
      <w:r w:rsidR="007B3351" w:rsidRPr="007B3351">
        <w:rPr>
          <w:rFonts w:ascii="Times New Roman" w:hAnsi="Times New Roman" w:cs="Times New Roman"/>
          <w:sz w:val="20"/>
        </w:rPr>
        <w:t>Frankild</w:t>
      </w:r>
      <w:proofErr w:type="spellEnd"/>
      <w:r w:rsidR="007B3351" w:rsidRPr="007B3351">
        <w:rPr>
          <w:rFonts w:ascii="Times New Roman" w:hAnsi="Times New Roman" w:cs="Times New Roman"/>
          <w:sz w:val="20"/>
        </w:rPr>
        <w:t xml:space="preserve"> S, Kuhn M, </w:t>
      </w:r>
      <w:proofErr w:type="spellStart"/>
      <w:r w:rsidR="007B3351" w:rsidRPr="007B3351">
        <w:rPr>
          <w:rFonts w:ascii="Times New Roman" w:hAnsi="Times New Roman" w:cs="Times New Roman"/>
          <w:sz w:val="20"/>
        </w:rPr>
        <w:t>Simonovic</w:t>
      </w:r>
      <w:proofErr w:type="spellEnd"/>
      <w:r w:rsidR="007B3351" w:rsidRPr="007B3351">
        <w:rPr>
          <w:rFonts w:ascii="Times New Roman" w:hAnsi="Times New Roman" w:cs="Times New Roman"/>
          <w:sz w:val="20"/>
        </w:rPr>
        <w:t xml:space="preserve"> M, Roth A, </w:t>
      </w:r>
      <w:proofErr w:type="gramStart"/>
      <w:r w:rsidR="007B3351" w:rsidRPr="007B3351">
        <w:rPr>
          <w:rFonts w:ascii="Times New Roman" w:hAnsi="Times New Roman" w:cs="Times New Roman"/>
          <w:sz w:val="20"/>
        </w:rPr>
        <w:t>et</w:t>
      </w:r>
      <w:proofErr w:type="gramEnd"/>
      <w:r w:rsidR="007B3351" w:rsidRPr="007B3351">
        <w:rPr>
          <w:rFonts w:ascii="Times New Roman" w:hAnsi="Times New Roman" w:cs="Times New Roman"/>
          <w:sz w:val="20"/>
        </w:rPr>
        <w:t xml:space="preserve"> al. STRING v9.1: protein-protein interaction networks, with increased coverage and integration. Nucleic Acids Res. 2013</w:t>
      </w:r>
      <w:proofErr w:type="gramStart"/>
      <w:r w:rsidR="007B3351" w:rsidRPr="007B3351">
        <w:rPr>
          <w:rFonts w:ascii="Times New Roman" w:hAnsi="Times New Roman" w:cs="Times New Roman"/>
          <w:sz w:val="20"/>
        </w:rPr>
        <w:t>;41:D808</w:t>
      </w:r>
      <w:proofErr w:type="gramEnd"/>
      <w:r w:rsidR="007B3351" w:rsidRPr="007B3351">
        <w:rPr>
          <w:rFonts w:ascii="Times New Roman" w:hAnsi="Times New Roman" w:cs="Times New Roman"/>
          <w:sz w:val="20"/>
        </w:rPr>
        <w:t xml:space="preserve">–15. </w:t>
      </w:r>
    </w:p>
    <w:p w:rsidR="007B3351" w:rsidRPr="007B3351" w:rsidRDefault="007B3351" w:rsidP="007B3351">
      <w:pPr>
        <w:pStyle w:val="Bibliography"/>
        <w:rPr>
          <w:rFonts w:ascii="Times New Roman" w:hAnsi="Times New Roman" w:cs="Times New Roman"/>
          <w:sz w:val="20"/>
        </w:rPr>
      </w:pPr>
      <w:r w:rsidRPr="007B3351">
        <w:rPr>
          <w:rFonts w:ascii="Times New Roman" w:hAnsi="Times New Roman" w:cs="Times New Roman"/>
          <w:sz w:val="20"/>
        </w:rPr>
        <w:t xml:space="preserve">2. </w:t>
      </w:r>
      <w:proofErr w:type="spellStart"/>
      <w:r w:rsidRPr="007B3351">
        <w:rPr>
          <w:rFonts w:ascii="Times New Roman" w:hAnsi="Times New Roman" w:cs="Times New Roman"/>
          <w:sz w:val="20"/>
        </w:rPr>
        <w:t>Kuntal</w:t>
      </w:r>
      <w:proofErr w:type="spellEnd"/>
      <w:r w:rsidRPr="007B3351">
        <w:rPr>
          <w:rFonts w:ascii="Times New Roman" w:hAnsi="Times New Roman" w:cs="Times New Roman"/>
          <w:sz w:val="20"/>
        </w:rPr>
        <w:t xml:space="preserve"> BK, </w:t>
      </w:r>
      <w:proofErr w:type="spellStart"/>
      <w:r w:rsidRPr="007B3351">
        <w:rPr>
          <w:rFonts w:ascii="Times New Roman" w:hAnsi="Times New Roman" w:cs="Times New Roman"/>
          <w:sz w:val="20"/>
        </w:rPr>
        <w:t>Dutta</w:t>
      </w:r>
      <w:proofErr w:type="spellEnd"/>
      <w:r w:rsidRPr="007B3351">
        <w:rPr>
          <w:rFonts w:ascii="Times New Roman" w:hAnsi="Times New Roman" w:cs="Times New Roman"/>
          <w:sz w:val="20"/>
        </w:rPr>
        <w:t xml:space="preserve"> A, </w:t>
      </w:r>
      <w:proofErr w:type="spellStart"/>
      <w:proofErr w:type="gramStart"/>
      <w:r w:rsidRPr="007B3351">
        <w:rPr>
          <w:rFonts w:ascii="Times New Roman" w:hAnsi="Times New Roman" w:cs="Times New Roman"/>
          <w:sz w:val="20"/>
        </w:rPr>
        <w:t>Mande</w:t>
      </w:r>
      <w:proofErr w:type="spellEnd"/>
      <w:proofErr w:type="gramEnd"/>
      <w:r w:rsidRPr="007B3351">
        <w:rPr>
          <w:rFonts w:ascii="Times New Roman" w:hAnsi="Times New Roman" w:cs="Times New Roman"/>
          <w:sz w:val="20"/>
        </w:rPr>
        <w:t xml:space="preserve"> SS. </w:t>
      </w:r>
      <w:proofErr w:type="spellStart"/>
      <w:r w:rsidRPr="007B3351">
        <w:rPr>
          <w:rFonts w:ascii="Times New Roman" w:hAnsi="Times New Roman" w:cs="Times New Roman"/>
          <w:sz w:val="20"/>
        </w:rPr>
        <w:t>CompNet</w:t>
      </w:r>
      <w:proofErr w:type="spellEnd"/>
      <w:r w:rsidRPr="007B3351">
        <w:rPr>
          <w:rFonts w:ascii="Times New Roman" w:hAnsi="Times New Roman" w:cs="Times New Roman"/>
          <w:sz w:val="20"/>
        </w:rPr>
        <w:t xml:space="preserve">: a GUI based tool for comparison of multiple biological interaction networks. </w:t>
      </w:r>
      <w:proofErr w:type="gramStart"/>
      <w:r w:rsidRPr="007B3351">
        <w:rPr>
          <w:rFonts w:ascii="Times New Roman" w:hAnsi="Times New Roman" w:cs="Times New Roman"/>
          <w:sz w:val="20"/>
        </w:rPr>
        <w:t>BMC Bioinformatics.</w:t>
      </w:r>
      <w:proofErr w:type="gramEnd"/>
      <w:r w:rsidRPr="007B3351">
        <w:rPr>
          <w:rFonts w:ascii="Times New Roman" w:hAnsi="Times New Roman" w:cs="Times New Roman"/>
          <w:sz w:val="20"/>
        </w:rPr>
        <w:t xml:space="preserve"> 2016</w:t>
      </w:r>
      <w:proofErr w:type="gramStart"/>
      <w:r w:rsidRPr="007B3351">
        <w:rPr>
          <w:rFonts w:ascii="Times New Roman" w:hAnsi="Times New Roman" w:cs="Times New Roman"/>
          <w:sz w:val="20"/>
        </w:rPr>
        <w:t>;17:185</w:t>
      </w:r>
      <w:proofErr w:type="gramEnd"/>
      <w:r w:rsidRPr="007B3351">
        <w:rPr>
          <w:rFonts w:ascii="Times New Roman" w:hAnsi="Times New Roman" w:cs="Times New Roman"/>
          <w:sz w:val="20"/>
        </w:rPr>
        <w:t xml:space="preserve">. </w:t>
      </w:r>
    </w:p>
    <w:p w:rsidR="007B3351" w:rsidRPr="007B3351" w:rsidRDefault="007B3351" w:rsidP="007B3351">
      <w:pPr>
        <w:pStyle w:val="Bibliography"/>
        <w:rPr>
          <w:rFonts w:ascii="Times New Roman" w:hAnsi="Times New Roman" w:cs="Times New Roman"/>
          <w:sz w:val="20"/>
        </w:rPr>
      </w:pPr>
      <w:r w:rsidRPr="007B3351">
        <w:rPr>
          <w:rFonts w:ascii="Times New Roman" w:hAnsi="Times New Roman" w:cs="Times New Roman"/>
          <w:sz w:val="20"/>
        </w:rPr>
        <w:t xml:space="preserve">3. Edgar R, </w:t>
      </w:r>
      <w:proofErr w:type="spellStart"/>
      <w:r w:rsidRPr="007B3351">
        <w:rPr>
          <w:rFonts w:ascii="Times New Roman" w:hAnsi="Times New Roman" w:cs="Times New Roman"/>
          <w:sz w:val="20"/>
        </w:rPr>
        <w:t>Domrachev</w:t>
      </w:r>
      <w:proofErr w:type="spellEnd"/>
      <w:r w:rsidRPr="007B3351">
        <w:rPr>
          <w:rFonts w:ascii="Times New Roman" w:hAnsi="Times New Roman" w:cs="Times New Roman"/>
          <w:sz w:val="20"/>
        </w:rPr>
        <w:t xml:space="preserve"> M, Lash AE. Gene Expression Omnibus: NCBI gene expression and hybridization array data repository. Nucleic Acids Res. 2002</w:t>
      </w:r>
      <w:proofErr w:type="gramStart"/>
      <w:r w:rsidRPr="007B3351">
        <w:rPr>
          <w:rFonts w:ascii="Times New Roman" w:hAnsi="Times New Roman" w:cs="Times New Roman"/>
          <w:sz w:val="20"/>
        </w:rPr>
        <w:t>;30:207</w:t>
      </w:r>
      <w:proofErr w:type="gramEnd"/>
      <w:r w:rsidRPr="007B3351">
        <w:rPr>
          <w:rFonts w:ascii="Times New Roman" w:hAnsi="Times New Roman" w:cs="Times New Roman"/>
          <w:sz w:val="20"/>
        </w:rPr>
        <w:t xml:space="preserve">–10. </w:t>
      </w:r>
    </w:p>
    <w:p w:rsidR="007B3351" w:rsidRPr="007B3351" w:rsidRDefault="007B3351" w:rsidP="007B3351">
      <w:pPr>
        <w:pStyle w:val="Bibliography"/>
        <w:rPr>
          <w:rFonts w:ascii="Times New Roman" w:hAnsi="Times New Roman" w:cs="Times New Roman"/>
          <w:sz w:val="20"/>
        </w:rPr>
      </w:pPr>
      <w:r w:rsidRPr="007B3351">
        <w:rPr>
          <w:rFonts w:ascii="Times New Roman" w:hAnsi="Times New Roman" w:cs="Times New Roman"/>
          <w:sz w:val="20"/>
        </w:rPr>
        <w:lastRenderedPageBreak/>
        <w:t xml:space="preserve">4. </w:t>
      </w:r>
      <w:proofErr w:type="spellStart"/>
      <w:r w:rsidRPr="007B3351">
        <w:rPr>
          <w:rFonts w:ascii="Times New Roman" w:hAnsi="Times New Roman" w:cs="Times New Roman"/>
          <w:sz w:val="20"/>
        </w:rPr>
        <w:t>Karim</w:t>
      </w:r>
      <w:proofErr w:type="spellEnd"/>
      <w:r w:rsidRPr="007B3351">
        <w:rPr>
          <w:rFonts w:ascii="Times New Roman" w:hAnsi="Times New Roman" w:cs="Times New Roman"/>
          <w:sz w:val="20"/>
        </w:rPr>
        <w:t xml:space="preserve"> AF, Chandra P, Chopra A, </w:t>
      </w:r>
      <w:proofErr w:type="spellStart"/>
      <w:r w:rsidRPr="007B3351">
        <w:rPr>
          <w:rFonts w:ascii="Times New Roman" w:hAnsi="Times New Roman" w:cs="Times New Roman"/>
          <w:sz w:val="20"/>
        </w:rPr>
        <w:t>Siddiqui</w:t>
      </w:r>
      <w:proofErr w:type="spellEnd"/>
      <w:r w:rsidRPr="007B3351">
        <w:rPr>
          <w:rFonts w:ascii="Times New Roman" w:hAnsi="Times New Roman" w:cs="Times New Roman"/>
          <w:sz w:val="20"/>
        </w:rPr>
        <w:t xml:space="preserve"> Z, </w:t>
      </w:r>
      <w:proofErr w:type="spellStart"/>
      <w:r w:rsidRPr="007B3351">
        <w:rPr>
          <w:rFonts w:ascii="Times New Roman" w:hAnsi="Times New Roman" w:cs="Times New Roman"/>
          <w:sz w:val="20"/>
        </w:rPr>
        <w:t>Bhaskar</w:t>
      </w:r>
      <w:proofErr w:type="spellEnd"/>
      <w:r w:rsidRPr="007B3351">
        <w:rPr>
          <w:rFonts w:ascii="Times New Roman" w:hAnsi="Times New Roman" w:cs="Times New Roman"/>
          <w:sz w:val="20"/>
        </w:rPr>
        <w:t xml:space="preserve"> A, Singh A, et al. Express path analysis identifies a tyrosine </w:t>
      </w:r>
      <w:proofErr w:type="spellStart"/>
      <w:r w:rsidRPr="007B3351">
        <w:rPr>
          <w:rFonts w:ascii="Times New Roman" w:hAnsi="Times New Roman" w:cs="Times New Roman"/>
          <w:sz w:val="20"/>
        </w:rPr>
        <w:t>kinase</w:t>
      </w:r>
      <w:proofErr w:type="spellEnd"/>
      <w:r w:rsidRPr="007B3351">
        <w:rPr>
          <w:rFonts w:ascii="Times New Roman" w:hAnsi="Times New Roman" w:cs="Times New Roman"/>
          <w:sz w:val="20"/>
        </w:rPr>
        <w:t xml:space="preserve"> </w:t>
      </w:r>
      <w:proofErr w:type="spellStart"/>
      <w:r w:rsidRPr="007B3351">
        <w:rPr>
          <w:rFonts w:ascii="Times New Roman" w:hAnsi="Times New Roman" w:cs="Times New Roman"/>
          <w:sz w:val="20"/>
        </w:rPr>
        <w:t>Src</w:t>
      </w:r>
      <w:proofErr w:type="spellEnd"/>
      <w:r w:rsidRPr="007B3351">
        <w:rPr>
          <w:rFonts w:ascii="Times New Roman" w:hAnsi="Times New Roman" w:cs="Times New Roman"/>
          <w:sz w:val="20"/>
        </w:rPr>
        <w:t xml:space="preserve">-centric network regulating divergent host responses to Mycobacterium tuberculosis infection. J </w:t>
      </w:r>
      <w:proofErr w:type="spellStart"/>
      <w:r w:rsidRPr="007B3351">
        <w:rPr>
          <w:rFonts w:ascii="Times New Roman" w:hAnsi="Times New Roman" w:cs="Times New Roman"/>
          <w:sz w:val="20"/>
        </w:rPr>
        <w:t>Biol</w:t>
      </w:r>
      <w:proofErr w:type="spellEnd"/>
      <w:r w:rsidRPr="007B3351">
        <w:rPr>
          <w:rFonts w:ascii="Times New Roman" w:hAnsi="Times New Roman" w:cs="Times New Roman"/>
          <w:sz w:val="20"/>
        </w:rPr>
        <w:t xml:space="preserve"> Chem. 2011</w:t>
      </w:r>
      <w:proofErr w:type="gramStart"/>
      <w:r w:rsidRPr="007B3351">
        <w:rPr>
          <w:rFonts w:ascii="Times New Roman" w:hAnsi="Times New Roman" w:cs="Times New Roman"/>
          <w:sz w:val="20"/>
        </w:rPr>
        <w:t>;286:40307</w:t>
      </w:r>
      <w:proofErr w:type="gramEnd"/>
      <w:r w:rsidRPr="007B3351">
        <w:rPr>
          <w:rFonts w:ascii="Times New Roman" w:hAnsi="Times New Roman" w:cs="Times New Roman"/>
          <w:sz w:val="20"/>
        </w:rPr>
        <w:t xml:space="preserve">–19. </w:t>
      </w:r>
    </w:p>
    <w:p w:rsidR="007B3351" w:rsidRPr="007B3351" w:rsidRDefault="007B3351" w:rsidP="007B3351">
      <w:pPr>
        <w:pStyle w:val="Bibliography"/>
        <w:rPr>
          <w:rFonts w:ascii="Times New Roman" w:hAnsi="Times New Roman" w:cs="Times New Roman"/>
          <w:sz w:val="20"/>
        </w:rPr>
      </w:pPr>
      <w:r w:rsidRPr="007B3351">
        <w:rPr>
          <w:rFonts w:ascii="Times New Roman" w:hAnsi="Times New Roman" w:cs="Times New Roman"/>
          <w:sz w:val="20"/>
        </w:rPr>
        <w:t xml:space="preserve">5. Witney AA, Waldron DE, Brooks LA, Tyler RH, Withers M, Stoker NG, et al. </w:t>
      </w:r>
      <w:proofErr w:type="spellStart"/>
      <w:r w:rsidRPr="007B3351">
        <w:rPr>
          <w:rFonts w:ascii="Times New Roman" w:hAnsi="Times New Roman" w:cs="Times New Roman"/>
          <w:sz w:val="20"/>
        </w:rPr>
        <w:t>BμG@Sbase</w:t>
      </w:r>
      <w:proofErr w:type="spellEnd"/>
      <w:r w:rsidRPr="007B3351">
        <w:rPr>
          <w:rFonts w:ascii="Times New Roman" w:hAnsi="Times New Roman" w:cs="Times New Roman"/>
          <w:sz w:val="20"/>
        </w:rPr>
        <w:t>—a microbial gene expression and comparative genomic database. Nucleic Acids Res. 2012</w:t>
      </w:r>
      <w:proofErr w:type="gramStart"/>
      <w:r w:rsidRPr="007B3351">
        <w:rPr>
          <w:rFonts w:ascii="Times New Roman" w:hAnsi="Times New Roman" w:cs="Times New Roman"/>
          <w:sz w:val="20"/>
        </w:rPr>
        <w:t>;40:D605</w:t>
      </w:r>
      <w:proofErr w:type="gramEnd"/>
      <w:r w:rsidRPr="007B3351">
        <w:rPr>
          <w:rFonts w:ascii="Times New Roman" w:hAnsi="Times New Roman" w:cs="Times New Roman"/>
          <w:sz w:val="20"/>
        </w:rPr>
        <w:t xml:space="preserve">–9. </w:t>
      </w:r>
    </w:p>
    <w:p w:rsidR="00B064A4" w:rsidRPr="00B064A4" w:rsidRDefault="00B6614F" w:rsidP="00B064A4">
      <w:pPr>
        <w:spacing w:line="360" w:lineRule="auto"/>
        <w:jc w:val="both"/>
        <w:rPr>
          <w:rFonts w:ascii="Times New Roman" w:hAnsi="Times New Roman" w:cs="Times New Roman"/>
          <w:b/>
          <w:sz w:val="20"/>
          <w:szCs w:val="20"/>
        </w:rPr>
      </w:pPr>
      <w:r w:rsidRPr="00B064A4">
        <w:rPr>
          <w:rFonts w:ascii="Times New Roman" w:hAnsi="Times New Roman" w:cs="Times New Roman"/>
          <w:b/>
          <w:sz w:val="20"/>
          <w:szCs w:val="20"/>
        </w:rPr>
        <w:fldChar w:fldCharType="end"/>
      </w:r>
    </w:p>
    <w:sectPr w:rsidR="00B064A4" w:rsidRPr="00B064A4" w:rsidSect="00C930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01"/>
    <w:family w:val="swiss"/>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A6656"/>
    <w:rsid w:val="001400D5"/>
    <w:rsid w:val="003E56A5"/>
    <w:rsid w:val="0046078A"/>
    <w:rsid w:val="00572BAD"/>
    <w:rsid w:val="007A6656"/>
    <w:rsid w:val="007B3351"/>
    <w:rsid w:val="009249F5"/>
    <w:rsid w:val="00B064A4"/>
    <w:rsid w:val="00B6614F"/>
    <w:rsid w:val="00C93008"/>
    <w:rsid w:val="00CB0651"/>
    <w:rsid w:val="00D12E03"/>
    <w:rsid w:val="00D80DF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6A5"/>
    <w:pPr>
      <w:widowControl w:val="0"/>
      <w:suppressAutoHyphens/>
      <w:spacing w:line="240" w:lineRule="auto"/>
    </w:pPr>
    <w:rPr>
      <w:rFonts w:ascii="Liberation Serif" w:eastAsia="Droid Sans Fallback" w:hAnsi="Liberation Serif" w:cs="FreeSans"/>
      <w:sz w:val="24"/>
      <w:szCs w:val="24"/>
      <w:lang w:val="en-IN" w:eastAsia="zh-CN" w:bidi="hi-I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B064A4"/>
    <w:pPr>
      <w:spacing w:after="240"/>
    </w:pPr>
    <w:rPr>
      <w:rFonts w:cs="Mangal"/>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2365</Words>
  <Characters>13487</Characters>
  <Application>Microsoft Office Word</Application>
  <DocSecurity>0</DocSecurity>
  <Lines>112</Lines>
  <Paragraphs>31</Paragraphs>
  <ScaleCrop>false</ScaleCrop>
  <Company>Home</Company>
  <LinksUpToDate>false</LinksUpToDate>
  <CharactersWithSpaces>15821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Chandrani</dc:creator>
  <cp:keywords/>
  <dc:description/>
  <cp:lastModifiedBy>Sharmila</cp:lastModifiedBy>
  <cp:revision>7</cp:revision>
  <dcterms:created xsi:type="dcterms:W3CDTF">2018-03-23T06:30:00Z</dcterms:created>
  <dcterms:modified xsi:type="dcterms:W3CDTF">2018-03-29T16:04:00Z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zotero-version="5.0.33"&gt;&lt;session id="p8Aicals"/&gt;&lt;style id="http://www.zotero.org/styles/bmc-genomics" hasBibliography="1" bibliographyStyleHasBeenSet="1"/&gt;&lt;prefs&gt;&lt;pref name="fieldType" value="Field"/&gt;&lt;pref name="automaticJournalAbbr</vt:lpwstr>
  </property>
  <property fmtid="{D5CDD505-2E9C-101B-9397-08002B2CF9AE}" pid="3" name="ZOTERO_PREF_2">
    <vt:lpwstr>eviations" value="false"/&gt;&lt;pref name="noteType" value="0"/&gt;&lt;/prefs&gt;&lt;/data&gt;</vt:lpwstr>
  </property>
</Properties>
</file>