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008" w:rsidRDefault="00365FC8">
      <w:pPr>
        <w:rPr>
          <w:rFonts w:ascii="Times New Roman" w:hAnsi="Times New Roman" w:cs="Times New Roman"/>
          <w:b/>
          <w:bCs/>
          <w:color w:val="000000"/>
          <w:sz w:val="28"/>
          <w:szCs w:val="28"/>
        </w:rPr>
      </w:pPr>
      <w:r w:rsidRPr="00365FC8">
        <w:rPr>
          <w:rFonts w:ascii="Times New Roman" w:hAnsi="Times New Roman" w:cs="Times New Roman"/>
          <w:b/>
          <w:sz w:val="28"/>
          <w:szCs w:val="28"/>
        </w:rPr>
        <w:t>Additional File</w:t>
      </w:r>
      <w:r>
        <w:rPr>
          <w:rFonts w:ascii="Times New Roman" w:hAnsi="Times New Roman" w:cs="Times New Roman"/>
          <w:b/>
          <w:sz w:val="28"/>
          <w:szCs w:val="28"/>
        </w:rPr>
        <w:t xml:space="preserve"> </w:t>
      </w:r>
      <w:r w:rsidR="007D0A2A" w:rsidRPr="007D0A2A">
        <w:rPr>
          <w:rFonts w:ascii="Times New Roman" w:hAnsi="Times New Roman" w:cs="Times New Roman"/>
          <w:b/>
          <w:sz w:val="28"/>
          <w:szCs w:val="28"/>
        </w:rPr>
        <w:t xml:space="preserve">6: </w:t>
      </w:r>
      <w:r w:rsidR="000B6D68">
        <w:rPr>
          <w:rFonts w:ascii="Times New Roman" w:hAnsi="Times New Roman" w:cs="Times New Roman"/>
          <w:b/>
          <w:sz w:val="28"/>
          <w:szCs w:val="28"/>
        </w:rPr>
        <w:t xml:space="preserve">Detailed method for analysis of </w:t>
      </w:r>
      <w:r w:rsidR="000B6D68">
        <w:rPr>
          <w:rFonts w:ascii="Times New Roman" w:hAnsi="Times New Roman" w:cs="Times New Roman"/>
          <w:b/>
          <w:bCs/>
          <w:color w:val="000000"/>
          <w:sz w:val="28"/>
          <w:szCs w:val="28"/>
        </w:rPr>
        <w:t>g</w:t>
      </w:r>
      <w:r w:rsidR="007D0A2A" w:rsidRPr="007D0A2A">
        <w:rPr>
          <w:rFonts w:ascii="Times New Roman" w:hAnsi="Times New Roman" w:cs="Times New Roman"/>
          <w:b/>
          <w:bCs/>
          <w:color w:val="000000"/>
          <w:sz w:val="28"/>
          <w:szCs w:val="28"/>
        </w:rPr>
        <w:t xml:space="preserve">ene regulatory network (GRN) controlling hypoxic response in </w:t>
      </w:r>
      <w:r w:rsidR="007D0A2A" w:rsidRPr="007D0A2A">
        <w:rPr>
          <w:rFonts w:ascii="Times New Roman" w:hAnsi="Times New Roman" w:cs="Times New Roman"/>
          <w:b/>
          <w:bCs/>
          <w:i/>
          <w:color w:val="000000"/>
          <w:sz w:val="28"/>
          <w:szCs w:val="28"/>
        </w:rPr>
        <w:t xml:space="preserve">M. tuberculosis </w:t>
      </w:r>
      <w:r w:rsidR="007D0A2A" w:rsidRPr="007D0A2A">
        <w:rPr>
          <w:rFonts w:ascii="Times New Roman" w:hAnsi="Times New Roman" w:cs="Times New Roman"/>
          <w:b/>
          <w:bCs/>
          <w:color w:val="000000"/>
          <w:sz w:val="28"/>
          <w:szCs w:val="28"/>
        </w:rPr>
        <w:t>H37Rv (Mtb)</w:t>
      </w:r>
    </w:p>
    <w:p w:rsidR="007D0A2A" w:rsidRDefault="007D0A2A">
      <w:pPr>
        <w:rPr>
          <w:rFonts w:ascii="Times New Roman" w:hAnsi="Times New Roman" w:cs="Times New Roman"/>
          <w:b/>
          <w:bCs/>
          <w:color w:val="000000"/>
          <w:sz w:val="28"/>
          <w:szCs w:val="28"/>
        </w:rPr>
      </w:pPr>
    </w:p>
    <w:p w:rsidR="00667A0D" w:rsidRPr="00667A0D" w:rsidRDefault="00667A0D" w:rsidP="00667A0D">
      <w:pPr>
        <w:spacing w:line="360" w:lineRule="auto"/>
        <w:jc w:val="both"/>
        <w:rPr>
          <w:rFonts w:ascii="Times New Roman" w:hAnsi="Times New Roman" w:cs="Times New Roman"/>
          <w:b/>
          <w:bCs/>
          <w:color w:val="000000"/>
          <w:sz w:val="24"/>
          <w:szCs w:val="24"/>
        </w:rPr>
      </w:pPr>
      <w:r w:rsidRPr="00667A0D">
        <w:rPr>
          <w:rFonts w:ascii="Times New Roman" w:hAnsi="Times New Roman" w:cs="Times New Roman"/>
          <w:b/>
          <w:bCs/>
          <w:color w:val="000000"/>
          <w:sz w:val="24"/>
          <w:szCs w:val="24"/>
        </w:rPr>
        <w:t xml:space="preserve">Collation of </w:t>
      </w:r>
      <w:r w:rsidRPr="00667A0D">
        <w:rPr>
          <w:rFonts w:ascii="Times New Roman" w:hAnsi="Times New Roman" w:cs="Times New Roman"/>
          <w:b/>
          <w:bCs/>
          <w:i/>
          <w:color w:val="000000"/>
          <w:sz w:val="24"/>
          <w:szCs w:val="24"/>
        </w:rPr>
        <w:t>M. tuberculosis</w:t>
      </w:r>
      <w:r w:rsidRPr="00667A0D">
        <w:rPr>
          <w:rFonts w:ascii="Times New Roman" w:hAnsi="Times New Roman" w:cs="Times New Roman"/>
          <w:b/>
          <w:bCs/>
          <w:color w:val="000000"/>
          <w:sz w:val="24"/>
          <w:szCs w:val="24"/>
        </w:rPr>
        <w:t xml:space="preserve"> H37Rv (Mtb) genes involved in hypoxic response</w:t>
      </w:r>
    </w:p>
    <w:p w:rsidR="00667A0D" w:rsidRPr="00667A0D" w:rsidRDefault="00667A0D" w:rsidP="00667A0D">
      <w:pPr>
        <w:spacing w:line="360" w:lineRule="auto"/>
        <w:jc w:val="both"/>
        <w:rPr>
          <w:rFonts w:ascii="Times New Roman" w:hAnsi="Times New Roman" w:cs="Times New Roman"/>
          <w:sz w:val="24"/>
          <w:szCs w:val="24"/>
        </w:rPr>
      </w:pPr>
      <w:r w:rsidRPr="00667A0D">
        <w:rPr>
          <w:rFonts w:ascii="Times New Roman" w:hAnsi="Times New Roman" w:cs="Times New Roman"/>
          <w:sz w:val="24"/>
          <w:szCs w:val="24"/>
        </w:rPr>
        <w:t xml:space="preserve">Literature was mined to identify all genes previously reported to be associated to hypoxic response of </w:t>
      </w:r>
      <w:proofErr w:type="spellStart"/>
      <w:r w:rsidRPr="00667A0D">
        <w:rPr>
          <w:rFonts w:ascii="Times New Roman" w:hAnsi="Times New Roman" w:cs="Times New Roman"/>
          <w:sz w:val="24"/>
          <w:szCs w:val="24"/>
        </w:rPr>
        <w:t>Mtb</w:t>
      </w:r>
      <w:proofErr w:type="spellEnd"/>
      <w:r w:rsidRPr="00667A0D">
        <w:rPr>
          <w:rFonts w:ascii="Times New Roman" w:hAnsi="Times New Roman" w:cs="Times New Roman"/>
          <w:sz w:val="24"/>
          <w:szCs w:val="24"/>
        </w:rPr>
        <w:t xml:space="preserve">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{"citationID":"a2d9cs2cebp","properties":{"formattedCitation":"{\\rtf [1\\uc0\\u8211{}8]}","plainCitation":"[1–8]"},"citationItems":[{"id":144,"uris":["http://zotero.org/users/local/9EyN3M13/items/2AZUM5JM"],"uri":["http://zotero.org/users/local/9EyN3M13/items/2AZUM5JM"],"itemData":{"id":144,"type":"article-journal","title":"mosR, a novel transcriptional regulator of hypoxia and virulence in Mycobacterium tuberculosis","container-title":"Journal of Bacteriology","page":"5941-5952","volume":"191","issue":"19","source":"PubMed","abstract":"Latent tuberculosis represents a high-risk burden for one-third of the world population. Previous analysis of murine tuberculosis identified a novel transcriptional regulator encoded by Rv0348 that could control the establishment of persistent tuberculosis. Disruption of the Rv0348 gene from the genome of the virulent H37Rv strain of Mycobacterium tuberculosis revealed a global impact on the transcriptional profiles of 163 genes, including induction of the mammalian cell entry (mce1) operon and the repression of a significant number of genes involved in hypoxia and starvation responses. Nonetheless, gel shift assays did not reveal direct binding between Rv0348 and a set of regulated promoters, suggesting an indirect regulatory role. However, when expressed in Mycobacterium smegmatis, the Rv0348 transcripts were significantly responsive to different levels of hypoxia and the encoded protein was shown to regulate genes involved in hypoxia [e.g., Rv3130c (tgs1)] and intracellular survival (e.g., mce1), among other genes. Interestingly, the colonization level of the DeltamosR mutant strain was significantly lower than that of the wild-type strain of M. tuberculosis, suggesting its attenuation in the murine model of tuberculosis. Taken together, our analyses indicated that the Rv0348 gene encodes a novel transcriptional factor that regulates several operons involved in mycobacterial survival, especially during hypoxia; hence, we propose that Rv0348 be renamed mosR for regulator of mycobacterial operons of survival.","DOI":"10.1128/JB.00778-09","ISSN":"1098-5530","note":"PMID: 19648248\nPMCID: PMC2747884","journalAbbreviation":"J. Bacteriol.","language":"eng","author":[{"family":"Abomoelak","given":"Bassam"},{"family":"Hoye","given":"Elizabeth A."},{"family":"Chi","given":"Jing"},{"family":"Marcus","given":"Sarah A."},{"family":"Laval","given":"Francoise"},{"family":"Bannantine","given":"John P."},{"family":"Ward","given":"Sarah K."},{"family":"Daffé","given":"Mamadou"},{"family":"Liu","given":"Hong Di"},{"family":"Talaat","given":"Adel M."}],"issued":{"date-parts":[["2009",10]]}}},{"id":215,"uris":["http://zotero.org/users/local/9EyN3M13/items/Y455QMXA"],"uri":["http://zotero.org/users/local/9EyN3M13/items/Y455QMXA"],"itemData":{"id":215,"type":"article-journal","title":"Hypoxia induces an immunodominant target of tuberculosis specific T cells absent from common BCG vaccines","container-title":"PLoS pathogens","page":"e1001237","volume":"6","issue":"12","source":"PubMed","abstract":"M. tuberculosis (MTB) species-specific antigenic determinants of the human T cell response are important for immunodiagnosis and vaccination. As hypoxia is a stimulus in chronic tuberculosis infection, we analyzed transcriptional profiles of MTB subject to 168 hours of hypoxia to test the hypothesis that upregulation by hypoxia might result in gene products being recognized as antigens. We identified upregulation of two region of difference (RD) 11 (Rv2658C and Rv2659c), and one RD2 (Rv1986) absent from commonly used BCG strains. In MTB infected persons, the IL-2 ELISpot response to Rv1986 peptides was several times greater than the corresponding IFN-γ response to the reference immunodominant ESAT-6 or CFP-10 antigens. The IL-2 response was confined to two epitopic regions containing residues 61-80 and 161-180. The biggest population of IL-2 secreting T cells was single cytokine positive central memory T cells. The IL-2 response to live MTB bacilli lacking Rv1986 was significantly lower than the response to wild type or mutant complemented with Rv1986. In addition, the IL-2 response to Rv1986 was significantly lower in HIV-TB co-infected persons than in HIV uninfected persons, and significantly increased during antiretroviral therapy. These findings demonstrate that Rv1986 is an immunodominant target of memory T cells and is therefore of relevance when considering the partial efficacy of currently used BCG vaccines and provide evidence for a clinical trial comparing BCG strains.","DOI":"10.1371/journal.ppat.1001237","ISSN":"1553-7374","note":"PMID: 21203487\nPMCID: PMC3009603","journalAbbreviation":"PLoS Pathog.","language":"eng","author":[{"family":"Gideon","given":"Hannah Priyadarshini"},{"family":"Wilkinson","given":"Katalin Andrea"},{"family":"Rustad","given":"Tige R."},{"family":"Oni","given":"Tolu"},{"family":"Guio","given":"Heinner"},{"family":"Kozak","given":"Robert Andrew"},{"family":"Sherman","given":"David R."},{"family":"Meintjes","given":"Graeme"},{"family":"Behr","given":"Marcel A."},{"family":"Vordermeier","given":"Hans Martin"},{"family":"Young","given":"Douglas Brownlee"},{"family":"Wilkinson","given":"Robert John"}],"issued":{"date-parts":[["2010",12,23]]}}},{"id":36,"uris":["http://zotero.org/users/local/9EyN3M13/items/MJ4FCTLD"],"uri":["http://zotero.org/users/local/9EyN3M13/items/MJ4FCTLD"],"itemData":{"id":36,"type":"article-journal","title":"Unique roles of DosT and DosS in DosR regulon induction and Mycobacterium tuberculosis dormancy","container-title":"Infection and Immunity","page":"3258-3263","volume":"77","issue":"8","source":"PubMed","abstract":"In Mycobacterium tuberculosis, the sensor kinases DosT and DosS activate the transcriptional regulator DosR, resulting in the induction of the DosR regulon, which is important for anaerobic survival and perhaps latent infection. The individual and collective roles of these sensors have been postulated biochemically, but their roles in vivo have remained unclear. This work demonstrates distinct and additive roles for each sensor during anaerobic dormancy. Both sensors are necessary for wild-type levels of DosR regulon induction, and concomitantly, full induction of the regulon is required for wild-type anaerobic survival. In the anaerobic model, DosT plays an early role, responding to hypoxia. DosT then induces the regulon and with it DosS, which sustains and further induces the regulon. DosT then loses its functionality as oxygen becomes limited, and DosS alone maintains induction of the genes from that point forward. Thus, M. tuberculosis has evolved a system whereby it responds to hypoxic conditions in a stepwise fashion as it enters an anaerobic state.","DOI":"10.1128/IAI.01449-08","ISSN":"1098-5522","note":"PMID: 19487478\nPMCID: PMC2715697","journalAbbreviation":"Infect. Immun.","language":"eng","author":[{"family":"Honaker","given":"Ryan W."},{"family":"Leistikow","given":"Rachel L."},{"family":"Bartek","given":"Iona L."},{"family":"Voskuil","given":"Martin I."}],"issued":{"date-parts":[["2009",8]]}}},{"id":253,"uris":["http://zotero.org/users/local/9EyN3M13/items/3UAYF5V8"],"uri":["http://zotero.org/users/local/9EyN3M13/items/3UAYF5V8"],"itemData":{"id":253,"type":"article-journal","title":"Rv3133c/dosR is a transcription factor that mediates the hypoxic response of Mycobacterium tuberculosis","container-title":"Molecular Microbiology","page":"833-843","volume":"48","issue":"3","source":"PubMed","abstract":"Unlike many pathogens that are overtly harmful to their hosts, Mycobacterium tuberculosis can persist for years within humans in a clinically latent state. Latency is often linked to hypoxic conditions within the host. Among M. tuberculosis genes induced by hypoxia is a putative transcription factor, Rv3133c/DosR. We performed targeted disruption of this locus followed by transcriptome analysis of wild-type and mutant bacilli. Nearly all the genes powerfully regulated by hypoxia require Rv3133c/DosR for their induction. Computer analysis identified a consensus motif, a variant of which is located upstream of nearly all M. tuberculosis genes rapidly induced by hypoxia. Further, Rv3133c/DosR binds to the two copies of this motif upstream of the hypoxic response gene alpha-crystallin. Mutations within the binding sites abolish both Rv3133c/DosR binding as well as hypoxic induction of a downstream reporter gene. Also, mutation experiments with Rv3133c/DosR confirmed sequence-based predictions that the C-terminus is responsible for DNA binding and that the aspartate at position 54 is essential for function. Together, these results demonstrate that Rv3133c/DosR is a transcription factor of the two-component response regulator class, and that it is the primary mediator of a hypoxic signal within M. tuberculosis.","ISSN":"0950-382X","note":"PMID: 12694625\nPMCID: PMC1992516","journalAbbreviation":"Mol. Microbiol.","language":"eng","author":[{"family":"Park","given":"Heui-Dong"},{"family":"Guinn","given":"Kristi M."},{"family":"Harrell","given":"Maria I."},{"family":"Liao","given":"Reiling"},{"family":"Voskuil","given":"Martin I."},{"family":"Tompa","given":"Martin"},{"family":"Schoolnik","given":"Gary K."},{"family":"Sherman","given":"David R."}],"issued":{"date-parts":[["2003",5]]}}},{"id":153,"uris":["http://zotero.org/users/local/9EyN3M13/items/PR2ZHBSA"],"uri":["http://zotero.org/users/local/9EyN3M13/items/PR2ZHBSA"],"itemData":{"id":153,"type":"article-journal","title":"Hypoxic response of Mycobacterium tuberculosis studied by metabolic labeling and proteome analysis of cellular and extracellular proteins","container-title":"Journal of Bacteriology","page":"3485-3491","volume":"184","issue":"13","source":"PubMed","abstract":"The events involved in the establishment of a latent infection with Mycobacterium tuberculosis are not fully understood, but hypoxic conditions are generally believed to be the environment encountered by the pathogen in the central part of the granuloma. The present study was undertaken to provide insight into M. tuberculosis protein expression in in vitro latency models where oxygen is depleted. The response of M. tuberculosis to low-oxygen conditions was investigated in both cellular and extracellular proteins by metabolic labeling, two-dimensional electrophoresis, and protein signature peptide analysis by liquid chromatography-mass spectrometry. By peptide mass fingerprinting and immunodetection, five proteins more abundant under low-oxygen conditions were identified from several lysates of M. tuberculosis: Rv0569, Rv2031c (HspX), Rv2623, Rv2626c, and Rv3841 (BfrB). In M. tuberculosis culture filtrates, two additional proteins, Rv0363c (Fba) and Rv2780 (Ald), were found in increased amounts under oxygen limitation. These results extend our understanding of the hypoxic response in M. tuberculosis and potentially provide important insights into the physiology of the latent bacilli.","ISSN":"0021-9193","note":"PMID: 12057942\nPMCID: PMC135148","journalAbbreviation":"J. Bacteriol.","language":"eng","author":[{"family":"Rosenkrands","given":"Ida"},{"family":"Slayden","given":"Richard A."},{"family":"Crawford","given":"Janne"},{"family":"Aagaard","given":"Claus"},{"family":"Barry","given":"Clifton E."},{"family":"Andersen","given":"Peter"}],"issued":{"date-parts":[["2002",7]]}}},{"id":23,"uris":["http://zotero.org/users/local/9EyN3M13/items/FNLILMU4"],"uri":["http://zotero.org/users/local/9EyN3M13/items/FNLILMU4"],"itemData":{"id":23,"type":"article-journal","title":"The enduring hypoxic response of Mycobacterium tuberculosis","container-title":"PloS One","page":"e1502","volume":"3","issue":"1","source":"PubMed","abstract":"BACKGROUND: A significant body of evidence accumulated over the last century suggests a link between hypoxic microenvironments within the infected host and the latent phase of tuberculosis. Studies to test this correlation have identified the M. tuberculosis initial hypoxic response, controlled by the two-component response regulator DosR. The initial hypoxic response is completely blocked in a dosR deletion mutant.\nMETHODOLOGY/PRINCIPAL FINDINGS: We show here that a dosR deletion mutant enters bacteriostasis in response to in vitro hypoxia with only a relatively mild decrease in viability. In the murine infection model, the phenotype of the mutant was indistinguishable from that of the parent strain. These results suggested that additional genes may be essential for entry into and maintenance of bacteriostasis. Detailed microarray analysis of oxygen starved cultures revealed that DosR regulon induction is transient, with induction of nearly half the genes returning to baseline within 24 hours. In addition, a larger, sustained wave of gene expression follows the DosR-mediated initial hypoxic response. This Enduring Hypoxic Response (EHR) consists of 230 genes significantly induced at four and seven days of hypoxia but not at initial time points. These genes include a surprising number of transcriptional regulators that could control the program of bacteriostasis. We found that the EHR is independent of the DosR-mediated initial hypoxic response, as EHR expression is virtually unaltered in the dosR mutant.\nCONCLUSIONS/SIGNIFICANCE: Our results suggest a reassessment of the role of DosR and the initial hypoxic response in MTB physiology. Instead of a primary role in survival of hypoxia induced bacteriostasis, DosR may regulate a response that is largely optional in vitro and in mouse infections. Analysis of the EHR should help elucidate the key regulatory factors and enzymatic machinery exploited by M. tuberculosis for long-term bacteriostasis in the face of oxygen deprivation.","DOI":"10.1371/journal.pone.0001502","ISSN":"1932-6203","note":"PMID: 18231589\nPMCID: PMC2198943","journalAbbreviation":"PLoS ONE","language":"eng","author":[{"family":"Rustad","given":"Tige R."},{"family":"Harrell","given":"Maria I."},{"family":"Liao","given":"Reiling"},{"family":"Sherman","given":"David R."}],"issued":{"date-parts":[["2008",1,30]]}}},{"id":19,"uris":["http://zotero.org/users/local/9EyN3M13/items/VU8M7VUF"],"uri":["http://zotero.org/users/local/9EyN3M13/items/VU8M7VUF"],"itemData":{"id":19,"type":"article-journal","title":"Regulation of the Mycobacterium tuberculosis hypoxic response gene encoding alpha -crystallin","container-title":"Proceedings of the National Academy of Sciences of the United States of America","page":"7534-7539","volume":"98","issue":"13","source":"PubMed","abstract":"Unlike many pathogens that are overtly toxic to their hosts, the primary virulence determinant of Mycobacterium tuberculosis appears to be its ability to persist for years or decades within humans in a clinically latent state. Since early in the 20th century latency has been linked to hypoxic conditions within the host, but the response of M. tuberculosis to a hypoxic signal remains poorly characterized. The M. tuberculosis alpha-crystallin (acr) gene is powerfully and rapidly induced at reduced oxygen tensions, providing us with a means to identify regulators of the hypoxic response. Using a whole genome microarray, we identified &gt;100 genes whose expression is rapidly altered by defined hypoxic conditions. Numerous genes involved in biosynthesis and aerobic metabolism are repressed, whereas a high proportion of the induced genes have no known function. Among the induced genes is an apparent operon that includes the putative two-component response regulator pair Rv3133c/Rv3132c. When we interrupted expression of this operon by targeted disruption of the upstream gene Rv3134c, the hypoxic regulation of acr was eliminated. These results suggest a possible role for Rv3132c/3133c/3134c in mycobacterial latency.","DOI":"10.1073/pnas.121172498","ISSN":"0027-8424","note":"PMID: 11416222\nPMCID: PMC34703","journalAbbreviation":"Proc. Natl. Acad. Sci. U.S.A.","language":"eng","author":[{"family":"Sherman","given":"D. R."},{"family":"Voskuil","given":"M."},{"family":"Schnappinger","given":"D."},{"family":"Liao","given":"R."},{"family":"Harrell","given":"M. I."},{"family":"Schoolnik","given":"G. K."}],"issued":{"date-parts":[["2001",6,19]]}}},{"id":383,"uris":["http://zotero.org/users/local/9EyN3M13/items/KXBZRUJR"],"uri":["http://zotero.org/users/local/9EyN3M13/items/KXBZRUJR"],"itemData":{"id":383,"type":"article-journal","title":"Mycobacterium tuberculosis WhiB3 interacts with RpoV to affect host survival but is dispensable for in vivo growth","container-title":"Proceedings of the National Academy of Sciences of the United States of America","page":"3147-3152","volume":"99","issue":"5","source":"PubMed","abstract":"Previous work established that the principal sigma factor (RpoV) of virulent Mycobacterium bovis, a member of the Mycobacterium tuberculosis complex, restores virulence to an attenuated strain containing a point mutation (Arg-515--&gt;His) in the 4.2 domain of RpoV. We used the 4.2 domain of RpoV as bait in a yeast two-hybrid screen of an M. tuberculosis H37Rv library and identified a putative transcription factor, WhiB3, which selectively interacts with the 4.2 domain of RpoV in virulent strains but not with the mutated (Arg-515--&gt;His) allele. Infection of mice and guinea pigs with a M. tuberculosis H37Rv whiB3 deletion mutant strain showed that whiB3 is not necessary for in vivo bacterial replication in either animal model. In contrast, an M. bovis whiB3 deletion mutant was completely attenuated for growth in guinea pigs. However, we found that immunocompetent mice infected with the M. tuberculosis H37Rv whiB3 mutant strain had significantly longer mean survival times as compared with mice challenged with wild-type M. tuberculosis. Remarkably, the bacterial organ burdens of both mutant and wild-type infected mice were identical during the acute and persistent phases of infection. Our results imply that M. tuberculosis replication per se is not a sufficient condition for virulence in vivo. They also indicate a different role for M. bovis and M. tuberculosis whiB3 genes in pathogenesis generated in different animal models. We propose that M. tuberculosis WhiB3 functions as a transcription factor regulating genes that influence the immune response of the host.","DOI":"10.1073/pnas.052705399","ISSN":"0027-8424","note":"PMID: 11880648\nPMCID: PMC122487","journalAbbreviation":"Proc. Natl. Acad. Sci. U.S.A.","language":"eng","author":[{"family":"Steyn","given":"Adrie J. C."},{"family":"Collins","given":"Desmond M."},{"family":"Hondalus","given":"Mary K."},{"family":"Jacobs","given":"William R."},{"family":"Kawakami","given":"R. Pamela"},{"family":"Bloom","given":"Barry R."}],"issued":{"date-parts":[["2002",3,5]]}}}],"schema":"https://github.com/citation-style-language/schema/raw/master/csl-citation.json"}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szCs w:val="24"/>
        </w:rPr>
        <w:t>[1–8]</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286 genes found to be associated to the hypoxic response were classified under three categories – (</w:t>
      </w:r>
      <w:proofErr w:type="spellStart"/>
      <w:r w:rsidRPr="00667A0D">
        <w:rPr>
          <w:rFonts w:ascii="Times New Roman" w:hAnsi="Times New Roman" w:cs="Times New Roman"/>
          <w:sz w:val="24"/>
          <w:szCs w:val="24"/>
        </w:rPr>
        <w:t>i</w:t>
      </w:r>
      <w:proofErr w:type="spellEnd"/>
      <w:r w:rsidRPr="00667A0D">
        <w:rPr>
          <w:rFonts w:ascii="Times New Roman" w:hAnsi="Times New Roman" w:cs="Times New Roman"/>
          <w:sz w:val="24"/>
          <w:szCs w:val="24"/>
        </w:rPr>
        <w:t xml:space="preserve">) those involved in initial hypoxic response or </w:t>
      </w:r>
      <w:proofErr w:type="spellStart"/>
      <w:r w:rsidRPr="00667A0D">
        <w:rPr>
          <w:rFonts w:ascii="Times New Roman" w:hAnsi="Times New Roman" w:cs="Times New Roman"/>
          <w:i/>
          <w:sz w:val="24"/>
          <w:szCs w:val="24"/>
        </w:rPr>
        <w:t>dosR</w:t>
      </w:r>
      <w:proofErr w:type="spellEnd"/>
      <w:r w:rsidRPr="00667A0D">
        <w:rPr>
          <w:rFonts w:ascii="Times New Roman" w:hAnsi="Times New Roman" w:cs="Times New Roman"/>
          <w:sz w:val="24"/>
          <w:szCs w:val="24"/>
        </w:rPr>
        <w:t xml:space="preserve"> </w:t>
      </w:r>
      <w:proofErr w:type="spellStart"/>
      <w:r w:rsidRPr="00667A0D">
        <w:rPr>
          <w:rFonts w:ascii="Times New Roman" w:hAnsi="Times New Roman" w:cs="Times New Roman"/>
          <w:sz w:val="24"/>
          <w:szCs w:val="24"/>
        </w:rPr>
        <w:t>regulon</w:t>
      </w:r>
      <w:proofErr w:type="spellEnd"/>
      <w:r w:rsidRPr="00667A0D">
        <w:rPr>
          <w:rFonts w:ascii="Times New Roman" w:hAnsi="Times New Roman" w:cs="Times New Roman"/>
          <w:sz w:val="24"/>
          <w:szCs w:val="24"/>
        </w:rPr>
        <w:t xml:space="preserve"> genes, (ii) those implicated in enduring hypoxic response (EHR), i.e. EHR genes and (iii) those which are unclassified (genes lacking any time series expression data) based on the time of gene expression (immediately after infection or later)</w:t>
      </w:r>
      <w:r w:rsidR="000778B8">
        <w:rPr>
          <w:rFonts w:ascii="Times New Roman" w:hAnsi="Times New Roman" w:cs="Times New Roman"/>
          <w:sz w:val="24"/>
          <w:szCs w:val="24"/>
        </w:rPr>
        <w:t xml:space="preserve"> </w:t>
      </w:r>
      <w:r w:rsidR="000778B8" w:rsidRPr="00B908A2">
        <w:rPr>
          <w:rFonts w:ascii="Times New Roman" w:hAnsi="Times New Roman" w:cs="Times New Roman"/>
          <w:sz w:val="24"/>
          <w:szCs w:val="24"/>
        </w:rPr>
        <w:t>(</w:t>
      </w:r>
      <w:r w:rsidR="00365FC8" w:rsidRPr="00365FC8">
        <w:rPr>
          <w:rFonts w:ascii="Times New Roman" w:hAnsi="Times New Roman" w:cs="Times New Roman"/>
          <w:sz w:val="24"/>
          <w:szCs w:val="24"/>
        </w:rPr>
        <w:t>Additional File</w:t>
      </w:r>
      <w:r w:rsidR="00365FC8">
        <w:rPr>
          <w:rFonts w:ascii="Times New Roman" w:hAnsi="Times New Roman" w:cs="Times New Roman"/>
          <w:sz w:val="24"/>
          <w:szCs w:val="24"/>
        </w:rPr>
        <w:t xml:space="preserve"> </w:t>
      </w:r>
      <w:r w:rsidR="000778B8" w:rsidRPr="00B908A2">
        <w:rPr>
          <w:rFonts w:ascii="Times New Roman" w:hAnsi="Times New Roman" w:cs="Times New Roman"/>
          <w:sz w:val="24"/>
          <w:szCs w:val="24"/>
        </w:rPr>
        <w:t>5)</w:t>
      </w:r>
      <w:r w:rsidRPr="00B908A2">
        <w:rPr>
          <w:rFonts w:ascii="Times New Roman" w:hAnsi="Times New Roman" w:cs="Times New Roman"/>
          <w:sz w:val="24"/>
          <w:szCs w:val="24"/>
        </w:rPr>
        <w:t>.</w:t>
      </w:r>
      <w:r w:rsidRPr="00667A0D">
        <w:rPr>
          <w:rFonts w:ascii="Times New Roman" w:hAnsi="Times New Roman" w:cs="Times New Roman"/>
          <w:sz w:val="24"/>
          <w:szCs w:val="24"/>
        </w:rPr>
        <w:t xml:space="preserve"> These categories consisted of 57, 230 and 4 genes respectively (with 5 overlapping genes in the </w:t>
      </w:r>
      <w:proofErr w:type="spellStart"/>
      <w:r w:rsidRPr="00667A0D">
        <w:rPr>
          <w:rFonts w:ascii="Times New Roman" w:hAnsi="Times New Roman" w:cs="Times New Roman"/>
          <w:i/>
          <w:sz w:val="24"/>
          <w:szCs w:val="24"/>
        </w:rPr>
        <w:t>dosR</w:t>
      </w:r>
      <w:proofErr w:type="spellEnd"/>
      <w:r w:rsidRPr="00667A0D">
        <w:rPr>
          <w:rFonts w:ascii="Times New Roman" w:hAnsi="Times New Roman" w:cs="Times New Roman"/>
          <w:sz w:val="24"/>
          <w:szCs w:val="24"/>
        </w:rPr>
        <w:t xml:space="preserve"> </w:t>
      </w:r>
      <w:proofErr w:type="spellStart"/>
      <w:r w:rsidRPr="00667A0D">
        <w:rPr>
          <w:rFonts w:ascii="Times New Roman" w:hAnsi="Times New Roman" w:cs="Times New Roman"/>
          <w:sz w:val="24"/>
          <w:szCs w:val="24"/>
        </w:rPr>
        <w:t>regulon</w:t>
      </w:r>
      <w:proofErr w:type="spellEnd"/>
      <w:r w:rsidRPr="00667A0D">
        <w:rPr>
          <w:rFonts w:ascii="Times New Roman" w:hAnsi="Times New Roman" w:cs="Times New Roman"/>
          <w:sz w:val="24"/>
          <w:szCs w:val="24"/>
        </w:rPr>
        <w:t xml:space="preserve"> and EHR). Analysis of the associated biological pathways for these sets of genes was performed using Gene ontology (GO) </w:t>
      </w:r>
      <w:r w:rsidRPr="00667A0D">
        <w:rPr>
          <w:rFonts w:ascii="Times New Roman" w:eastAsia="Liberation Sans" w:hAnsi="Times New Roman" w:cs="Times New Roman"/>
          <w:color w:val="000000"/>
          <w:sz w:val="24"/>
          <w:szCs w:val="24"/>
        </w:rPr>
        <w:t xml:space="preserve">cellular component </w:t>
      </w:r>
      <w:r w:rsidRPr="00667A0D">
        <w:rPr>
          <w:rFonts w:ascii="Times New Roman" w:hAnsi="Times New Roman" w:cs="Times New Roman"/>
          <w:sz w:val="24"/>
          <w:szCs w:val="24"/>
        </w:rPr>
        <w:t xml:space="preserve">terms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2oieoidjob","properties":{"formattedCitation":"[9]","plainCitation":"[9]"},"citationItems":[{"id":179,"uris":["http://zotero.org/users/local/9EyN3M13/items/3BQXZSDT"],"uri":["http://zotero.org/users/local/9EyN3M13/items/3BQXZSDT"],"itemData":{"id":179,"type":"article-journal","title":"Gene ontology: tool for the unification of biology. The Gene Ontology Consortium","container-title":"Nature Genetics","page":"25-29","volume":"25","issue":"1","source":"PubMed","DOI":"10.1038/75556","ISSN":"1061-4036","note":"PMID: 10802651\nPMCID: PMC3037419","shortTitle":"Gene ontology","journalAbbreviation":"Nat. Genet.","language":"eng","author":[{"family":"Ashburner","given":"M."},{"family":"Ball","given":"C. A."},{"family":"Blake","given":"J. A."},{"family":"Botstein","given":"D."},{"family":"Butler","given":"H."},{"family":"Cherry","given":"J. M."},{"family":"Davis","given":"A. P."},{"family":"Dolinski","given":"K."},{"family":"Dwight","given":"S. S."},{"family":"Eppig","given":"J. T."},{"family":"Harris","given":"M. A."},{"family":"Hill","given":"D. P."},{"family":"Issel-Tarver","given":"L."},{"family":"Kasarskis","given":"A."},{"family":"Lewis","given":"S."},{"family":"Matese","given":"J. C."},{"family":"Richardson","given":"J. E."},{"family":"Ringwald","given":"M."},{"family":"Rubin","given":"G. M."},{"family":"Sherlock","given":"G."}],"issued":{"date-parts":[["2000",5]]}}}],"schema":"https://github.com/citation-style-language/schema/raw/master/csl-citation.json"}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rPr>
        <w:t>[9]</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The procedure adopted for performing the GO enrichment analysis has been detailed in a subsequent section.</w:t>
      </w:r>
    </w:p>
    <w:p w:rsidR="00667A0D" w:rsidRPr="00667A0D" w:rsidRDefault="00667A0D" w:rsidP="00667A0D">
      <w:pPr>
        <w:spacing w:line="360" w:lineRule="auto"/>
        <w:jc w:val="both"/>
        <w:rPr>
          <w:rFonts w:ascii="Times New Roman" w:hAnsi="Times New Roman" w:cs="Times New Roman"/>
          <w:sz w:val="24"/>
          <w:szCs w:val="24"/>
        </w:rPr>
      </w:pPr>
    </w:p>
    <w:p w:rsidR="00667A0D" w:rsidRPr="00667A0D" w:rsidRDefault="00667A0D" w:rsidP="00667A0D">
      <w:pPr>
        <w:spacing w:line="360" w:lineRule="auto"/>
        <w:jc w:val="both"/>
        <w:rPr>
          <w:rFonts w:ascii="Times New Roman" w:hAnsi="Times New Roman" w:cs="Times New Roman"/>
          <w:b/>
          <w:bCs/>
          <w:color w:val="000000"/>
          <w:sz w:val="24"/>
          <w:szCs w:val="24"/>
        </w:rPr>
      </w:pPr>
      <w:r w:rsidRPr="00667A0D">
        <w:rPr>
          <w:rFonts w:ascii="Times New Roman" w:hAnsi="Times New Roman" w:cs="Times New Roman"/>
          <w:b/>
          <w:bCs/>
          <w:color w:val="000000"/>
          <w:sz w:val="24"/>
          <w:szCs w:val="24"/>
        </w:rPr>
        <w:t xml:space="preserve">Construction of </w:t>
      </w:r>
      <w:r w:rsidR="00626424">
        <w:rPr>
          <w:rFonts w:ascii="Times New Roman" w:hAnsi="Times New Roman" w:cs="Times New Roman"/>
          <w:b/>
          <w:bCs/>
          <w:color w:val="000000"/>
          <w:sz w:val="24"/>
          <w:szCs w:val="24"/>
        </w:rPr>
        <w:t>transcription factor network (TF network)</w:t>
      </w:r>
      <w:r w:rsidRPr="00667A0D">
        <w:rPr>
          <w:rFonts w:ascii="Times New Roman" w:hAnsi="Times New Roman" w:cs="Times New Roman"/>
          <w:b/>
          <w:bCs/>
          <w:color w:val="000000"/>
          <w:sz w:val="24"/>
          <w:szCs w:val="24"/>
        </w:rPr>
        <w:t xml:space="preserve"> involved in </w:t>
      </w:r>
      <w:r w:rsidRPr="00667A0D">
        <w:rPr>
          <w:rFonts w:ascii="Times New Roman" w:hAnsi="Times New Roman" w:cs="Times New Roman"/>
          <w:b/>
          <w:bCs/>
          <w:i/>
          <w:color w:val="000000"/>
          <w:sz w:val="24"/>
          <w:szCs w:val="24"/>
        </w:rPr>
        <w:t>M. tuberculosis</w:t>
      </w:r>
      <w:r w:rsidRPr="00667A0D">
        <w:rPr>
          <w:rFonts w:ascii="Times New Roman" w:hAnsi="Times New Roman" w:cs="Times New Roman"/>
          <w:b/>
          <w:bCs/>
          <w:color w:val="000000"/>
          <w:sz w:val="24"/>
          <w:szCs w:val="24"/>
        </w:rPr>
        <w:t xml:space="preserve"> H37Rv (Mtb) hypoxic response</w:t>
      </w:r>
    </w:p>
    <w:p w:rsidR="00667A0D" w:rsidRDefault="00667A0D" w:rsidP="00667A0D">
      <w:pPr>
        <w:spacing w:line="360" w:lineRule="auto"/>
        <w:jc w:val="both"/>
        <w:rPr>
          <w:rFonts w:ascii="Times New Roman" w:hAnsi="Times New Roman" w:cs="Times New Roman"/>
          <w:sz w:val="24"/>
          <w:szCs w:val="24"/>
        </w:rPr>
      </w:pPr>
      <w:r w:rsidRPr="00667A0D">
        <w:rPr>
          <w:rFonts w:ascii="Times New Roman" w:hAnsi="Times New Roman" w:cs="Times New Roman"/>
          <w:sz w:val="24"/>
          <w:szCs w:val="24"/>
        </w:rPr>
        <w:t xml:space="preserve">Gene regulatory data pertaining to the adaptation of Mtb to hypoxic environment was obtained through exhaustive literature search. Apart from studies directed towards functional characterization of one or a few genes of interest, high-throughput experimental studies were also considered while collating the gene regulatory information. A total of 345 interactions could be retrieved, where the transcription factors (TFs) have been reported to significantly induce or reduce the expression level of the target gene under hypoxic environment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{"citationID":"a1ubmhhrkkm","properties":{"formattedCitation":"{\\rtf [3,7,10\\uc0\\u8211{}15]}","plainCitation":"[3,7,10–15]"},"citationItems":[{"id":30,"uris":["http://zotero.org/users/local/9EyN3M13/items/H766BSHD"],"uri":["http://zotero.org/users/local/9EyN3M13/items/H766BSHD"],"itemData":{"id":30,"type":"article-journal","title":"The Mycobacterium tuberculosis regulatory network and hypoxia","container-title":"Nature","page":"178-183","volume":"499","issue":"7457","source":"PubMed","abstract":"We have taken the first steps towards a complete reconstruction of the Mycobacterium tuberculosis regulatory network based on ChIP-Seq and combined this reconstruction with system-wide profiling of messenger RNAs, proteins, metabolites and lipids during hypoxia and re-aeration. Adaptations to hypoxia are thought to have a prominent role in M. tuberculosis pathogenesis. Using ChIP-Seq combined with expression data from the induction of the same factors, we have reconstructed a draft regulatory network based on 50 transcription factors. This network model revealed a direct interconnection between the hypoxic response, lipid catabolism, lipid anabolism and the production of cell wall lipids. As a validation of this model, in response to oxygen availability we observe substantial alterations in lipid content and changes in gene expression and metabolites in corresponding metabolic pathways. The regulatory network reveals transcription factors underlying these changes, allows us to computationally predict expression changes, and indicates that Rv0081 is a regulatory hub.","DOI":"10.1038/nature12337","ISSN":"1476-4687","note":"PMID: 23823726\nPMCID: PMC4087036","journalAbbreviation":"Nature","language":"eng","author":[{"family":"Galagan","given":"James E."},{"family":"Minch","given":"Kyle"},{"family":"Peterson","given":"Matthew"},{"family":"Lyubetskaya","given":"Anna"},{"family":"Azizi","given":"Elham"},{"family":"Sweet","given":"Linsday"},{"family":"Gomes","given":"Antonio"},{"family":"Rustad","given":"Tige"},{"family":"Dolganov","given":"Gregory"},{"family":"Glotova","given":"Irina"},{"family":"Abeel","given":"Thomas"},{"family":"Mahwinney","given":"Chris"},{"family":"Kennedy","given":"Adam D."},{"family":"Allard","given":"René"},{"family":"Brabant","given":"William"},{"family":"Krueger","given":"Andrew"},{"family":"Jaini","given":"Suma"},{"family":"Honda","given":"Brent"},{"family":"Yu","given":"Wen-Han"},{"family":"Hickey","given":"Mark J."},{"family":"Zucker","given":"Jeremy"},{"family":"Garay","given":"Christopher"},{"family":"Weiner","given":"Brian"},{"family":"Sisk","given":"Peter"},{"family":"Stolte","given":"Christian"},{"family":"Winkler","given":"Jessica K."},{"family":"Van de Peer","given":"Yves"},{"family":"Iazzetti","given":"Paul"},{"family":"Camacho","given":"Diogo"},{"family":"Dreyfuss","given":"Jonathan"},{"family":"Liu","given":"Yang"},{"family":"Dorhoi","given":"Anca"},{"family":"Mollenkopf","given":"Hans-Joachim"},{"family":"Drogaris","given":"Paul"},{"family":"Lamontagne","given":"Julie"},{"family":"Zhou","given":"Yiyong"},{"family":"Piquenot","given":"Julie"},{"family":"Park","given":"Sang Tae"},{"family":"Raman","given":"Sahadevan"},{"family":"Kaufmann","given":"Stefan H. E."},{"family":"Mohney","given":"Robert P."},{"family":"Chelsky","given":"Daniel"},{"family":"Moody","given":"D. Branch"},{"family":"Sherman","given":"David R."},{"family":"Schoolnik","given":"Gary K."}],"issued":{"date-parts":[["2013",7,11]]}}},{"id":274,"uris":["http://zotero.org/users/local/9EyN3M13/items/Z6QEYF2C"],"uri":["http://zotero.org/users/local/9EyN3M13/items/Z6QEYF2C"],"itemData":{"id":274,"type":"article-journal","title":"Characterization of a novel ArsR-like regulator encoded by Rv2034 in Mycobacterium tuberculosis","container-title":"PloS One","page":"e36255","volume":"7","issue":"4","source":"PubMed","abstract":"The genome of Mycobacterium tuberculosis, the causative agent of tuberculosis, encodes a large number of putative transcriptional regulators. However, the identity and target genes of only a few of them have been clearly identified to date. In a recent study, the ArsR family regulator Rv2034 was characterized as a novel positive regulator of phoP. In the current study, we characterized the auto-repressive capabilities of Rv2034 and identified several residues in the protein critical for its DNA binding activities. We also provide evidence that Rv2034 forms dimers in vitro. Furthermore, by using DNaseI footprinting assays, a palindromic sequence was identified as its binding site. Notably, we found that the dosR promoter region contains the binding motif for Rv2034, and that Rv2034 positively regulates the expression of the dosR gene. The potential roles of Rv2034 in the regulation of lipid metabolism and hypoxic adaptation are discussed.","DOI":"10.1371/journal.pone.0036255","ISSN":"1932-6203","note":"PMID: 22558408\nPMCID: PMC3338718","journalAbbreviation":"PLoS ONE","language":"eng","author":[{"family":"Gao","given":"Chun-hui"},{"family":"Yang","given":"Min"},{"family":"He","given":"Zheng-Guo"}],"issued":{"date-parts":[["2012"]]}}},{"id":451,"uris":["http://zotero.org/users/local/9EyN3M13/items/MJSZX3JG"],"uri":["http://zotero.org/users/local/9EyN3M13/items/MJSZX3JG"],"itemData":{"id":451,"type":"article-journal","title":"Dissecting transcription regulatory pathways through a new bacterial one-hybrid reporter system","container-title":"Genome Research","page":"1301-1308","volume":"19","issue":"7","source":"PubMed","abstract":"Sequence-specific DNA-binding transcription factors have widespread biological significance in the regulation of gene expression. However, in lower prokaryotes and eukaryotic metazoans, it is usually difficult to find transcription regulatory factors that recognize specific target promoters. To address this, we have developed in this study a new bacterial one-hybrid reporter vector system that provides a convenient and rapid strategy to determine the specific interaction between target DNA sequences and their transcription factors. Using this system, we have successfully determined the DNA-binding specificity of the transcription regulator Rv3133c to a previously reported promoter region of the gene Rv2031 in Mycobacterium tuberculosis. In addition, we have tested more than 20 promoter regions of M. tuberculosis genes using this approach to determine if they interact with approximately 150 putative regulatory proteins. A variety of transcription factors are found to participate in the regulation of stress response and fatty acid metabolism, both of which comprise the core of in vivo-induced genes when M. tuberculosis invades macrophages. Interestingly, among the many new discovered potential transcription factors, the WhiB-like transcriptional factor WhiB3 was identified for the first time to bind with the promoter sequences of most in vivo-induced genes. Therefore, this study offers important data in the dissection of the transcription regulations in M. tuberculosis, and the strategy should be applicable in the study of DNA-binding factors in a wide range of biological organisms.","DOI":"10.1101/gr.086595.108","ISSN":"1088-9051","note":"PMID: 19228590\nPMCID: PMC2704442","journalAbbreviation":"Genome Res.","language":"eng","author":[{"family":"Guo","given":"Manman"},{"family":"Feng","given":"Hui"},{"family":"Zhang","given":"Jun"},{"family":"Wang","given":"Wenqin"},{"family":"Wang","given":"Yi"},{"family":"Li","given":"Yuqing"},{"family":"Gao","given":"Chunhui"},{"family":"Chen","given":"Huanchun"},{"family":"Feng","given":"Ying"},{"family":"He","given":"Zheng-Guo"}],"issued":{"date-parts":[["2009",7]]}}},{"id":32,"uris":["http://zotero.org/users/local/9EyN3M13/items/6EE3H27Q"],"uri":["http://zotero.org/users/local/9EyN3M13/items/6EE3H27Q"],"itemData":{"id":32,"type":"article-journal","title":"Transcriptional autoregulation by Mycobacterium tuberculosis PhoP involves recognition of novel direct repeat sequences in the regulatory region of the promoter","container-title":"FEBS letters","page":"5328-5338","volume":"580","issue":"22","source":"PubMed","abstract":"The PhoP-PhoR two-component system is essential for virulence and intracellular growth of Mycobacterium tuberculosis (MTB) in human and mouse macrophages or in mice. Here, PhoP and truncated PhoR sensor proteins were shown to participate in phosphotransfer reactions using conserved residues characteristic of two-component signaling systems. beta-Galactosidase activity originating from phoP promoter-lacZ construct was inhibited in presence of PhoP, suggesting transcriptional auto-inhibition by the response regulator. In vitro binding of PhoP is consistent with the in vivo transcriptional repression, indicating phosphorylation-independent assembly of the transcription initiation complex at elevated concentrations of PhoP. DNaseI protection studies reveal a consensus recognition sequence within the phoP promoter that includes three 9-bp direct repeat units. Each repeat unit adjusts to the consensus (1)AC(T)/(G)(T)/(G)(T)/(G)P(y)AP(u)C(9). Alteration in the sequence of the newly-identified direct repeat units relieved phoP transcriptional repression in presence of PhoP, suggesting that PhoP represses its own expression by sequence-specific interaction(s) with the repeat units. Together, these results identify so far unknown PhoP-regulated genetic determinants in the regulatory region of the phoP promoter that are central to understanding of how PhoP may possibly function as a global regulator in MTB.","DOI":"10.1016/j.febslet.2006.09.004","ISSN":"0014-5793","note":"PMID: 16979633","journalAbbreviation":"FEBS Lett.","language":"eng","author":[{"family":"Gupta","given":"Sankalp"},{"family":"Sinha","given":"Akesh"},{"family":"Sarkar","given":"Dibyendu"}],"issued":{"date-parts":[["2006",10,2]]}}},{"id":38,"uris":["http://zotero.org/users/local/9EyN3M13/items/DPQZAZ8E"],"uri":["http://zotero.org/users/local/9EyN3M13/items/DPQZAZ8E"],"itemData":{"id":38,"type":"article-journal","title":"Components of the Rv0081-Rv0088 locus, which encodes a predicted formate hydrogenlyase complex, are coregulated by Rv0081, MprA, and DosR in Mycobacterium tuberculosis","container-title":"Journal of Bacteriology","page":"5105-5118","volume":"193","issue":"19","source":"PubMed","abstract":"Mycobacterium tuberculosis, the etiological agent of tuberculosis, remains a significant cause of morbidity and mortality throughout the world despite a vaccine and cost-effective antibiotics. The success of this organism can be attributed, in part, to its ability to adapt to potentially harmful stress within the host and establish, maintain, and reactivate from long-term persistent infection within granulomatous structures. The DosRS-DosT/DevRS-Rv2027c, and MprAB two-component signal transduction systems have previously been implicated in aspects of persistent infection by M. tuberculosis and are known to be responsive to conditions likely to be found within the granuloma. Here, we describe initial characterization of a locus (Rv0081-Rv0088) encoding components of a predicted formate hydrogenylase enzyme complex that is directly regulated by DosR/DevR and MprA, and the product of the first gene in this operon, Rv0081. In particular, we demonstrate that Rv0081 negatively regulates its own expression and that of downstream genes by binding an inverted repeat element in its upstream region. In contrast, DosR/DevR and MprA positively regulate Rv0081 expression by binding to recognition sequences that either partially or completely overlap that recognized by Rv0081, respectively. Expression of Rv0081 initiates from two promoter elements; one promoter located downstream of the DosR/DevR binding site but overlapping the sequence recognized by both Rv0081 and MprA and another promoter downstream of the DosR/DevR, Rv0081, and MprA binding sites. Interestingly, Rv0081 represses Rv0081 and downstream determinants following activation of DosRS-DosT/DevRS-Rv2027c by nitric oxide, suggesting that expression of this locus is complex and subject to multiple levels of regulation. Based on this and other published information, a model is proposed detailing Rv0081-Rv0088 expression by these transcription factors within particular growth environments.","DOI":"10.1128/JB.05562-11","ISSN":"1098-5530","note":"PMID: 21821774\nPMCID: PMC3187382","journalAbbreviation":"J. Bacteriol.","language":"eng","author":[{"family":"He","given":"Hongjun"},{"family":"Bretl","given":"Daniel J."},{"family":"Penoske","given":"Renee M."},{"family":"Anderson","given":"David M."},{"family":"Zahrt","given":"Thomas C."}],"issued":{"date-parts":[["2011",10]]}}},{"id":36,"uris":["http://zotero.org/users/local/9EyN3M13/items/MJ4FCTLD"],"uri":["http://zotero.org/users/local/9EyN3M13/items/MJ4FCTLD"],"itemData":{"id":36,"type":"article-journal","title":"Unique roles of DosT and DosS in DosR regulon induction and Mycobacterium tuberculosis dormancy","container-title":"Infection and Immunity","page":"3258-3263","volume":"77","issue":"8","source":"PubMed","abstract":"In Mycobacterium tuberculosis, the sensor kinases DosT and DosS activate the transcriptional regulator DosR, resulting in the induction of the DosR regulon, which is important for anaerobic survival and perhaps latent infection. The individual and collective roles of these sensors have been postulated biochemically, but their roles in vivo have remained unclear. This work demonstrates distinct and additive roles for each sensor during anaerobic dormancy. Both sensors are necessary for wild-type levels of DosR regulon induction, and concomitantly, full induction of the regulon is required for wild-type anaerobic survival. In the anaerobic model, DosT plays an early role, responding to hypoxia. DosT then induces the regulon and with it DosS, which sustains and further induces the regulon. DosT then loses its functionality as oxygen becomes limited, and DosS alone maintains induction of the genes from that point forward. Thus, M. tuberculosis has evolved a system whereby it responds to hypoxic conditions in a stepwise fashion as it enters an anaerobic state.","DOI":"10.1128/IAI.01449-08","ISSN":"1098-5522","note":"PMID: 19487478\nPMCID: PMC2715697","journalAbbreviation":"Infect. Immun.","language":"eng","author":[{"family":"Honaker","given":"Ryan W."},{"family":"Leistikow","given":"Rachel L."},{"family":"Bartek","given":"Iona L."},{"family":"Voskuil","given":"Martin I."}],"issued":{"date-parts":[["2009",8]]}}},{"id":429,"uris":["http://zotero.org/users/local/9EyN3M13/items/6Q7V56AA"],"uri":["http://zotero.org/users/local/9EyN3M13/items/6Q7V56AA"],"itemData":{"id":429,"type":"article-journal","title":"The DNA-binding network of Mycobacterium tuberculosis","container-title":"Nature Communications","page":"5829","volume":"6","source":"www.nature.com","abstract":"Adaptation of Mycobacterium tuberculosis to the host environment is principally mediated through its transcription factors. Here, the authors report the DNA binding and transcriptional profile of ~80% of all predicted M. tuberculosistranscription factors, and find wide-spread dormant DNA binding.","DOI":"10.1038/ncomms6829","ISSN":"2041-1723","language":"en","author":[{"family":"Minch","given":"Kyle J."},{"family":"Rustad","given":"Tige R."},{"family":"Peterson","given":"Eliza J. R."},{"family":"Winkler","given":"Jessica"},{"family":"Reiss","given":"David J."},{"family":"Ma","given":"Shuyi"},{"family":"Hickey","given":"Mark"},{"family":"Brabant","given":"William"},{"family":"Morrison","given":"Bob"},{"family":"Turkarslan","given":"Serdar"},{"family":"Mawhinney","given":"Chris"},{"family":"Galagan","given":"James E."},{"family":"Price","given":"Nathan D."},{"family":"Baliga","given":"Nitin S."},{"family":"Sherman","given":"David R."}],"issued":{"date-parts":[["2015",1,12]]}}},{"id":19,"uris":["http://zotero.org/users/local/9EyN3M13/items/VU8M7VUF"],"uri":["http://zotero.org/users/local/9EyN3M13/items/VU8M7VUF"],"itemData":{"id":19,"type":"article-journal","title":"Regulation of the Mycobacterium tuberculosis hypoxic response gene encoding alpha -crystallin","container-title":"Proceedings of the National Academy of Sciences of the United States of America","page":"7534-7539","volume":"98","issue":"13","source":"PubMed","abstract":"Unlike many pathogens that are overtly toxic to their hosts, the primary virulence determinant of Mycobacterium tuberculosis appears to be its ability to persist for years or decades within humans in a clinically latent state. Since early in the 20th century latency has been linked to hypoxic conditions within the host, but the response of M. tuberculosis to a hypoxic signal remains poorly characterized. The M. tuberculosis alpha-crystallin (acr) gene is powerfully and rapidly induced at reduced oxygen tensions, providing us with a means to identify regulators of the hypoxic response. Using a whole genome microarray, we identified &gt;100 genes whose expression is rapidly altered by defined hypoxic conditions. Numerous genes involved in biosynthesis and aerobic metabolism are repressed, whereas a high proportion of the induced genes have no known function. Among the induced genes is an apparent operon that includes the putative two-component response regulator pair Rv3133c/Rv3132c. When we interrupted expression of this operon by targeted disruption of the upstream gene Rv3134c, the hypoxic regulation of acr was eliminated. These results suggest a possible role for Rv3132c/3133c/3134c in mycobacterial latency.","DOI":"10.1073/pnas.121172498","ISSN":"0027-8424","note":"PMID: 11416222\nPMCID: PMC34703","journalAbbreviation":"Proc. Natl. Acad. Sci. U.S.A.","language":"eng","author":[{"family":"Sherman","given":"D. R."},{"family":"Voskuil","given":"M."},{"family":"Schnappinger","given":"D."},{"family":"Liao","given":"R."},{"family":"Harrell","given":"M. I."},{"family":"Schoolnik","given":"G. K."}],"issued":{"date-parts":[["2001",6,19]]}}}],"schema":"https://github.com/citation-style-language/schema/raw/master/csl-citation.json"}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szCs w:val="24"/>
        </w:rPr>
        <w:t>[3,7,10–15]</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Subsequently, a TF network was constructed where each TF had interaction with at least one other TF. This network was observed to contain 24 nodes (TFs) and 71 edges. Additionally, in order to model the effects of external regulators and uncharacterized internal regulators on the expression of TFs, one node representing ‘external or internal regulators’ was incorporated in the TF network. Consequently, two additional edges were incorporated in the network connecting ‘external/internal regulators’ to the two input nodes (Rv0767c and Rv2324) having only outgoing interactions. Also, a self inducing edge was attached to the node ‘external/internal regulators’ to provide a time dependent input stimulus to the network. The TF network (</w:t>
      </w:r>
      <w:r w:rsidRPr="003A7058">
        <w:rPr>
          <w:rFonts w:ascii="Times New Roman" w:hAnsi="Times New Roman" w:cs="Times New Roman"/>
          <w:sz w:val="24"/>
          <w:szCs w:val="24"/>
        </w:rPr>
        <w:t xml:space="preserve">Figure </w:t>
      </w:r>
      <w:r w:rsidR="003D2D61" w:rsidRPr="003A7058">
        <w:rPr>
          <w:rFonts w:ascii="Times New Roman" w:hAnsi="Times New Roman" w:cs="Times New Roman"/>
          <w:sz w:val="24"/>
          <w:szCs w:val="24"/>
        </w:rPr>
        <w:lastRenderedPageBreak/>
        <w:t>S</w:t>
      </w:r>
      <w:r w:rsidRPr="003A7058">
        <w:rPr>
          <w:rFonts w:ascii="Times New Roman" w:hAnsi="Times New Roman" w:cs="Times New Roman"/>
          <w:sz w:val="24"/>
          <w:szCs w:val="24"/>
        </w:rPr>
        <w:t>6</w:t>
      </w:r>
      <w:r w:rsidR="003D2D61" w:rsidRPr="003A7058">
        <w:rPr>
          <w:rFonts w:ascii="Times New Roman" w:hAnsi="Times New Roman" w:cs="Times New Roman"/>
          <w:sz w:val="24"/>
          <w:szCs w:val="24"/>
        </w:rPr>
        <w:t>.1</w:t>
      </w:r>
      <w:r w:rsidRPr="003A7058">
        <w:rPr>
          <w:rFonts w:ascii="Times New Roman" w:hAnsi="Times New Roman" w:cs="Times New Roman"/>
          <w:sz w:val="24"/>
          <w:szCs w:val="24"/>
        </w:rPr>
        <w:t>)</w:t>
      </w:r>
      <w:r w:rsidRPr="00667A0D">
        <w:rPr>
          <w:rFonts w:ascii="Times New Roman" w:hAnsi="Times New Roman" w:cs="Times New Roman"/>
          <w:sz w:val="24"/>
          <w:szCs w:val="24"/>
        </w:rPr>
        <w:t xml:space="preserve"> thus obtained from the collated regulatory interact</w:t>
      </w:r>
      <w:r w:rsidR="003A7058">
        <w:rPr>
          <w:rFonts w:ascii="Times New Roman" w:hAnsi="Times New Roman" w:cs="Times New Roman"/>
          <w:sz w:val="24"/>
          <w:szCs w:val="24"/>
        </w:rPr>
        <w:t>ions was further analyz</w:t>
      </w:r>
      <w:r w:rsidRPr="00667A0D">
        <w:rPr>
          <w:rFonts w:ascii="Times New Roman" w:hAnsi="Times New Roman" w:cs="Times New Roman"/>
          <w:sz w:val="24"/>
          <w:szCs w:val="24"/>
        </w:rPr>
        <w:t xml:space="preserve">ed through mathematical </w:t>
      </w:r>
      <w:proofErr w:type="spellStart"/>
      <w:r w:rsidRPr="00667A0D">
        <w:rPr>
          <w:rFonts w:ascii="Times New Roman" w:hAnsi="Times New Roman" w:cs="Times New Roman"/>
          <w:sz w:val="24"/>
          <w:szCs w:val="24"/>
        </w:rPr>
        <w:t>modelling</w:t>
      </w:r>
      <w:proofErr w:type="spellEnd"/>
      <w:r w:rsidRPr="00667A0D">
        <w:rPr>
          <w:rFonts w:ascii="Times New Roman" w:hAnsi="Times New Roman" w:cs="Times New Roman"/>
          <w:sz w:val="24"/>
          <w:szCs w:val="24"/>
        </w:rPr>
        <w:t>.</w:t>
      </w:r>
    </w:p>
    <w:p w:rsidR="003D2D61" w:rsidRDefault="003D2D61" w:rsidP="00667A0D">
      <w:pPr>
        <w:spacing w:line="360" w:lineRule="auto"/>
        <w:jc w:val="both"/>
        <w:rPr>
          <w:rFonts w:ascii="Times New Roman" w:hAnsi="Times New Roman" w:cs="Times New Roman"/>
          <w:sz w:val="24"/>
          <w:szCs w:val="24"/>
        </w:rPr>
      </w:pPr>
    </w:p>
    <w:p w:rsidR="003D2D61" w:rsidRDefault="009D1A6C" w:rsidP="009D1A6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extent cx="4238625" cy="2923565"/>
            <wp:effectExtent l="19050" t="0" r="9525" b="0"/>
            <wp:docPr id="1" name="Picture 0" descr="Figure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6.tif"/>
                    <pic:cNvPicPr/>
                  </pic:nvPicPr>
                  <pic:blipFill>
                    <a:blip r:embed="rId5" cstate="print"/>
                    <a:stretch>
                      <a:fillRect/>
                    </a:stretch>
                  </pic:blipFill>
                  <pic:spPr>
                    <a:xfrm>
                      <a:off x="0" y="0"/>
                      <a:ext cx="4242568" cy="2926285"/>
                    </a:xfrm>
                    <a:prstGeom prst="rect">
                      <a:avLst/>
                    </a:prstGeom>
                  </pic:spPr>
                </pic:pic>
              </a:graphicData>
            </a:graphic>
          </wp:inline>
        </w:drawing>
      </w:r>
    </w:p>
    <w:p w:rsidR="003D2D61" w:rsidRPr="00736BDA" w:rsidRDefault="003D2D61" w:rsidP="003D2D61">
      <w:pPr>
        <w:pStyle w:val="Caption"/>
        <w:spacing w:after="0" w:line="360" w:lineRule="auto"/>
        <w:jc w:val="both"/>
        <w:rPr>
          <w:rFonts w:ascii="Times New Roman" w:hAnsi="Times New Roman" w:cs="Times New Roman"/>
          <w:b w:val="0"/>
          <w:color w:val="000000" w:themeColor="text1"/>
          <w:sz w:val="20"/>
          <w:szCs w:val="24"/>
        </w:rPr>
      </w:pPr>
      <w:r w:rsidRPr="00736BDA">
        <w:rPr>
          <w:rFonts w:ascii="Times New Roman" w:hAnsi="Times New Roman" w:cs="Times New Roman"/>
          <w:color w:val="000000" w:themeColor="text1"/>
          <w:sz w:val="20"/>
          <w:szCs w:val="24"/>
        </w:rPr>
        <w:t>Figure S6.1:</w:t>
      </w:r>
      <w:r w:rsidRPr="00736BDA">
        <w:rPr>
          <w:rFonts w:ascii="Times New Roman" w:hAnsi="Times New Roman" w:cs="Times New Roman"/>
          <w:b w:val="0"/>
          <w:color w:val="000000" w:themeColor="text1"/>
          <w:sz w:val="20"/>
          <w:szCs w:val="24"/>
        </w:rPr>
        <w:t xml:space="preserve"> Schematic representation of the transcription factor network (TF network) controlling hypoxic response in </w:t>
      </w:r>
      <w:r w:rsidRPr="00736BDA">
        <w:rPr>
          <w:rFonts w:ascii="Times New Roman" w:hAnsi="Times New Roman" w:cs="Times New Roman"/>
          <w:b w:val="0"/>
          <w:i/>
          <w:color w:val="000000" w:themeColor="text1"/>
          <w:sz w:val="20"/>
          <w:szCs w:val="24"/>
        </w:rPr>
        <w:t>M. tuberculosis</w:t>
      </w:r>
      <w:r w:rsidRPr="00736BDA">
        <w:rPr>
          <w:rFonts w:ascii="Times New Roman" w:hAnsi="Times New Roman" w:cs="Times New Roman"/>
          <w:b w:val="0"/>
          <w:color w:val="000000" w:themeColor="text1"/>
          <w:sz w:val="20"/>
          <w:szCs w:val="24"/>
        </w:rPr>
        <w:t xml:space="preserve"> H37Rv (Mtb). The green and red </w:t>
      </w:r>
      <w:proofErr w:type="spellStart"/>
      <w:r w:rsidRPr="00736BDA">
        <w:rPr>
          <w:rFonts w:ascii="Times New Roman" w:hAnsi="Times New Roman" w:cs="Times New Roman"/>
          <w:b w:val="0"/>
          <w:color w:val="000000" w:themeColor="text1"/>
          <w:sz w:val="20"/>
          <w:szCs w:val="24"/>
        </w:rPr>
        <w:t>coloured</w:t>
      </w:r>
      <w:proofErr w:type="spellEnd"/>
      <w:r w:rsidRPr="00736BDA">
        <w:rPr>
          <w:rFonts w:ascii="Times New Roman" w:hAnsi="Times New Roman" w:cs="Times New Roman"/>
          <w:b w:val="0"/>
          <w:color w:val="000000" w:themeColor="text1"/>
          <w:sz w:val="20"/>
          <w:szCs w:val="24"/>
        </w:rPr>
        <w:t xml:space="preserve"> edges represent positive and negative regulations, respectively.</w:t>
      </w:r>
    </w:p>
    <w:p w:rsidR="00667A0D" w:rsidRPr="00667A0D" w:rsidRDefault="00667A0D" w:rsidP="00667A0D">
      <w:pPr>
        <w:spacing w:line="360" w:lineRule="auto"/>
        <w:jc w:val="both"/>
        <w:rPr>
          <w:rFonts w:ascii="Times New Roman" w:hAnsi="Times New Roman" w:cs="Times New Roman"/>
          <w:sz w:val="24"/>
          <w:szCs w:val="24"/>
        </w:rPr>
      </w:pPr>
    </w:p>
    <w:p w:rsidR="00667A0D" w:rsidRPr="00667A0D" w:rsidRDefault="00667A0D" w:rsidP="00667A0D">
      <w:pPr>
        <w:spacing w:line="360" w:lineRule="auto"/>
        <w:jc w:val="both"/>
        <w:rPr>
          <w:rFonts w:ascii="Times New Roman" w:hAnsi="Times New Roman" w:cs="Times New Roman"/>
          <w:b/>
          <w:bCs/>
          <w:color w:val="000000"/>
          <w:sz w:val="24"/>
          <w:szCs w:val="24"/>
        </w:rPr>
      </w:pPr>
      <w:r w:rsidRPr="00667A0D">
        <w:rPr>
          <w:rFonts w:ascii="Times New Roman" w:hAnsi="Times New Roman" w:cs="Times New Roman"/>
          <w:b/>
          <w:bCs/>
          <w:color w:val="000000"/>
          <w:sz w:val="24"/>
          <w:szCs w:val="24"/>
        </w:rPr>
        <w:t>Construction and simulation of the multi-state Boo</w:t>
      </w:r>
      <w:r w:rsidR="00626424">
        <w:rPr>
          <w:rFonts w:ascii="Times New Roman" w:hAnsi="Times New Roman" w:cs="Times New Roman"/>
          <w:b/>
          <w:bCs/>
          <w:color w:val="000000"/>
          <w:sz w:val="24"/>
          <w:szCs w:val="24"/>
        </w:rPr>
        <w:t>lean model mimicking hypoxic TF network</w:t>
      </w:r>
    </w:p>
    <w:p w:rsidR="009D1A6C" w:rsidRDefault="00667A0D" w:rsidP="00667A0D">
      <w:pPr>
        <w:spacing w:line="360" w:lineRule="auto"/>
        <w:jc w:val="both"/>
        <w:rPr>
          <w:rFonts w:ascii="Times New Roman" w:hAnsi="Times New Roman" w:cs="Times New Roman"/>
          <w:b/>
          <w:sz w:val="24"/>
          <w:szCs w:val="24"/>
        </w:rPr>
      </w:pPr>
      <w:r w:rsidRPr="00667A0D">
        <w:rPr>
          <w:rFonts w:ascii="Times New Roman" w:hAnsi="Times New Roman" w:cs="Times New Roman"/>
          <w:sz w:val="24"/>
          <w:szCs w:val="24"/>
        </w:rPr>
        <w:t xml:space="preserve">The dynamic </w:t>
      </w:r>
      <w:proofErr w:type="spellStart"/>
      <w:r w:rsidRPr="00667A0D">
        <w:rPr>
          <w:rFonts w:ascii="Times New Roman" w:hAnsi="Times New Roman" w:cs="Times New Roman"/>
          <w:sz w:val="24"/>
          <w:szCs w:val="24"/>
        </w:rPr>
        <w:t>behaviour</w:t>
      </w:r>
      <w:proofErr w:type="spellEnd"/>
      <w:r w:rsidRPr="00667A0D">
        <w:rPr>
          <w:rFonts w:ascii="Times New Roman" w:hAnsi="Times New Roman" w:cs="Times New Roman"/>
          <w:sz w:val="24"/>
          <w:szCs w:val="24"/>
        </w:rPr>
        <w:t xml:space="preserve"> of the obtained TF network was studied (under simulated hypoxic environment) using </w:t>
      </w:r>
      <w:proofErr w:type="spellStart"/>
      <w:r w:rsidRPr="00667A0D">
        <w:rPr>
          <w:rFonts w:ascii="Times New Roman" w:hAnsi="Times New Roman" w:cs="Times New Roman"/>
          <w:sz w:val="24"/>
          <w:szCs w:val="24"/>
        </w:rPr>
        <w:t>GINsim</w:t>
      </w:r>
      <w:proofErr w:type="spellEnd"/>
      <w:r w:rsidRPr="00667A0D">
        <w:rPr>
          <w:rFonts w:ascii="Times New Roman" w:hAnsi="Times New Roman" w:cs="Times New Roman"/>
          <w:sz w:val="24"/>
          <w:szCs w:val="24"/>
        </w:rPr>
        <w:t xml:space="preserve">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cj43st0u5","properties":{"formattedCitation":"[16]","plainCitation":"[16]"},"citationItems":[{"id":195,"uris":["http://zotero.org/users/local/9EyN3M13/items/C6TFUD6Z"],"uri":["http://zotero.org/users/local/9EyN3M13/items/C6TFUD6Z"],"itemData":{"id":195,"type":"article-journal","title":"GINsim: a software suite for the qualitative modelling, simulation and analysis of regulatory networks","container-title":"Bio Systems","page":"91-100","volume":"84","issue":"2","source":"PubMed","abstract":"This paper presents GINsim, a Java software suite devoted to the qualitative modelling, analysis and simulation of genetic regulatory networks. Formally, our approach leans on discrete mathematical and graph-theoretical concepts. GINsim encompasses an intuitive graph editor, enabling the definition and the parameterisation of a regulatory graph, as well as a simulation engine to compute the corresponding qualitative dynamical behaviour. Our computational approach is illustrated by a preliminary model analysis of the inter-cellular regulatory network activating Notch at the dorsal-ventral boundary in the wing imaginal disc of Drosophila. We focus on the cross-regulations between five genes (within and between two cells), which implements the dorsal-ventral border in the developing imaginal disc. Our simulations qualitatively reproduce the wild-type developmental pathway, as well as the outcome of various types of experimental perturbations, such as loss-of-function mutations or ectopically induced gene expression.","DOI":"10.1016/j.biosystems.2005.10.003","ISSN":"0303-2647","note":"PMID: 16434137","shortTitle":"GINsim","journalAbbreviation":"BioSystems","language":"eng","author":[{"family":"Gonzalez","given":"A. Gonzalez"},{"family":"Naldi","given":"A."},{"family":"Sánchez","given":"L."},{"family":"Thieffry","given":"D."},{"family":"Chaouiya","given":"C."}],"issued":{"date-parts":[["2006",5]]}}}],"schema":"https://github.com/citation-style-language/schema/raw/master/csl-citation.json"}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rPr>
        <w:t>[16]</w:t>
      </w:r>
      <w:r w:rsidR="004969C1">
        <w:rPr>
          <w:rFonts w:ascii="Times New Roman" w:hAnsi="Times New Roman" w:cs="Times New Roman"/>
          <w:sz w:val="24"/>
          <w:szCs w:val="24"/>
        </w:rPr>
        <w:fldChar w:fldCharType="end"/>
      </w:r>
      <w:r w:rsidRPr="00667A0D">
        <w:rPr>
          <w:rFonts w:ascii="Times New Roman" w:hAnsi="Times New Roman" w:cs="Times New Roman"/>
          <w:color w:val="000000"/>
          <w:sz w:val="24"/>
          <w:szCs w:val="24"/>
        </w:rPr>
        <w:t xml:space="preserve">. </w:t>
      </w:r>
      <w:proofErr w:type="spellStart"/>
      <w:r w:rsidRPr="00667A0D">
        <w:rPr>
          <w:rFonts w:ascii="Times New Roman" w:hAnsi="Times New Roman" w:cs="Times New Roman"/>
          <w:sz w:val="24"/>
          <w:szCs w:val="24"/>
        </w:rPr>
        <w:t>GINsim</w:t>
      </w:r>
      <w:proofErr w:type="spellEnd"/>
      <w:r w:rsidRPr="00667A0D">
        <w:rPr>
          <w:rFonts w:ascii="Times New Roman" w:hAnsi="Times New Roman" w:cs="Times New Roman"/>
          <w:sz w:val="24"/>
          <w:szCs w:val="24"/>
        </w:rPr>
        <w:t xml:space="preserve"> is a mathematical </w:t>
      </w:r>
      <w:proofErr w:type="spellStart"/>
      <w:r w:rsidRPr="00667A0D">
        <w:rPr>
          <w:rFonts w:ascii="Times New Roman" w:hAnsi="Times New Roman" w:cs="Times New Roman"/>
          <w:sz w:val="24"/>
          <w:szCs w:val="24"/>
        </w:rPr>
        <w:t>modelling</w:t>
      </w:r>
      <w:proofErr w:type="spellEnd"/>
      <w:r w:rsidRPr="00667A0D">
        <w:rPr>
          <w:rFonts w:ascii="Times New Roman" w:hAnsi="Times New Roman" w:cs="Times New Roman"/>
          <w:sz w:val="24"/>
          <w:szCs w:val="24"/>
        </w:rPr>
        <w:t xml:space="preserve"> tool which provides a Boolean/logical framework for efficient analysis of gene regulatory networks. In order to gain insights into semi-quantitative dynamics of the nodes of the constructed TF network without any prior knowledge of the kinetic parameters associated to the nodes, a multi-level Boolean framework was adopted. Two primary input requirements for model construction in </w:t>
      </w:r>
      <w:proofErr w:type="spellStart"/>
      <w:r w:rsidRPr="00667A0D">
        <w:rPr>
          <w:rFonts w:ascii="Times New Roman" w:hAnsi="Times New Roman" w:cs="Times New Roman"/>
          <w:sz w:val="24"/>
          <w:szCs w:val="24"/>
        </w:rPr>
        <w:t>GINsim</w:t>
      </w:r>
      <w:proofErr w:type="spellEnd"/>
      <w:r w:rsidRPr="00667A0D">
        <w:rPr>
          <w:rFonts w:ascii="Times New Roman" w:hAnsi="Times New Roman" w:cs="Times New Roman"/>
          <w:sz w:val="24"/>
          <w:szCs w:val="24"/>
        </w:rPr>
        <w:t xml:space="preserve"> correspond to – (</w:t>
      </w:r>
      <w:proofErr w:type="spellStart"/>
      <w:r w:rsidRPr="00667A0D">
        <w:rPr>
          <w:rFonts w:ascii="Times New Roman" w:hAnsi="Times New Roman" w:cs="Times New Roman"/>
          <w:sz w:val="24"/>
          <w:szCs w:val="24"/>
        </w:rPr>
        <w:t>i</w:t>
      </w:r>
      <w:proofErr w:type="spellEnd"/>
      <w:r w:rsidRPr="00667A0D">
        <w:rPr>
          <w:rFonts w:ascii="Times New Roman" w:hAnsi="Times New Roman" w:cs="Times New Roman"/>
          <w:sz w:val="24"/>
          <w:szCs w:val="24"/>
        </w:rPr>
        <w:t xml:space="preserve">) values for basal and maximum expression levels of each node and (ii) logical rules governing activation of each node. The basal and maximum expression level of each node was obtained from the available microarray expression data over six time points under hypoxic stress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12ao5uitc0","properties":{"formattedCitation":"[6]","plainCitation":"[6]"},"citationItems":[{"id":23,"uris":["http://zotero.org/users/local/9EyN3M13/items/FNLILMU4"],"uri":["http://zotero.org/users/local/9EyN3M13/items/FNLILMU4"],"itemData":{"id":23,"type":"article-journal","title":"The enduring hypoxic response of Mycobacterium tuberculosis","container-title":"PloS One","page":"e1502","volume":"3","issue":"1","source":"PubMed","abstract":"BACKGROUND: A significant body of evidence accumulated over the last century suggests a link between hypoxic microenvironments within the infected host and the latent phase of tuberculosis. Studies to test this correlation have identified the M. tuberculosis initial hypoxic response, controlled by the two-component response regulator DosR. The initial hypoxic response is completely blocked in a dosR deletion mutant.\nMETHODOLOGY/PRINCIPAL FINDINGS: We show here that a dosR deletion mutant enters bacteriostasis in response to in vitro hypoxia with only a relatively mild decrease in viability. In the murine infection model, the phenotype of the mutant was indistinguishable from that of the parent strain. These results suggested that additional genes may be essential for entry into and maintenance of bacteriostasis. Detailed microarray analysis of oxygen starved cultures revealed that DosR regulon induction is transient, with induction of nearly half the genes returning to baseline within 24 hours. In addition, a larger, sustained wave of gene expression follows the DosR-mediated initial hypoxic response. This Enduring Hypoxic Response (EHR) consists of 230 genes significantly induced at four and seven days of hypoxia but not at initial time points. These genes include a surprising number of transcriptional regulators that could control the program of bacteriostasis. We found that the EHR is independent of the DosR-mediated initial hypoxic response, as EHR expression is virtually unaltered in the dosR mutant.\nCONCLUSIONS/SIGNIFICANCE: Our results suggest a reassessment of the role of DosR and the initial hypoxic response in MTB physiology. Instead of a primary role in survival of hypoxia induced bacteriostasis, DosR may regulate a response that is largely optional in vitro and in mouse infections. Analysis of the EHR should help elucidate the key regulatory factors and enzymatic machinery exploited by M. tuberculosis for long-term bacteriostasis in the face of oxygen deprivation.","DOI":"10.1371/journal.pone.0001502","ISSN":"1932-6203","note":"PMID: 18231589\nPMCID: PMC2198943","journalAbbreviation":"PLoS ONE","language":"eng","author":[{"family":"Rustad","given":"Tige R."},{"family":"Harrell","given":"Maria I."},{"family":"Liao","given":"Reiling"},{"family":"Sherman","given":"David R."}],"issued":{"date-parts":[["2008",1,30]]}}}],"schema":"https://github.com/citation-style-language/schema/raw/master/csl-citation.json"}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rPr>
        <w:t>[6]</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xml:space="preserve">. The expression data was scaled and </w:t>
      </w:r>
      <w:proofErr w:type="spellStart"/>
      <w:r w:rsidRPr="00667A0D">
        <w:rPr>
          <w:rFonts w:ascii="Times New Roman" w:hAnsi="Times New Roman" w:cs="Times New Roman"/>
          <w:sz w:val="24"/>
          <w:szCs w:val="24"/>
        </w:rPr>
        <w:t>discretized</w:t>
      </w:r>
      <w:proofErr w:type="spellEnd"/>
      <w:r w:rsidRPr="00667A0D">
        <w:rPr>
          <w:rFonts w:ascii="Times New Roman" w:hAnsi="Times New Roman" w:cs="Times New Roman"/>
          <w:sz w:val="24"/>
          <w:szCs w:val="24"/>
        </w:rPr>
        <w:t xml:space="preserve"> in order to suit the format of </w:t>
      </w:r>
      <w:proofErr w:type="spellStart"/>
      <w:r w:rsidRPr="00667A0D">
        <w:rPr>
          <w:rFonts w:ascii="Times New Roman" w:hAnsi="Times New Roman" w:cs="Times New Roman"/>
          <w:sz w:val="24"/>
          <w:szCs w:val="24"/>
        </w:rPr>
        <w:t>GINsim</w:t>
      </w:r>
      <w:proofErr w:type="spellEnd"/>
      <w:r w:rsidRPr="00667A0D">
        <w:rPr>
          <w:rFonts w:ascii="Times New Roman" w:hAnsi="Times New Roman" w:cs="Times New Roman"/>
          <w:sz w:val="24"/>
          <w:szCs w:val="24"/>
        </w:rPr>
        <w:t xml:space="preserve"> </w:t>
      </w:r>
      <w:r w:rsidRPr="00F92DA7">
        <w:rPr>
          <w:rFonts w:ascii="Times New Roman" w:hAnsi="Times New Roman" w:cs="Times New Roman"/>
          <w:sz w:val="24"/>
          <w:szCs w:val="24"/>
        </w:rPr>
        <w:t>(</w:t>
      </w:r>
      <w:r w:rsidR="009D1A6C" w:rsidRPr="00F92DA7">
        <w:rPr>
          <w:rFonts w:ascii="Times New Roman" w:hAnsi="Times New Roman" w:cs="Times New Roman"/>
          <w:sz w:val="24"/>
          <w:szCs w:val="24"/>
        </w:rPr>
        <w:t>Table S6.1</w:t>
      </w:r>
      <w:r w:rsidRPr="00F92DA7">
        <w:rPr>
          <w:rFonts w:ascii="Times New Roman" w:hAnsi="Times New Roman" w:cs="Times New Roman"/>
          <w:sz w:val="24"/>
          <w:szCs w:val="24"/>
        </w:rPr>
        <w:t>)</w:t>
      </w:r>
      <w:r w:rsidRPr="00667A0D">
        <w:rPr>
          <w:rFonts w:ascii="Times New Roman" w:hAnsi="Times New Roman" w:cs="Times New Roman"/>
          <w:sz w:val="24"/>
          <w:szCs w:val="24"/>
        </w:rPr>
        <w:t>.</w:t>
      </w:r>
      <w:r w:rsidRPr="00667A0D">
        <w:rPr>
          <w:rFonts w:ascii="Times New Roman" w:hAnsi="Times New Roman" w:cs="Times New Roman"/>
          <w:b/>
          <w:sz w:val="24"/>
          <w:szCs w:val="24"/>
        </w:rPr>
        <w:t xml:space="preserve"> </w:t>
      </w:r>
    </w:p>
    <w:p w:rsidR="009D1A6C" w:rsidRDefault="009D1A6C" w:rsidP="00667A0D">
      <w:pPr>
        <w:spacing w:line="360" w:lineRule="auto"/>
        <w:jc w:val="both"/>
        <w:rPr>
          <w:rFonts w:ascii="Times New Roman" w:hAnsi="Times New Roman" w:cs="Times New Roman"/>
          <w:b/>
          <w:sz w:val="24"/>
          <w:szCs w:val="24"/>
        </w:rPr>
      </w:pPr>
    </w:p>
    <w:p w:rsidR="009D1A6C" w:rsidRPr="00736BDA" w:rsidRDefault="009D1A6C" w:rsidP="00667A0D">
      <w:pPr>
        <w:spacing w:line="360" w:lineRule="auto"/>
        <w:jc w:val="both"/>
        <w:rPr>
          <w:rFonts w:ascii="Times New Roman" w:hAnsi="Times New Roman" w:cs="Times New Roman"/>
          <w:sz w:val="20"/>
          <w:szCs w:val="24"/>
        </w:rPr>
      </w:pPr>
      <w:r w:rsidRPr="00736BDA">
        <w:rPr>
          <w:rFonts w:ascii="Times New Roman" w:hAnsi="Times New Roman" w:cs="Times New Roman"/>
          <w:b/>
          <w:sz w:val="20"/>
          <w:szCs w:val="24"/>
        </w:rPr>
        <w:t xml:space="preserve">Table S6.1: </w:t>
      </w:r>
      <w:r w:rsidRPr="00736BDA">
        <w:rPr>
          <w:rFonts w:ascii="Times New Roman" w:hAnsi="Times New Roman" w:cs="Times New Roman"/>
          <w:sz w:val="20"/>
          <w:szCs w:val="24"/>
        </w:rPr>
        <w:t xml:space="preserve">Re-scaled values of expression levels (provided in </w:t>
      </w:r>
      <w:proofErr w:type="spellStart"/>
      <w:r w:rsidRPr="00736BDA">
        <w:rPr>
          <w:rFonts w:ascii="Times New Roman" w:hAnsi="Times New Roman" w:cs="Times New Roman"/>
          <w:sz w:val="20"/>
          <w:szCs w:val="24"/>
        </w:rPr>
        <w:t>Rustad</w:t>
      </w:r>
      <w:proofErr w:type="spellEnd"/>
      <w:r w:rsidRPr="00736BDA">
        <w:rPr>
          <w:rFonts w:ascii="Times New Roman" w:hAnsi="Times New Roman" w:cs="Times New Roman"/>
          <w:sz w:val="20"/>
          <w:szCs w:val="24"/>
        </w:rPr>
        <w:t xml:space="preserve"> et al. 2008) of 24 transcription factors (TFs). These TFs belong to the TF network that has been modeled (using a Boolean framework) in the present study. All gene expression values have been scaled to four (viz. 0, 1, 2, 3) discrete levels for ease of simulation of the Boolean model.</w:t>
      </w:r>
    </w:p>
    <w:tbl>
      <w:tblPr>
        <w:tblW w:w="6860" w:type="dxa"/>
        <w:jc w:val="center"/>
        <w:tblInd w:w="93" w:type="dxa"/>
        <w:tblLook w:val="04A0"/>
      </w:tblPr>
      <w:tblGrid>
        <w:gridCol w:w="1820"/>
        <w:gridCol w:w="840"/>
        <w:gridCol w:w="840"/>
        <w:gridCol w:w="840"/>
        <w:gridCol w:w="840"/>
        <w:gridCol w:w="840"/>
        <w:gridCol w:w="840"/>
      </w:tblGrid>
      <w:tr w:rsidR="003A3B94" w:rsidRPr="003A3B94" w:rsidTr="003A3B94">
        <w:trPr>
          <w:trHeight w:val="300"/>
          <w:jc w:val="center"/>
        </w:trPr>
        <w:tc>
          <w:tcPr>
            <w:tcW w:w="1820" w:type="dxa"/>
            <w:vMerge w:val="restart"/>
            <w:tcBorders>
              <w:top w:val="single" w:sz="8" w:space="0" w:color="auto"/>
              <w:left w:val="single" w:sz="8" w:space="0" w:color="auto"/>
              <w:bottom w:val="single" w:sz="4" w:space="0" w:color="333333"/>
              <w:right w:val="single" w:sz="4" w:space="0" w:color="333333"/>
            </w:tcBorders>
            <w:shd w:val="clear" w:color="auto" w:fill="auto"/>
            <w:vAlign w:val="center"/>
            <w:hideMark/>
          </w:tcPr>
          <w:p w:rsidR="003A3B94" w:rsidRPr="003A3B94" w:rsidRDefault="003A3B94" w:rsidP="003A3B94">
            <w:pPr>
              <w:spacing w:line="240" w:lineRule="auto"/>
              <w:jc w:val="center"/>
              <w:rPr>
                <w:rFonts w:ascii="Times New Roman" w:eastAsia="Times New Roman" w:hAnsi="Times New Roman" w:cs="Times New Roman"/>
                <w:b/>
                <w:bCs/>
                <w:sz w:val="16"/>
                <w:szCs w:val="16"/>
              </w:rPr>
            </w:pPr>
            <w:r w:rsidRPr="003A3B94">
              <w:rPr>
                <w:rFonts w:ascii="Times New Roman" w:eastAsia="Times New Roman" w:hAnsi="Times New Roman" w:cs="Times New Roman"/>
                <w:b/>
                <w:bCs/>
                <w:sz w:val="16"/>
                <w:szCs w:val="16"/>
              </w:rPr>
              <w:t>Transcription factor</w:t>
            </w:r>
          </w:p>
        </w:tc>
        <w:tc>
          <w:tcPr>
            <w:tcW w:w="5040" w:type="dxa"/>
            <w:gridSpan w:val="6"/>
            <w:tcBorders>
              <w:top w:val="single" w:sz="8" w:space="0" w:color="auto"/>
              <w:left w:val="nil"/>
              <w:bottom w:val="single" w:sz="4" w:space="0" w:color="333333"/>
              <w:right w:val="single" w:sz="8" w:space="0" w:color="000000"/>
            </w:tcBorders>
            <w:shd w:val="clear" w:color="auto" w:fill="auto"/>
            <w:vAlign w:val="center"/>
            <w:hideMark/>
          </w:tcPr>
          <w:p w:rsidR="003A3B94" w:rsidRPr="003A3B94" w:rsidRDefault="003A3B94" w:rsidP="003A3B94">
            <w:pPr>
              <w:spacing w:line="240" w:lineRule="auto"/>
              <w:jc w:val="center"/>
              <w:rPr>
                <w:rFonts w:ascii="Times New Roman" w:eastAsia="Times New Roman" w:hAnsi="Times New Roman" w:cs="Times New Roman"/>
                <w:b/>
                <w:bCs/>
                <w:color w:val="000000"/>
                <w:sz w:val="16"/>
                <w:szCs w:val="16"/>
              </w:rPr>
            </w:pPr>
            <w:r w:rsidRPr="003A3B94">
              <w:rPr>
                <w:rFonts w:ascii="Times New Roman" w:eastAsia="Times New Roman" w:hAnsi="Times New Roman" w:cs="Times New Roman"/>
                <w:b/>
                <w:bCs/>
                <w:color w:val="000000"/>
                <w:sz w:val="16"/>
                <w:szCs w:val="16"/>
              </w:rPr>
              <w:t>Scaled expression</w:t>
            </w:r>
          </w:p>
        </w:tc>
      </w:tr>
      <w:tr w:rsidR="003A3B94" w:rsidRPr="003A3B94" w:rsidTr="003A3B94">
        <w:trPr>
          <w:trHeight w:val="300"/>
          <w:jc w:val="center"/>
        </w:trPr>
        <w:tc>
          <w:tcPr>
            <w:tcW w:w="1820" w:type="dxa"/>
            <w:vMerge/>
            <w:tcBorders>
              <w:top w:val="single" w:sz="8" w:space="0" w:color="auto"/>
              <w:left w:val="single" w:sz="8" w:space="0" w:color="auto"/>
              <w:bottom w:val="single" w:sz="4" w:space="0" w:color="333333"/>
              <w:right w:val="single" w:sz="4" w:space="0" w:color="333333"/>
            </w:tcBorders>
            <w:vAlign w:val="center"/>
            <w:hideMark/>
          </w:tcPr>
          <w:p w:rsidR="003A3B94" w:rsidRPr="003A3B94" w:rsidRDefault="003A3B94" w:rsidP="003A3B94">
            <w:pPr>
              <w:spacing w:line="240" w:lineRule="auto"/>
              <w:rPr>
                <w:rFonts w:ascii="Times New Roman" w:eastAsia="Times New Roman" w:hAnsi="Times New Roman" w:cs="Times New Roman"/>
                <w:b/>
                <w:bCs/>
                <w:sz w:val="16"/>
                <w:szCs w:val="16"/>
              </w:rPr>
            </w:pPr>
          </w:p>
        </w:tc>
        <w:tc>
          <w:tcPr>
            <w:tcW w:w="840" w:type="dxa"/>
            <w:tcBorders>
              <w:top w:val="nil"/>
              <w:left w:val="nil"/>
              <w:bottom w:val="nil"/>
              <w:right w:val="single" w:sz="4" w:space="0" w:color="000000"/>
            </w:tcBorders>
            <w:shd w:val="clear" w:color="auto" w:fill="auto"/>
            <w:vAlign w:val="bottom"/>
            <w:hideMark/>
          </w:tcPr>
          <w:p w:rsidR="003A3B94" w:rsidRPr="003A3B94" w:rsidRDefault="003A3B94" w:rsidP="003A3B94">
            <w:pPr>
              <w:spacing w:line="240" w:lineRule="auto"/>
              <w:jc w:val="center"/>
              <w:rPr>
                <w:rFonts w:ascii="Times New Roman" w:eastAsia="Times New Roman" w:hAnsi="Times New Roman" w:cs="Times New Roman"/>
                <w:b/>
                <w:bCs/>
                <w:color w:val="000000"/>
                <w:sz w:val="16"/>
                <w:szCs w:val="16"/>
              </w:rPr>
            </w:pPr>
            <w:r w:rsidRPr="003A3B94">
              <w:rPr>
                <w:rFonts w:ascii="Times New Roman" w:eastAsia="Times New Roman" w:hAnsi="Times New Roman" w:cs="Times New Roman"/>
                <w:b/>
                <w:bCs/>
                <w:color w:val="000000"/>
                <w:sz w:val="16"/>
                <w:szCs w:val="16"/>
              </w:rPr>
              <w:t>4 hour</w:t>
            </w:r>
          </w:p>
        </w:tc>
        <w:tc>
          <w:tcPr>
            <w:tcW w:w="840" w:type="dxa"/>
            <w:tcBorders>
              <w:top w:val="nil"/>
              <w:left w:val="nil"/>
              <w:bottom w:val="nil"/>
              <w:right w:val="single" w:sz="4" w:space="0" w:color="000000"/>
            </w:tcBorders>
            <w:shd w:val="clear" w:color="auto" w:fill="auto"/>
            <w:vAlign w:val="bottom"/>
            <w:hideMark/>
          </w:tcPr>
          <w:p w:rsidR="003A3B94" w:rsidRPr="003A3B94" w:rsidRDefault="003A3B94" w:rsidP="003A3B94">
            <w:pPr>
              <w:spacing w:line="240" w:lineRule="auto"/>
              <w:jc w:val="center"/>
              <w:rPr>
                <w:rFonts w:ascii="Times New Roman" w:eastAsia="Times New Roman" w:hAnsi="Times New Roman" w:cs="Times New Roman"/>
                <w:b/>
                <w:bCs/>
                <w:color w:val="000000"/>
                <w:sz w:val="16"/>
                <w:szCs w:val="16"/>
              </w:rPr>
            </w:pPr>
            <w:r w:rsidRPr="003A3B94">
              <w:rPr>
                <w:rFonts w:ascii="Times New Roman" w:eastAsia="Times New Roman" w:hAnsi="Times New Roman" w:cs="Times New Roman"/>
                <w:b/>
                <w:bCs/>
                <w:color w:val="000000"/>
                <w:sz w:val="16"/>
                <w:szCs w:val="16"/>
              </w:rPr>
              <w:t>8 hour</w:t>
            </w:r>
          </w:p>
        </w:tc>
        <w:tc>
          <w:tcPr>
            <w:tcW w:w="840" w:type="dxa"/>
            <w:tcBorders>
              <w:top w:val="nil"/>
              <w:left w:val="nil"/>
              <w:bottom w:val="nil"/>
              <w:right w:val="single" w:sz="4" w:space="0" w:color="000000"/>
            </w:tcBorders>
            <w:shd w:val="clear" w:color="auto" w:fill="auto"/>
            <w:vAlign w:val="bottom"/>
            <w:hideMark/>
          </w:tcPr>
          <w:p w:rsidR="003A3B94" w:rsidRPr="003A3B94" w:rsidRDefault="003A3B94" w:rsidP="003A3B94">
            <w:pPr>
              <w:spacing w:line="240" w:lineRule="auto"/>
              <w:jc w:val="center"/>
              <w:rPr>
                <w:rFonts w:ascii="Times New Roman" w:eastAsia="Times New Roman" w:hAnsi="Times New Roman" w:cs="Times New Roman"/>
                <w:b/>
                <w:bCs/>
                <w:color w:val="000000"/>
                <w:sz w:val="16"/>
                <w:szCs w:val="16"/>
              </w:rPr>
            </w:pPr>
            <w:r w:rsidRPr="003A3B94">
              <w:rPr>
                <w:rFonts w:ascii="Times New Roman" w:eastAsia="Times New Roman" w:hAnsi="Times New Roman" w:cs="Times New Roman"/>
                <w:b/>
                <w:bCs/>
                <w:color w:val="000000"/>
                <w:sz w:val="16"/>
                <w:szCs w:val="16"/>
              </w:rPr>
              <w:t>12 hour</w:t>
            </w:r>
          </w:p>
        </w:tc>
        <w:tc>
          <w:tcPr>
            <w:tcW w:w="840" w:type="dxa"/>
            <w:tcBorders>
              <w:top w:val="nil"/>
              <w:left w:val="nil"/>
              <w:bottom w:val="nil"/>
              <w:right w:val="single" w:sz="4" w:space="0" w:color="000000"/>
            </w:tcBorders>
            <w:shd w:val="clear" w:color="auto" w:fill="auto"/>
            <w:vAlign w:val="bottom"/>
            <w:hideMark/>
          </w:tcPr>
          <w:p w:rsidR="003A3B94" w:rsidRPr="003A3B94" w:rsidRDefault="003A3B94" w:rsidP="003A3B94">
            <w:pPr>
              <w:spacing w:line="240" w:lineRule="auto"/>
              <w:jc w:val="center"/>
              <w:rPr>
                <w:rFonts w:ascii="Times New Roman" w:eastAsia="Times New Roman" w:hAnsi="Times New Roman" w:cs="Times New Roman"/>
                <w:b/>
                <w:bCs/>
                <w:color w:val="000000"/>
                <w:sz w:val="16"/>
                <w:szCs w:val="16"/>
              </w:rPr>
            </w:pPr>
            <w:r w:rsidRPr="003A3B94">
              <w:rPr>
                <w:rFonts w:ascii="Times New Roman" w:eastAsia="Times New Roman" w:hAnsi="Times New Roman" w:cs="Times New Roman"/>
                <w:b/>
                <w:bCs/>
                <w:color w:val="000000"/>
                <w:sz w:val="16"/>
                <w:szCs w:val="16"/>
              </w:rPr>
              <w:t>1 day</w:t>
            </w:r>
          </w:p>
        </w:tc>
        <w:tc>
          <w:tcPr>
            <w:tcW w:w="840" w:type="dxa"/>
            <w:tcBorders>
              <w:top w:val="nil"/>
              <w:left w:val="nil"/>
              <w:bottom w:val="nil"/>
              <w:right w:val="single" w:sz="4" w:space="0" w:color="000000"/>
            </w:tcBorders>
            <w:shd w:val="clear" w:color="auto" w:fill="auto"/>
            <w:vAlign w:val="bottom"/>
            <w:hideMark/>
          </w:tcPr>
          <w:p w:rsidR="003A3B94" w:rsidRPr="003A3B94" w:rsidRDefault="003A3B94" w:rsidP="003A3B94">
            <w:pPr>
              <w:spacing w:line="240" w:lineRule="auto"/>
              <w:jc w:val="center"/>
              <w:rPr>
                <w:rFonts w:ascii="Times New Roman" w:eastAsia="Times New Roman" w:hAnsi="Times New Roman" w:cs="Times New Roman"/>
                <w:b/>
                <w:bCs/>
                <w:color w:val="000000"/>
                <w:sz w:val="16"/>
                <w:szCs w:val="16"/>
              </w:rPr>
            </w:pPr>
            <w:r w:rsidRPr="003A3B94">
              <w:rPr>
                <w:rFonts w:ascii="Times New Roman" w:eastAsia="Times New Roman" w:hAnsi="Times New Roman" w:cs="Times New Roman"/>
                <w:b/>
                <w:bCs/>
                <w:color w:val="000000"/>
                <w:sz w:val="16"/>
                <w:szCs w:val="16"/>
              </w:rPr>
              <w:t>4 days</w:t>
            </w:r>
          </w:p>
        </w:tc>
        <w:tc>
          <w:tcPr>
            <w:tcW w:w="840" w:type="dxa"/>
            <w:tcBorders>
              <w:top w:val="nil"/>
              <w:left w:val="nil"/>
              <w:bottom w:val="nil"/>
              <w:right w:val="single" w:sz="8" w:space="0" w:color="auto"/>
            </w:tcBorders>
            <w:shd w:val="clear" w:color="auto" w:fill="auto"/>
            <w:vAlign w:val="bottom"/>
            <w:hideMark/>
          </w:tcPr>
          <w:p w:rsidR="003A3B94" w:rsidRPr="003A3B94" w:rsidRDefault="003A3B94" w:rsidP="003A3B94">
            <w:pPr>
              <w:spacing w:line="240" w:lineRule="auto"/>
              <w:jc w:val="center"/>
              <w:rPr>
                <w:rFonts w:ascii="Times New Roman" w:eastAsia="Times New Roman" w:hAnsi="Times New Roman" w:cs="Times New Roman"/>
                <w:b/>
                <w:bCs/>
                <w:color w:val="000000"/>
                <w:sz w:val="16"/>
                <w:szCs w:val="16"/>
              </w:rPr>
            </w:pPr>
            <w:r w:rsidRPr="003A3B94">
              <w:rPr>
                <w:rFonts w:ascii="Times New Roman" w:eastAsia="Times New Roman" w:hAnsi="Times New Roman" w:cs="Times New Roman"/>
                <w:b/>
                <w:bCs/>
                <w:color w:val="000000"/>
                <w:sz w:val="16"/>
                <w:szCs w:val="16"/>
              </w:rPr>
              <w:t>7 days</w:t>
            </w:r>
          </w:p>
        </w:tc>
      </w:tr>
      <w:tr w:rsidR="003A3B94" w:rsidRPr="003A3B94" w:rsidTr="003A3B94">
        <w:trPr>
          <w:trHeight w:val="300"/>
          <w:jc w:val="center"/>
        </w:trPr>
        <w:tc>
          <w:tcPr>
            <w:tcW w:w="1820" w:type="dxa"/>
            <w:tcBorders>
              <w:top w:val="single" w:sz="4" w:space="0" w:color="000000"/>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cmtR</w:t>
            </w:r>
            <w:proofErr w:type="spellEnd"/>
          </w:p>
        </w:tc>
        <w:tc>
          <w:tcPr>
            <w:tcW w:w="840" w:type="dxa"/>
            <w:tcBorders>
              <w:top w:val="single" w:sz="4" w:space="0" w:color="000000"/>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single" w:sz="4" w:space="0" w:color="000000"/>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single" w:sz="4" w:space="0" w:color="000000"/>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single" w:sz="4" w:space="0" w:color="000000"/>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single" w:sz="4" w:space="0" w:color="000000"/>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single" w:sz="4" w:space="0" w:color="000000"/>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csoR</w:t>
            </w:r>
            <w:proofErr w:type="spellEnd"/>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devR</w:t>
            </w:r>
            <w:proofErr w:type="spellEnd"/>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devS</w:t>
            </w:r>
            <w:proofErr w:type="spellEnd"/>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hrcA</w:t>
            </w:r>
            <w:proofErr w:type="spellEnd"/>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kmtR</w:t>
            </w:r>
            <w:proofErr w:type="spellEnd"/>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kstR</w:t>
            </w:r>
            <w:proofErr w:type="spellEnd"/>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lsr2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proofErr w:type="spellStart"/>
            <w:r w:rsidRPr="003A3B94">
              <w:rPr>
                <w:rFonts w:ascii="Times New Roman" w:eastAsia="Times New Roman" w:hAnsi="Times New Roman" w:cs="Times New Roman"/>
                <w:color w:val="000000"/>
                <w:sz w:val="16"/>
                <w:szCs w:val="16"/>
              </w:rPr>
              <w:t>phoP</w:t>
            </w:r>
            <w:proofErr w:type="spellEnd"/>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Rv0081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Rv0324</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Rv0348</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Rv0474</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Rv0494</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Rv0653c</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Rv0767c</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Rv1255c</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Rv1985c</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Rv1990c</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Rv2011c</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Rv2021c</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Rv2034</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r w:rsidR="003A3B94" w:rsidRPr="003A3B94" w:rsidTr="003A3B94">
        <w:trPr>
          <w:trHeight w:val="300"/>
          <w:jc w:val="center"/>
        </w:trPr>
        <w:tc>
          <w:tcPr>
            <w:tcW w:w="1820" w:type="dxa"/>
            <w:tcBorders>
              <w:top w:val="nil"/>
              <w:left w:val="single" w:sz="8" w:space="0" w:color="auto"/>
              <w:bottom w:val="nil"/>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Rv2324</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0</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nil"/>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c>
          <w:tcPr>
            <w:tcW w:w="840" w:type="dxa"/>
            <w:tcBorders>
              <w:top w:val="nil"/>
              <w:left w:val="nil"/>
              <w:bottom w:val="nil"/>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r>
      <w:tr w:rsidR="003A3B94" w:rsidRPr="003A3B94" w:rsidTr="003A3B94">
        <w:trPr>
          <w:trHeight w:val="315"/>
          <w:jc w:val="center"/>
        </w:trPr>
        <w:tc>
          <w:tcPr>
            <w:tcW w:w="1820" w:type="dxa"/>
            <w:tcBorders>
              <w:top w:val="nil"/>
              <w:left w:val="single" w:sz="8" w:space="0" w:color="auto"/>
              <w:bottom w:val="single" w:sz="8" w:space="0" w:color="auto"/>
              <w:right w:val="single" w:sz="4" w:space="0" w:color="000000"/>
            </w:tcBorders>
            <w:shd w:val="clear" w:color="auto" w:fill="auto"/>
            <w:noWrap/>
            <w:vAlign w:val="center"/>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whiB4</w:t>
            </w:r>
          </w:p>
        </w:tc>
        <w:tc>
          <w:tcPr>
            <w:tcW w:w="840" w:type="dxa"/>
            <w:tcBorders>
              <w:top w:val="nil"/>
              <w:left w:val="nil"/>
              <w:bottom w:val="single" w:sz="8" w:space="0" w:color="auto"/>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1</w:t>
            </w:r>
          </w:p>
        </w:tc>
        <w:tc>
          <w:tcPr>
            <w:tcW w:w="840" w:type="dxa"/>
            <w:tcBorders>
              <w:top w:val="nil"/>
              <w:left w:val="nil"/>
              <w:bottom w:val="single" w:sz="8" w:space="0" w:color="auto"/>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single" w:sz="8" w:space="0" w:color="auto"/>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single" w:sz="8" w:space="0" w:color="auto"/>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single" w:sz="8" w:space="0" w:color="auto"/>
              <w:right w:val="nil"/>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2</w:t>
            </w:r>
          </w:p>
        </w:tc>
        <w:tc>
          <w:tcPr>
            <w:tcW w:w="840" w:type="dxa"/>
            <w:tcBorders>
              <w:top w:val="nil"/>
              <w:left w:val="nil"/>
              <w:bottom w:val="single" w:sz="8" w:space="0" w:color="auto"/>
              <w:right w:val="single" w:sz="8" w:space="0" w:color="auto"/>
            </w:tcBorders>
            <w:shd w:val="clear" w:color="auto" w:fill="auto"/>
            <w:noWrap/>
            <w:vAlign w:val="bottom"/>
            <w:hideMark/>
          </w:tcPr>
          <w:p w:rsidR="003A3B94" w:rsidRPr="003A3B94" w:rsidRDefault="003A3B94" w:rsidP="003A3B94">
            <w:pPr>
              <w:spacing w:line="240" w:lineRule="auto"/>
              <w:jc w:val="center"/>
              <w:rPr>
                <w:rFonts w:ascii="Times New Roman" w:eastAsia="Times New Roman" w:hAnsi="Times New Roman" w:cs="Times New Roman"/>
                <w:color w:val="000000"/>
                <w:sz w:val="16"/>
                <w:szCs w:val="16"/>
              </w:rPr>
            </w:pPr>
            <w:r w:rsidRPr="003A3B94">
              <w:rPr>
                <w:rFonts w:ascii="Times New Roman" w:eastAsia="Times New Roman" w:hAnsi="Times New Roman" w:cs="Times New Roman"/>
                <w:color w:val="000000"/>
                <w:sz w:val="16"/>
                <w:szCs w:val="16"/>
              </w:rPr>
              <w:t>3</w:t>
            </w:r>
          </w:p>
        </w:tc>
      </w:tr>
    </w:tbl>
    <w:p w:rsidR="009D1A6C" w:rsidRPr="009D1A6C" w:rsidRDefault="009D1A6C" w:rsidP="00667A0D">
      <w:pPr>
        <w:spacing w:line="360" w:lineRule="auto"/>
        <w:jc w:val="both"/>
        <w:rPr>
          <w:rFonts w:ascii="Times New Roman" w:hAnsi="Times New Roman" w:cs="Times New Roman"/>
          <w:sz w:val="24"/>
          <w:szCs w:val="24"/>
        </w:rPr>
      </w:pPr>
    </w:p>
    <w:p w:rsidR="00667A0D" w:rsidRDefault="00667A0D" w:rsidP="00667A0D">
      <w:pPr>
        <w:spacing w:line="360" w:lineRule="auto"/>
        <w:jc w:val="both"/>
        <w:rPr>
          <w:rFonts w:ascii="Times New Roman" w:hAnsi="Times New Roman" w:cs="Times New Roman"/>
          <w:sz w:val="24"/>
          <w:szCs w:val="24"/>
        </w:rPr>
      </w:pPr>
      <w:r w:rsidRPr="00667A0D">
        <w:rPr>
          <w:rFonts w:ascii="Times New Roman" w:hAnsi="Times New Roman" w:cs="Times New Roman"/>
          <w:sz w:val="24"/>
          <w:szCs w:val="24"/>
        </w:rPr>
        <w:t xml:space="preserve">The logical rule for activation of the TFs were evaluated from the regulatory interaction collated in the current study and microarray expression data obtained from the study by </w:t>
      </w:r>
      <w:proofErr w:type="spellStart"/>
      <w:r w:rsidRPr="00667A0D">
        <w:rPr>
          <w:rFonts w:ascii="Times New Roman" w:hAnsi="Times New Roman" w:cs="Times New Roman"/>
          <w:sz w:val="24"/>
          <w:szCs w:val="24"/>
        </w:rPr>
        <w:t>Rustad</w:t>
      </w:r>
      <w:proofErr w:type="spellEnd"/>
      <w:r w:rsidRPr="00667A0D">
        <w:rPr>
          <w:rFonts w:ascii="Times New Roman" w:hAnsi="Times New Roman" w:cs="Times New Roman"/>
          <w:sz w:val="24"/>
          <w:szCs w:val="24"/>
        </w:rPr>
        <w:t xml:space="preserve"> and colleagues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1u38e6gb1c","properties":{"formattedCitation":"[6]","plainCitation":"[6]"},"citationItems":[{"id":23,"uris":["http://zotero.org/users/local/9EyN3M13/items/FNLILMU4"],"uri":["http://zotero.org/users/local/9EyN3M13/items/FNLILMU4"],"itemData":{"id":23,"type":"article-journal","title":"The enduring hypoxic response of Mycobacterium tuberculosis","container-title":"PloS One","page":"e1502","volume":"3","issue":"1","source":"PubMed","abstract":"BACKGROUND: A significant body of evidence accumulated over the last century suggests a link between hypoxic microenvironments within the infected host and the latent phase of tuberculosis. Studies to test this correlation have identified the M. tuberculosis initial hypoxic response, controlled by the two-component response regulator DosR. The initial hypoxic response is completely blocked in a dosR deletion mutant.\nMETHODOLOGY/PRINCIPAL FINDINGS: We show here that a dosR deletion mutant enters bacteriostasis in response to in vitro hypoxia with only a relatively mild decrease in viability. In the murine infection model, the phenotype of the mutant was indistinguishable from that of the parent strain. These results suggested that additional genes may be essential for entry into and maintenance of bacteriostasis. Detailed microarray analysis of oxygen starved cultures revealed that DosR regulon induction is transient, with induction of nearly half the genes returning to baseline within 24 hours. In addition, a larger, sustained wave of gene expression follows the DosR-mediated initial hypoxic response. This Enduring Hypoxic Response (EHR) consists of 230 genes significantly induced at four and seven days of hypoxia but not at initial time points. These genes include a surprising number of transcriptional regulators that could control the program of bacteriostasis. We found that the EHR is independent of the DosR-mediated initial hypoxic response, as EHR expression is virtually unaltered in the dosR mutant.\nCONCLUSIONS/SIGNIFICANCE: Our results suggest a reassessment of the role of DosR and the initial hypoxic response in MTB physiology. Instead of a primary role in survival of hypoxia induced bacteriostasis, DosR may regulate a response that is largely optional in vitro and in mouse infections. Analysis of the EHR should help elucidate the key regulatory factors and enzymatic machinery exploited by M. tuberculosis for long-term bacteriostasis in the face of oxygen deprivation.","DOI":"10.1371/journal.pone.0001502","ISSN":"1932-6203","note":"PMID: 18231589\nPMCID: PMC2198943","journalAbbreviation":"PLoS ONE","language":"eng","author":[{"family":"Rustad","given":"Tige R."},{"family":"Harrell","given":"Maria I."},{"family":"Liao","given":"Reiling"},{"family":"Sherman","given":"David R."}],"issued":{"date-parts":[["2008",1,30]]}}}],"schema":"https://github.com/citation-style-language/schema/raw/master/csl-citation.json"}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rPr>
        <w:t>[6]</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xml:space="preserve">. The logical rule for a particular node was represented by its regulators joined with logical operators like ‘AND’, ‘OR’ and ‘NOT’, as mentioned in previous literatures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10bg2lpcid","properties":{"formattedCitation":"[17,18]","plainCitation":"[17,18]"},"citationItems":[{"id":435,"uris":["http://zotero.org/users/local/9EyN3M13/items/QH8M3HF2"],"uri":["http://zotero.org/users/local/9EyN3M13/items/QH8M3HF2"],"itemData":{"id":435,"type":"article-journal","title":"Understanding the sequential activation of Type III and Type VI Secretion Systems in Salmonella typhimurium using Boolean modeling","container-title":"Gut Pathogens","page":"28","volume":"5","issue":"1","source":"PubMed","abstract":"BACKGROUND: Three pathogenicity islands, viz. SPI-1 (Salmonella pathogenicity island 1), SPI-2 (Salmonella pathogenicity island 2) and T6SS (Type VI Secretion System), present in the genome of Salmonella typhimurium have been implicated in the virulence of the pathogen. While the regulation of SPI-1 and SPI-2 (both encoding components of the Type III Secretion System - T3SS) are well understood, T6SS regulation is comparatively less studied. Interestingly, inter-connections among the regulatory elements of these three virulence determinants have also been suggested to be essential for successful infection. However, till date, an integrated view of gene regulation involving the regulators of these three secretion systems and their cross-talk is not available.\nRESULTS: In the current study, relevant regulatory information available from literature have been integrated into a single Boolean network, which portrays the dynamics of T3SS (SPI-1 and SPI-2) and T6SS mediated virulence. Some additional regulatory interactions involving a two-component system response regulator YfhA have also been predicted and included in the Boolean network. These predictions are aimed at deciphering the effects of osmolarity on T6SS regulation, an aspect that has been suggested in earlier studies, but the mechanism of which was hitherto unknown. Simulation of the regulatory network was able to recreate in silico the experimentally observed sequential activation of SPI-1, SPI-2 and T6SS.\nCONCLUSIONS: The present study integrates relevant gene regulatory data (from literature and our prediction) into a single network, representing the cross-communication between T3SS (SPI-1 and SPI-2) and T6SS. This holistic view of regulatory interactions is expected to improve the current understanding of pathogenesis of S. typhimurium.","DOI":"10.1186/1757-4749-5-28","note":"PMID: 24079299\nPMCID: PMC3849742","journalAbbreviation":"Gut Pathog","language":"eng","author":[{"family":"Das","given":"Chandrani"},{"family":"Dutta","given":"Anirban"},{"family":"Rajasingh","given":"Hannah"},{"family":"Mande","given":"Sharmila S."}],"issued":{"date-parts":[["2013",9,30]]}}},{"id":25,"uris":["http://zotero.org/users/local/9EyN3M13/items/DYBU6B9M"],"uri":["http://zotero.org/users/local/9EyN3M13/items/DYBU6B9M"],"itemData":{"id":25,"type":"article-journal","title":"Understanding Communication Signals during Mycobacterial Latency through Predicted Genome-Wide Protein Interactions and Boolean Modeling","container-title":"PLOS ONE","page":"e33893","volume":"7","issue":"3","source":"PLoS Journals","abstract":"About 90% of the people infected with Mycobacterium tuberculosis carry latent bacteria that are believed to get activated upon immune suppression. One of the fundamental challenges in the control of tuberculosis is therefore to understand molecular mechanisms involved in the onset of latency and/or reactivation. We have attempted to address this problem at the systems level by a combination of predicted functional protein</w:instrText>
      </w:r>
      <w:r w:rsidR="00F062EC">
        <w:rPr>
          <w:rFonts w:ascii="Cambria Math" w:hAnsi="Cambria Math" w:cs="Cambria Math"/>
          <w:sz w:val="24"/>
          <w:szCs w:val="24"/>
        </w:rPr>
        <w:instrText>∶</w:instrText>
      </w:r>
      <w:r w:rsidR="00F062EC">
        <w:rPr>
          <w:rFonts w:ascii="Times New Roman" w:hAnsi="Times New Roman" w:cs="Times New Roman"/>
          <w:sz w:val="24"/>
          <w:szCs w:val="24"/>
        </w:rPr>
        <w:instrText xml:space="preserve">protein interactions, integration of functional interactions with large scale gene expression studies, predicted transcription regulatory network and finally simulations with a Boolean model of the network. Initially a prediction for genome-wide protein functional linkages was obtained based on genome-context methods using a Support Vector Machine. This set of protein functional linkages along with gene expression data of the available models of latency was employed to identify proteins involved in mediating switch signals during dormancy. We show that genes that are up and down regulated during dormancy are not only coordinately regulated under dormancy-like conditions but also under a variety of other experimental conditions. Their synchronized regulation indicates that they form a tightly regulated gene cluster and might form a latency-regulon. Conservation of these genes across bacterial species suggests a unique evolutionary history that might be associated with M. tuberculosis dormancy. Finally, simulations with a Boolean model based on the regulatory network with logical relationships derived from gene expression data reveals a bistable switch suggesting alternating latent and actively growing states. Our analysis based on the interaction network therefore reveals a potential model of M. tuberculosis latency.","DOI":"10.1371/journal.pone.0033893","ISSN":"1932-6203","journalAbbreviation":"PLOS ONE","author":[{"family":"Hegde","given":"Shubhada R."},{"family":"Rajasingh","given":"Hannah"},{"family":"Das","given":"Chandrani"},{"family":"Mande","given":"Sharmila S."},{"family":"Mande","given":"Shekhar C."}],"issued":{"date-parts":[["2012",3,20]]}}}],"schema":"https://github.com/citation-style-language/schema/raw/master/csl-citation.json"}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rPr>
        <w:t>[17,18]</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xml:space="preserve">. For example, if a node ‘X’ is positively regulated by two nodes R1 and R2, the logical rule for activation of ‘X’ can be written in either of the two possible ways – (a) ‘R1 AND R2’, (b) ‘R1 OR R2’. An ‘AND’ operator was selected when, R1 and R2 was observed to have positive </w:t>
      </w:r>
      <w:r w:rsidRPr="00667A0D">
        <w:rPr>
          <w:rFonts w:ascii="Times New Roman" w:hAnsi="Times New Roman" w:cs="Times New Roman"/>
          <w:sz w:val="24"/>
          <w:szCs w:val="24"/>
        </w:rPr>
        <w:lastRenderedPageBreak/>
        <w:t xml:space="preserve">interaction (from the regulatory network assembled in the current study) and a correlated expression pattern. In case where this criteria was not satisfied, an ‘OR’ operator was used in the logical rule. The logical rule assigned to each node of the network is listed in </w:t>
      </w:r>
      <w:r w:rsidRPr="00F92DA7">
        <w:rPr>
          <w:rFonts w:ascii="Times New Roman" w:hAnsi="Times New Roman" w:cs="Times New Roman"/>
          <w:sz w:val="24"/>
          <w:szCs w:val="24"/>
        </w:rPr>
        <w:t>(</w:t>
      </w:r>
      <w:r w:rsidR="003A3B94" w:rsidRPr="00F92DA7">
        <w:rPr>
          <w:rFonts w:ascii="Times New Roman" w:hAnsi="Times New Roman" w:cs="Times New Roman"/>
          <w:sz w:val="24"/>
          <w:szCs w:val="24"/>
        </w:rPr>
        <w:t>Table S6.2</w:t>
      </w:r>
      <w:r w:rsidRPr="00F92DA7">
        <w:rPr>
          <w:rFonts w:ascii="Times New Roman" w:hAnsi="Times New Roman" w:cs="Times New Roman"/>
          <w:sz w:val="24"/>
          <w:szCs w:val="24"/>
        </w:rPr>
        <w:t>).</w:t>
      </w:r>
      <w:r w:rsidRPr="00667A0D">
        <w:rPr>
          <w:rFonts w:ascii="Times New Roman" w:hAnsi="Times New Roman" w:cs="Times New Roman"/>
          <w:sz w:val="24"/>
          <w:szCs w:val="24"/>
        </w:rPr>
        <w:t xml:space="preserve"> Thus, </w:t>
      </w:r>
      <w:r w:rsidRPr="00667A0D">
        <w:rPr>
          <w:rFonts w:ascii="Times New Roman" w:hAnsi="Times New Roman" w:cs="Times New Roman"/>
          <w:color w:val="000000"/>
          <w:sz w:val="24"/>
          <w:szCs w:val="24"/>
        </w:rPr>
        <w:t xml:space="preserve">in the present multi-level Boolean model, the nodes of the network could acquire four discrete values (0 to 3) depending on the values of its regulators. </w:t>
      </w:r>
      <w:r w:rsidRPr="00667A0D">
        <w:rPr>
          <w:rFonts w:ascii="Times New Roman" w:hAnsi="Times New Roman" w:cs="Times New Roman"/>
          <w:sz w:val="24"/>
          <w:szCs w:val="24"/>
        </w:rPr>
        <w:t xml:space="preserve">The negative regulations were represented by a ‘NOT’ operator in the logical rules, which allowed reduction in the expression level of a particular node in presence of its negative regulator(s). It may be noted that for some of the nodes the effects of its repressors were ignored as expression levels of both the target node and its repressor(s) were observed to increase with time under hypoxic environment. For example, the node whiB4 was observed to be negatively regulated by another node Rv2011c in the TF network collated from literature </w:t>
      </w:r>
      <w:r w:rsidRPr="00F92DA7">
        <w:rPr>
          <w:rFonts w:ascii="Times New Roman" w:hAnsi="Times New Roman" w:cs="Times New Roman"/>
          <w:sz w:val="24"/>
          <w:szCs w:val="24"/>
        </w:rPr>
        <w:t>(</w:t>
      </w:r>
      <w:r w:rsidR="003A3B94" w:rsidRPr="00F92DA7">
        <w:rPr>
          <w:rFonts w:ascii="Times New Roman" w:hAnsi="Times New Roman" w:cs="Times New Roman"/>
          <w:sz w:val="24"/>
          <w:szCs w:val="24"/>
        </w:rPr>
        <w:t>Figure S6.1</w:t>
      </w:r>
      <w:r w:rsidRPr="00F92DA7">
        <w:rPr>
          <w:rFonts w:ascii="Times New Roman" w:hAnsi="Times New Roman" w:cs="Times New Roman"/>
          <w:sz w:val="24"/>
          <w:szCs w:val="24"/>
        </w:rPr>
        <w:t>).</w:t>
      </w:r>
      <w:r w:rsidRPr="00667A0D">
        <w:rPr>
          <w:rFonts w:ascii="Times New Roman" w:hAnsi="Times New Roman" w:cs="Times New Roman"/>
          <w:sz w:val="24"/>
          <w:szCs w:val="24"/>
        </w:rPr>
        <w:t xml:space="preserve"> In contrast, the expression levels of both whiB4 and Rv2011c were shown to be increasing in the microarray expression data. Such discrepancies may arise due to methodological differences in the corresponding studies. Thus, such regulatory effects were excluded while constructing the Boolean model. </w:t>
      </w:r>
    </w:p>
    <w:p w:rsidR="003A3B94" w:rsidRDefault="003A3B94" w:rsidP="00667A0D">
      <w:pPr>
        <w:spacing w:line="360" w:lineRule="auto"/>
        <w:jc w:val="both"/>
        <w:rPr>
          <w:rFonts w:ascii="Times New Roman" w:hAnsi="Times New Roman" w:cs="Times New Roman"/>
          <w:sz w:val="24"/>
          <w:szCs w:val="24"/>
        </w:rPr>
      </w:pPr>
    </w:p>
    <w:p w:rsidR="00AE07FC" w:rsidRDefault="00AE07FC"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hAnsi="Times New Roman" w:cs="Times New Roman"/>
          <w:b/>
          <w:sz w:val="24"/>
          <w:szCs w:val="24"/>
        </w:rPr>
      </w:pPr>
    </w:p>
    <w:p w:rsidR="003A3B94" w:rsidRDefault="003A3B94" w:rsidP="003A3B94">
      <w:pPr>
        <w:rPr>
          <w:rFonts w:ascii="Times New Roman" w:eastAsia="Calibri" w:hAnsi="Times New Roman" w:cs="Times New Roman"/>
          <w:sz w:val="20"/>
          <w:szCs w:val="24"/>
        </w:rPr>
      </w:pPr>
      <w:r w:rsidRPr="00736BDA">
        <w:rPr>
          <w:rFonts w:ascii="Times New Roman" w:hAnsi="Times New Roman" w:cs="Times New Roman"/>
          <w:b/>
          <w:sz w:val="20"/>
          <w:szCs w:val="24"/>
        </w:rPr>
        <w:lastRenderedPageBreak/>
        <w:t xml:space="preserve">Table S6.2: </w:t>
      </w:r>
      <w:r w:rsidRPr="00736BDA">
        <w:rPr>
          <w:rFonts w:ascii="Times New Roman" w:eastAsia="Calibri" w:hAnsi="Times New Roman" w:cs="Times New Roman"/>
          <w:sz w:val="20"/>
          <w:szCs w:val="24"/>
        </w:rPr>
        <w:t>Logical rules governing expression of each node of the TF (transcription factor) network controlling hypoxia</w:t>
      </w:r>
      <w:r w:rsidR="00736BDA">
        <w:rPr>
          <w:rFonts w:ascii="Times New Roman" w:eastAsia="Calibri" w:hAnsi="Times New Roman" w:cs="Times New Roman"/>
          <w:sz w:val="20"/>
          <w:szCs w:val="24"/>
        </w:rPr>
        <w:t>.</w:t>
      </w:r>
    </w:p>
    <w:p w:rsidR="00736BDA" w:rsidRPr="003A3B94" w:rsidRDefault="00736BDA" w:rsidP="003A3B94">
      <w:pPr>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4656"/>
        <w:gridCol w:w="3192"/>
      </w:tblGrid>
      <w:tr w:rsidR="003A3B94" w:rsidRPr="00A33D1C" w:rsidTr="00AD79B8">
        <w:trPr>
          <w:trHeight w:val="395"/>
        </w:trPr>
        <w:tc>
          <w:tcPr>
            <w:tcW w:w="1728" w:type="dxa"/>
            <w:vAlign w:val="center"/>
          </w:tcPr>
          <w:p w:rsidR="003A3B94" w:rsidRPr="00A33D1C" w:rsidRDefault="003A3B94" w:rsidP="00AD79B8">
            <w:pPr>
              <w:jc w:val="center"/>
              <w:rPr>
                <w:rFonts w:ascii="Times New Roman" w:eastAsia="Calibri" w:hAnsi="Times New Roman" w:cs="Times New Roman"/>
                <w:b/>
                <w:sz w:val="20"/>
                <w:szCs w:val="20"/>
              </w:rPr>
            </w:pPr>
            <w:r w:rsidRPr="00A33D1C">
              <w:rPr>
                <w:rFonts w:ascii="Times New Roman" w:eastAsia="Calibri" w:hAnsi="Times New Roman" w:cs="Times New Roman"/>
                <w:b/>
                <w:sz w:val="20"/>
                <w:szCs w:val="20"/>
              </w:rPr>
              <w:t>Node</w:t>
            </w:r>
          </w:p>
        </w:tc>
        <w:tc>
          <w:tcPr>
            <w:tcW w:w="4656" w:type="dxa"/>
            <w:vAlign w:val="center"/>
          </w:tcPr>
          <w:p w:rsidR="003A3B94" w:rsidRPr="00A33D1C" w:rsidRDefault="003A3B94" w:rsidP="00AD79B8">
            <w:pPr>
              <w:jc w:val="center"/>
              <w:rPr>
                <w:rFonts w:ascii="Times New Roman" w:eastAsia="Calibri" w:hAnsi="Times New Roman" w:cs="Times New Roman"/>
                <w:b/>
                <w:sz w:val="20"/>
                <w:szCs w:val="20"/>
              </w:rPr>
            </w:pPr>
            <w:r w:rsidRPr="00A33D1C">
              <w:rPr>
                <w:rFonts w:ascii="Times New Roman" w:eastAsia="Calibri" w:hAnsi="Times New Roman" w:cs="Times New Roman"/>
                <w:b/>
                <w:sz w:val="20"/>
                <w:szCs w:val="20"/>
              </w:rPr>
              <w:t>Logical rule</w:t>
            </w:r>
          </w:p>
        </w:tc>
        <w:tc>
          <w:tcPr>
            <w:tcW w:w="3192" w:type="dxa"/>
            <w:vAlign w:val="center"/>
          </w:tcPr>
          <w:p w:rsidR="003A3B94" w:rsidRPr="00A33D1C" w:rsidRDefault="003A3B94" w:rsidP="00AD79B8">
            <w:pPr>
              <w:jc w:val="center"/>
              <w:rPr>
                <w:rFonts w:ascii="Times New Roman" w:eastAsia="Calibri" w:hAnsi="Times New Roman" w:cs="Times New Roman"/>
                <w:b/>
                <w:sz w:val="20"/>
                <w:szCs w:val="20"/>
              </w:rPr>
            </w:pPr>
            <w:r w:rsidRPr="00A33D1C">
              <w:rPr>
                <w:rFonts w:ascii="Times New Roman" w:eastAsia="Calibri" w:hAnsi="Times New Roman" w:cs="Times New Roman"/>
                <w:b/>
                <w:sz w:val="20"/>
                <w:szCs w:val="20"/>
              </w:rPr>
              <w:t>Reference</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CmtR</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 xml:space="preserve">(Lsr2 OR Rv0081 OR Rv0676c OR </w:t>
            </w:r>
            <w:proofErr w:type="spellStart"/>
            <w:r w:rsidRPr="00A33D1C">
              <w:rPr>
                <w:rFonts w:ascii="Times New Roman" w:eastAsia="Calibri" w:hAnsi="Times New Roman" w:cs="Times New Roman"/>
                <w:sz w:val="20"/>
                <w:szCs w:val="20"/>
              </w:rPr>
              <w:t>CmtR</w:t>
            </w:r>
            <w:proofErr w:type="spellEnd"/>
            <w:r w:rsidRPr="00A33D1C">
              <w:rPr>
                <w:rFonts w:ascii="Times New Roman" w:eastAsia="Calibri" w:hAnsi="Times New Roman" w:cs="Times New Roman"/>
                <w:sz w:val="20"/>
                <w:szCs w:val="20"/>
              </w:rPr>
              <w:t>) AND (NOT Rv0324)</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CsoR</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 xml:space="preserve">(Rv0081 OR </w:t>
            </w:r>
            <w:proofErr w:type="spellStart"/>
            <w:r w:rsidRPr="00A33D1C">
              <w:rPr>
                <w:rFonts w:ascii="Times New Roman" w:eastAsia="Calibri" w:hAnsi="Times New Roman" w:cs="Times New Roman"/>
                <w:sz w:val="20"/>
                <w:szCs w:val="20"/>
              </w:rPr>
              <w:t>CsoR</w:t>
            </w:r>
            <w:proofErr w:type="spellEnd"/>
            <w:r w:rsidRPr="00A33D1C">
              <w:rPr>
                <w:rFonts w:ascii="Times New Roman" w:eastAsia="Calibri" w:hAnsi="Times New Roman" w:cs="Times New Roman"/>
                <w:sz w:val="20"/>
                <w:szCs w:val="20"/>
              </w:rPr>
              <w:t>) AND (NOT Rv2324)</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DB577E"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DevR</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DevS</w:t>
            </w:r>
            <w:proofErr w:type="spellEnd"/>
            <w:r w:rsidRPr="00A33D1C">
              <w:rPr>
                <w:rFonts w:ascii="Times New Roman" w:eastAsia="Calibri" w:hAnsi="Times New Roman" w:cs="Times New Roman"/>
                <w:sz w:val="20"/>
                <w:szCs w:val="20"/>
              </w:rPr>
              <w:t xml:space="preserve"> OR (</w:t>
            </w:r>
            <w:proofErr w:type="spellStart"/>
            <w:r w:rsidRPr="00A33D1C">
              <w:rPr>
                <w:rFonts w:ascii="Times New Roman" w:eastAsia="Calibri" w:hAnsi="Times New Roman" w:cs="Times New Roman"/>
                <w:sz w:val="20"/>
                <w:szCs w:val="20"/>
              </w:rPr>
              <w:t>PhoP</w:t>
            </w:r>
            <w:proofErr w:type="spellEnd"/>
            <w:r w:rsidRPr="00A33D1C">
              <w:rPr>
                <w:rFonts w:ascii="Times New Roman" w:eastAsia="Calibri" w:hAnsi="Times New Roman" w:cs="Times New Roman"/>
                <w:sz w:val="20"/>
                <w:szCs w:val="20"/>
              </w:rPr>
              <w:t xml:space="preserve"> AND Rv2034) OR (</w:t>
            </w:r>
            <w:proofErr w:type="spellStart"/>
            <w:r w:rsidRPr="00A33D1C">
              <w:rPr>
                <w:rFonts w:ascii="Times New Roman" w:eastAsia="Calibri" w:hAnsi="Times New Roman" w:cs="Times New Roman"/>
                <w:sz w:val="20"/>
                <w:szCs w:val="20"/>
              </w:rPr>
              <w:t>DevR</w:t>
            </w:r>
            <w:proofErr w:type="spellEnd"/>
            <w:r w:rsidRPr="00A33D1C">
              <w:rPr>
                <w:rFonts w:ascii="Times New Roman" w:eastAsia="Calibri" w:hAnsi="Times New Roman" w:cs="Times New Roman"/>
                <w:sz w:val="20"/>
                <w:szCs w:val="20"/>
              </w:rPr>
              <w:t xml:space="preserve"> AND (</w:t>
            </w:r>
            <w:proofErr w:type="spellStart"/>
            <w:r w:rsidRPr="00A33D1C">
              <w:rPr>
                <w:rFonts w:ascii="Times New Roman" w:eastAsia="Calibri" w:hAnsi="Times New Roman" w:cs="Times New Roman"/>
                <w:sz w:val="20"/>
                <w:szCs w:val="20"/>
              </w:rPr>
              <w:t>DevS</w:t>
            </w:r>
            <w:proofErr w:type="spellEnd"/>
            <w:r w:rsidRPr="00A33D1C">
              <w:rPr>
                <w:rFonts w:ascii="Times New Roman" w:eastAsia="Calibri" w:hAnsi="Times New Roman" w:cs="Times New Roman"/>
                <w:sz w:val="20"/>
                <w:szCs w:val="20"/>
              </w:rPr>
              <w:t xml:space="preserve"> OR (</w:t>
            </w:r>
            <w:proofErr w:type="spellStart"/>
            <w:r w:rsidRPr="00A33D1C">
              <w:rPr>
                <w:rFonts w:ascii="Times New Roman" w:eastAsia="Calibri" w:hAnsi="Times New Roman" w:cs="Times New Roman"/>
                <w:sz w:val="20"/>
                <w:szCs w:val="20"/>
              </w:rPr>
              <w:t>PhoP</w:t>
            </w:r>
            <w:proofErr w:type="spellEnd"/>
            <w:r w:rsidRPr="00A33D1C">
              <w:rPr>
                <w:rFonts w:ascii="Times New Roman" w:eastAsia="Calibri" w:hAnsi="Times New Roman" w:cs="Times New Roman"/>
                <w:sz w:val="20"/>
                <w:szCs w:val="20"/>
              </w:rPr>
              <w:t xml:space="preserve"> AND Rv2034)))</w:t>
            </w:r>
          </w:p>
        </w:tc>
        <w:tc>
          <w:tcPr>
            <w:tcW w:w="3192" w:type="dxa"/>
            <w:vAlign w:val="center"/>
          </w:tcPr>
          <w:p w:rsidR="003A3B94" w:rsidRPr="00DB577E" w:rsidRDefault="003A3B94" w:rsidP="00AD79B8">
            <w:pPr>
              <w:rPr>
                <w:rFonts w:ascii="Times New Roman" w:eastAsia="Calibri" w:hAnsi="Times New Roman" w:cs="Times New Roman"/>
                <w:sz w:val="20"/>
                <w:szCs w:val="20"/>
                <w:lang w:val="fr-FR"/>
              </w:rPr>
            </w:pPr>
            <w:r w:rsidRPr="00DB577E">
              <w:rPr>
                <w:rFonts w:ascii="Times New Roman" w:eastAsia="Calibri" w:hAnsi="Times New Roman" w:cs="Times New Roman"/>
                <w:sz w:val="20"/>
                <w:szCs w:val="20"/>
                <w:lang w:val="fr-FR"/>
              </w:rPr>
              <w:t xml:space="preserve">Guo et al. 2009, </w:t>
            </w:r>
            <w:proofErr w:type="spellStart"/>
            <w:r w:rsidRPr="00DB577E">
              <w:rPr>
                <w:rFonts w:ascii="Times New Roman" w:eastAsia="Calibri" w:hAnsi="Times New Roman" w:cs="Times New Roman"/>
                <w:sz w:val="20"/>
                <w:szCs w:val="20"/>
                <w:lang w:val="fr-FR"/>
              </w:rPr>
              <w:t>Honaker</w:t>
            </w:r>
            <w:proofErr w:type="spellEnd"/>
            <w:r w:rsidRPr="00DB577E">
              <w:rPr>
                <w:rFonts w:ascii="Times New Roman" w:eastAsia="Calibri" w:hAnsi="Times New Roman" w:cs="Times New Roman"/>
                <w:sz w:val="20"/>
                <w:szCs w:val="20"/>
                <w:lang w:val="fr-FR"/>
              </w:rPr>
              <w:t xml:space="preserve"> et al. 2009, Gao et al. 2012, </w:t>
            </w:r>
            <w:proofErr w:type="spellStart"/>
            <w:r w:rsidRPr="00DB577E">
              <w:rPr>
                <w:rFonts w:ascii="Times New Roman" w:eastAsia="Calibri" w:hAnsi="Times New Roman" w:cs="Times New Roman"/>
                <w:sz w:val="20"/>
                <w:szCs w:val="20"/>
                <w:lang w:val="fr-FR"/>
              </w:rPr>
              <w:t>Galagan</w:t>
            </w:r>
            <w:proofErr w:type="spellEnd"/>
            <w:r w:rsidRPr="00DB577E">
              <w:rPr>
                <w:rFonts w:ascii="Times New Roman" w:eastAsia="Calibri" w:hAnsi="Times New Roman" w:cs="Times New Roman"/>
                <w:sz w:val="20"/>
                <w:szCs w:val="20"/>
                <w:lang w:val="fr-FR"/>
              </w:rPr>
              <w:t xml:space="preserve"> et al. 2013, </w:t>
            </w:r>
            <w:proofErr w:type="spellStart"/>
            <w:r w:rsidRPr="00DB577E">
              <w:rPr>
                <w:rFonts w:ascii="Times New Roman" w:eastAsia="Calibri" w:hAnsi="Times New Roman" w:cs="Times New Roman"/>
                <w:sz w:val="20"/>
                <w:szCs w:val="20"/>
                <w:lang w:val="fr-FR"/>
              </w:rPr>
              <w:t>Minch</w:t>
            </w:r>
            <w:proofErr w:type="spellEnd"/>
            <w:r w:rsidRPr="00DB577E">
              <w:rPr>
                <w:rFonts w:ascii="Times New Roman" w:eastAsia="Calibri" w:hAnsi="Times New Roman" w:cs="Times New Roman"/>
                <w:sz w:val="20"/>
                <w:szCs w:val="20"/>
                <w:lang w:val="fr-FR"/>
              </w:rPr>
              <w:t xml:space="preserve"> et al. 2014</w:t>
            </w:r>
          </w:p>
        </w:tc>
      </w:tr>
      <w:tr w:rsidR="003A3B94" w:rsidRPr="00DB577E"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DevS</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DevR</w:t>
            </w:r>
            <w:proofErr w:type="spellEnd"/>
          </w:p>
        </w:tc>
        <w:tc>
          <w:tcPr>
            <w:tcW w:w="3192" w:type="dxa"/>
            <w:vAlign w:val="center"/>
          </w:tcPr>
          <w:p w:rsidR="003A3B94" w:rsidRPr="00DB577E" w:rsidRDefault="003A3B94" w:rsidP="00AD79B8">
            <w:pPr>
              <w:rPr>
                <w:rFonts w:ascii="Times New Roman" w:eastAsia="Calibri" w:hAnsi="Times New Roman" w:cs="Times New Roman"/>
                <w:sz w:val="20"/>
                <w:szCs w:val="20"/>
                <w:lang w:val="fr-FR"/>
              </w:rPr>
            </w:pPr>
            <w:r w:rsidRPr="00DB577E">
              <w:rPr>
                <w:rFonts w:ascii="Times New Roman" w:eastAsia="Calibri" w:hAnsi="Times New Roman" w:cs="Times New Roman"/>
                <w:sz w:val="20"/>
                <w:szCs w:val="20"/>
                <w:lang w:val="fr-FR"/>
              </w:rPr>
              <w:t xml:space="preserve">Guo et al. 2009, </w:t>
            </w:r>
            <w:proofErr w:type="spellStart"/>
            <w:r w:rsidRPr="00DB577E">
              <w:rPr>
                <w:rFonts w:ascii="Times New Roman" w:eastAsia="Calibri" w:hAnsi="Times New Roman" w:cs="Times New Roman"/>
                <w:sz w:val="20"/>
                <w:szCs w:val="20"/>
                <w:lang w:val="fr-FR"/>
              </w:rPr>
              <w:t>Galagan</w:t>
            </w:r>
            <w:proofErr w:type="spellEnd"/>
            <w:r w:rsidRPr="00DB577E">
              <w:rPr>
                <w:rFonts w:ascii="Times New Roman" w:eastAsia="Calibri" w:hAnsi="Times New Roman" w:cs="Times New Roman"/>
                <w:sz w:val="20"/>
                <w:szCs w:val="20"/>
                <w:lang w:val="fr-FR"/>
              </w:rPr>
              <w:t xml:space="preserve"> et al. 2013</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HrcA</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Rv0324</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KmtR</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KmtR</w:t>
            </w:r>
            <w:proofErr w:type="spellEnd"/>
            <w:r w:rsidRPr="00A33D1C">
              <w:rPr>
                <w:rFonts w:ascii="Times New Roman" w:eastAsia="Calibri" w:hAnsi="Times New Roman" w:cs="Times New Roman"/>
                <w:sz w:val="20"/>
                <w:szCs w:val="20"/>
              </w:rPr>
              <w:t xml:space="preserve"> AND (NOT Rv2034)</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KstR</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 xml:space="preserve">(Rv0348 OR Rv2324 OR </w:t>
            </w:r>
            <w:proofErr w:type="spellStart"/>
            <w:r w:rsidRPr="00A33D1C">
              <w:rPr>
                <w:rFonts w:ascii="Times New Roman" w:eastAsia="Calibri" w:hAnsi="Times New Roman" w:cs="Times New Roman"/>
                <w:sz w:val="20"/>
                <w:szCs w:val="20"/>
              </w:rPr>
              <w:t>KstR</w:t>
            </w:r>
            <w:proofErr w:type="spellEnd"/>
            <w:r w:rsidRPr="00A33D1C">
              <w:rPr>
                <w:rFonts w:ascii="Times New Roman" w:eastAsia="Calibri" w:hAnsi="Times New Roman" w:cs="Times New Roman"/>
                <w:sz w:val="20"/>
                <w:szCs w:val="20"/>
              </w:rPr>
              <w:t xml:space="preserve"> OR (Lsr2 AND Rv0324)) AND (NOT Rv0081)</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DB577E"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Lsr2</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 xml:space="preserve">(Rv1985 OR </w:t>
            </w:r>
            <w:proofErr w:type="spellStart"/>
            <w:r w:rsidRPr="00A33D1C">
              <w:rPr>
                <w:rFonts w:ascii="Times New Roman" w:eastAsia="Calibri" w:hAnsi="Times New Roman" w:cs="Times New Roman"/>
                <w:sz w:val="20"/>
                <w:szCs w:val="20"/>
              </w:rPr>
              <w:t>CmtR</w:t>
            </w:r>
            <w:proofErr w:type="spellEnd"/>
            <w:r w:rsidRPr="00A33D1C">
              <w:rPr>
                <w:rFonts w:ascii="Times New Roman" w:eastAsia="Calibri" w:hAnsi="Times New Roman" w:cs="Times New Roman"/>
                <w:sz w:val="20"/>
                <w:szCs w:val="20"/>
              </w:rPr>
              <w:t xml:space="preserve"> OR Rv2034 OR </w:t>
            </w:r>
            <w:proofErr w:type="spellStart"/>
            <w:r w:rsidRPr="00A33D1C">
              <w:rPr>
                <w:rFonts w:ascii="Times New Roman" w:eastAsia="Calibri" w:hAnsi="Times New Roman" w:cs="Times New Roman"/>
                <w:sz w:val="20"/>
                <w:szCs w:val="20"/>
              </w:rPr>
              <w:t>KstR</w:t>
            </w:r>
            <w:proofErr w:type="spellEnd"/>
            <w:r w:rsidRPr="00A33D1C">
              <w:rPr>
                <w:rFonts w:ascii="Times New Roman" w:eastAsia="Calibri" w:hAnsi="Times New Roman" w:cs="Times New Roman"/>
                <w:sz w:val="20"/>
                <w:szCs w:val="20"/>
              </w:rPr>
              <w:t xml:space="preserve"> OR Lsr2) AND (NOT(</w:t>
            </w:r>
            <w:proofErr w:type="spellStart"/>
            <w:r w:rsidRPr="00A33D1C">
              <w:rPr>
                <w:rFonts w:ascii="Times New Roman" w:eastAsia="Calibri" w:hAnsi="Times New Roman" w:cs="Times New Roman"/>
                <w:sz w:val="20"/>
                <w:szCs w:val="20"/>
              </w:rPr>
              <w:t>PhoP</w:t>
            </w:r>
            <w:proofErr w:type="spellEnd"/>
            <w:r w:rsidRPr="00A33D1C">
              <w:rPr>
                <w:rFonts w:ascii="Times New Roman" w:eastAsia="Calibri" w:hAnsi="Times New Roman" w:cs="Times New Roman"/>
                <w:sz w:val="20"/>
                <w:szCs w:val="20"/>
              </w:rPr>
              <w:t xml:space="preserve"> OR Rv0324 OR Rv0474))</w:t>
            </w:r>
          </w:p>
        </w:tc>
        <w:tc>
          <w:tcPr>
            <w:tcW w:w="3192" w:type="dxa"/>
            <w:vAlign w:val="center"/>
          </w:tcPr>
          <w:p w:rsidR="003A3B94" w:rsidRPr="00DB577E" w:rsidRDefault="003A3B94" w:rsidP="00AD79B8">
            <w:pPr>
              <w:rPr>
                <w:rFonts w:ascii="Times New Roman" w:eastAsia="Calibri" w:hAnsi="Times New Roman" w:cs="Times New Roman"/>
                <w:sz w:val="20"/>
                <w:szCs w:val="20"/>
                <w:lang w:val="fr-FR"/>
              </w:rPr>
            </w:pPr>
            <w:proofErr w:type="spellStart"/>
            <w:r w:rsidRPr="00DB577E">
              <w:rPr>
                <w:rFonts w:ascii="Times New Roman" w:eastAsia="Calibri" w:hAnsi="Times New Roman" w:cs="Times New Roman"/>
                <w:sz w:val="20"/>
                <w:szCs w:val="20"/>
                <w:lang w:val="fr-FR"/>
              </w:rPr>
              <w:t>Galagan</w:t>
            </w:r>
            <w:proofErr w:type="spellEnd"/>
            <w:r w:rsidRPr="00DB577E">
              <w:rPr>
                <w:rFonts w:ascii="Times New Roman" w:eastAsia="Calibri" w:hAnsi="Times New Roman" w:cs="Times New Roman"/>
                <w:sz w:val="20"/>
                <w:szCs w:val="20"/>
                <w:lang w:val="fr-FR"/>
              </w:rPr>
              <w:t xml:space="preserve"> et al. 2013, </w:t>
            </w:r>
            <w:proofErr w:type="spellStart"/>
            <w:r w:rsidRPr="00DB577E">
              <w:rPr>
                <w:rFonts w:ascii="Times New Roman" w:eastAsia="Calibri" w:hAnsi="Times New Roman" w:cs="Times New Roman"/>
                <w:sz w:val="20"/>
                <w:szCs w:val="20"/>
                <w:lang w:val="fr-FR"/>
              </w:rPr>
              <w:t>Minch</w:t>
            </w:r>
            <w:proofErr w:type="spellEnd"/>
            <w:r w:rsidRPr="00DB577E">
              <w:rPr>
                <w:rFonts w:ascii="Times New Roman" w:eastAsia="Calibri" w:hAnsi="Times New Roman" w:cs="Times New Roman"/>
                <w:sz w:val="20"/>
                <w:szCs w:val="20"/>
                <w:lang w:val="fr-FR"/>
              </w:rPr>
              <w:t xml:space="preserve"> et al. 2014</w:t>
            </w:r>
          </w:p>
        </w:tc>
      </w:tr>
      <w:tr w:rsidR="003A3B94" w:rsidRPr="00DB577E"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PhoP</w:t>
            </w:r>
            <w:proofErr w:type="spellEnd"/>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(WhiB4 OR Rv0081 OR (Lsr2 AND Rv2034)) AND (NOT Rv2011)</w:t>
            </w:r>
          </w:p>
        </w:tc>
        <w:tc>
          <w:tcPr>
            <w:tcW w:w="3192" w:type="dxa"/>
            <w:vAlign w:val="center"/>
          </w:tcPr>
          <w:p w:rsidR="003A3B94" w:rsidRPr="00DB577E" w:rsidRDefault="003A3B94" w:rsidP="00AD79B8">
            <w:pPr>
              <w:rPr>
                <w:rFonts w:ascii="Times New Roman" w:eastAsia="Calibri" w:hAnsi="Times New Roman" w:cs="Times New Roman"/>
                <w:sz w:val="20"/>
                <w:szCs w:val="20"/>
                <w:lang w:val="fr-FR"/>
              </w:rPr>
            </w:pPr>
            <w:r w:rsidRPr="00DB577E">
              <w:rPr>
                <w:rFonts w:ascii="Times New Roman" w:eastAsia="Calibri" w:hAnsi="Times New Roman" w:cs="Times New Roman"/>
                <w:sz w:val="20"/>
                <w:szCs w:val="20"/>
                <w:lang w:val="fr-FR"/>
              </w:rPr>
              <w:t xml:space="preserve">Gupta et al. 2006, Gao et al. 2012, </w:t>
            </w:r>
            <w:proofErr w:type="spellStart"/>
            <w:r w:rsidRPr="00DB577E">
              <w:rPr>
                <w:rFonts w:ascii="Times New Roman" w:eastAsia="Calibri" w:hAnsi="Times New Roman" w:cs="Times New Roman"/>
                <w:sz w:val="20"/>
                <w:szCs w:val="20"/>
                <w:lang w:val="fr-FR"/>
              </w:rPr>
              <w:t>Galagan</w:t>
            </w:r>
            <w:proofErr w:type="spellEnd"/>
            <w:r w:rsidRPr="00DB577E">
              <w:rPr>
                <w:rFonts w:ascii="Times New Roman" w:eastAsia="Calibri" w:hAnsi="Times New Roman" w:cs="Times New Roman"/>
                <w:sz w:val="20"/>
                <w:szCs w:val="20"/>
                <w:lang w:val="fr-FR"/>
              </w:rPr>
              <w:t xml:space="preserve"> et al. 2013, </w:t>
            </w:r>
            <w:proofErr w:type="spellStart"/>
            <w:r w:rsidRPr="00DB577E">
              <w:rPr>
                <w:rFonts w:ascii="Times New Roman" w:eastAsia="Calibri" w:hAnsi="Times New Roman" w:cs="Times New Roman"/>
                <w:sz w:val="20"/>
                <w:szCs w:val="20"/>
                <w:lang w:val="fr-FR"/>
              </w:rPr>
              <w:t>Minch</w:t>
            </w:r>
            <w:proofErr w:type="spellEnd"/>
            <w:r w:rsidRPr="00DB577E">
              <w:rPr>
                <w:rFonts w:ascii="Times New Roman" w:eastAsia="Calibri" w:hAnsi="Times New Roman" w:cs="Times New Roman"/>
                <w:sz w:val="20"/>
                <w:szCs w:val="20"/>
                <w:lang w:val="fr-FR"/>
              </w:rPr>
              <w:t xml:space="preserve"> et al. 2014</w:t>
            </w:r>
          </w:p>
        </w:tc>
      </w:tr>
      <w:tr w:rsidR="003A3B94" w:rsidRPr="00DB577E"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Rv0081</w:t>
            </w:r>
          </w:p>
        </w:tc>
        <w:tc>
          <w:tcPr>
            <w:tcW w:w="4656" w:type="dxa"/>
            <w:vAlign w:val="center"/>
          </w:tcPr>
          <w:p w:rsidR="003A3B94" w:rsidRPr="00A33D1C" w:rsidRDefault="003A3B94" w:rsidP="00AD79B8">
            <w:pP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DevR</w:t>
            </w:r>
            <w:proofErr w:type="spellEnd"/>
            <w:r w:rsidRPr="00A33D1C">
              <w:rPr>
                <w:rFonts w:ascii="Times New Roman" w:eastAsia="Calibri" w:hAnsi="Times New Roman" w:cs="Times New Roman"/>
                <w:sz w:val="20"/>
                <w:szCs w:val="20"/>
              </w:rPr>
              <w:t xml:space="preserve"> AND (NOT (Rv1990c OR Rv0081))</w:t>
            </w:r>
          </w:p>
        </w:tc>
        <w:tc>
          <w:tcPr>
            <w:tcW w:w="3192" w:type="dxa"/>
            <w:vAlign w:val="center"/>
          </w:tcPr>
          <w:p w:rsidR="003A3B94" w:rsidRPr="00DB577E" w:rsidRDefault="003A3B94" w:rsidP="00AD79B8">
            <w:pPr>
              <w:rPr>
                <w:rFonts w:ascii="Times New Roman" w:eastAsia="Calibri" w:hAnsi="Times New Roman" w:cs="Times New Roman"/>
                <w:sz w:val="20"/>
                <w:szCs w:val="20"/>
                <w:lang w:val="fr-FR"/>
              </w:rPr>
            </w:pPr>
            <w:r w:rsidRPr="00DB577E">
              <w:rPr>
                <w:rFonts w:ascii="Times New Roman" w:eastAsia="Calibri" w:hAnsi="Times New Roman" w:cs="Times New Roman"/>
                <w:sz w:val="20"/>
                <w:szCs w:val="20"/>
                <w:lang w:val="fr-FR"/>
              </w:rPr>
              <w:t xml:space="preserve">He et al. 2011, </w:t>
            </w:r>
            <w:proofErr w:type="spellStart"/>
            <w:r w:rsidRPr="00DB577E">
              <w:rPr>
                <w:rFonts w:ascii="Times New Roman" w:eastAsia="Calibri" w:hAnsi="Times New Roman" w:cs="Times New Roman"/>
                <w:sz w:val="20"/>
                <w:szCs w:val="20"/>
                <w:lang w:val="fr-FR"/>
              </w:rPr>
              <w:t>Galagan</w:t>
            </w:r>
            <w:proofErr w:type="spellEnd"/>
            <w:r w:rsidRPr="00DB577E">
              <w:rPr>
                <w:rFonts w:ascii="Times New Roman" w:eastAsia="Calibri" w:hAnsi="Times New Roman" w:cs="Times New Roman"/>
                <w:sz w:val="20"/>
                <w:szCs w:val="20"/>
                <w:lang w:val="fr-FR"/>
              </w:rPr>
              <w:t xml:space="preserve"> et al. 2013</w:t>
            </w:r>
          </w:p>
        </w:tc>
      </w:tr>
      <w:tr w:rsidR="003A3B94" w:rsidRPr="00DB577E"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Rv0324</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(Rv0324 OR (Lsr2 AND Rv1985c)) AND (NOT Rv0081)</w:t>
            </w:r>
          </w:p>
        </w:tc>
        <w:tc>
          <w:tcPr>
            <w:tcW w:w="3192" w:type="dxa"/>
            <w:vAlign w:val="center"/>
          </w:tcPr>
          <w:p w:rsidR="003A3B94" w:rsidRPr="00DB577E" w:rsidRDefault="003A3B94" w:rsidP="00AD79B8">
            <w:pPr>
              <w:rPr>
                <w:rFonts w:ascii="Times New Roman" w:eastAsia="Calibri" w:hAnsi="Times New Roman" w:cs="Times New Roman"/>
                <w:sz w:val="20"/>
                <w:szCs w:val="20"/>
                <w:lang w:val="fr-FR"/>
              </w:rPr>
            </w:pPr>
            <w:proofErr w:type="spellStart"/>
            <w:r w:rsidRPr="00DB577E">
              <w:rPr>
                <w:rFonts w:ascii="Times New Roman" w:eastAsia="Calibri" w:hAnsi="Times New Roman" w:cs="Times New Roman"/>
                <w:sz w:val="20"/>
                <w:szCs w:val="20"/>
                <w:lang w:val="fr-FR"/>
              </w:rPr>
              <w:t>Galagan</w:t>
            </w:r>
            <w:proofErr w:type="spellEnd"/>
            <w:r w:rsidRPr="00DB577E">
              <w:rPr>
                <w:rFonts w:ascii="Times New Roman" w:eastAsia="Calibri" w:hAnsi="Times New Roman" w:cs="Times New Roman"/>
                <w:sz w:val="20"/>
                <w:szCs w:val="20"/>
                <w:lang w:val="fr-FR"/>
              </w:rPr>
              <w:t xml:space="preserve"> et al. 2013, </w:t>
            </w:r>
            <w:proofErr w:type="spellStart"/>
            <w:r w:rsidRPr="00DB577E">
              <w:rPr>
                <w:rFonts w:ascii="Times New Roman" w:eastAsia="Calibri" w:hAnsi="Times New Roman" w:cs="Times New Roman"/>
                <w:sz w:val="20"/>
                <w:szCs w:val="20"/>
                <w:lang w:val="fr-FR"/>
              </w:rPr>
              <w:t>Minch</w:t>
            </w:r>
            <w:proofErr w:type="spellEnd"/>
            <w:r w:rsidRPr="00DB577E">
              <w:rPr>
                <w:rFonts w:ascii="Times New Roman" w:eastAsia="Calibri" w:hAnsi="Times New Roman" w:cs="Times New Roman"/>
                <w:sz w:val="20"/>
                <w:szCs w:val="20"/>
                <w:lang w:val="fr-FR"/>
              </w:rPr>
              <w:t xml:space="preserve">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Rv0348</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Rv0081 AND (NOT (Rv0324 OR Rv1985c OR Rv2034))</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Rv0474</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 xml:space="preserve">(Rv1985c OR Rv0081 OR Rv0474) AND (NOT </w:t>
            </w:r>
            <w:proofErr w:type="spellStart"/>
            <w:r w:rsidRPr="00A33D1C">
              <w:rPr>
                <w:rFonts w:ascii="Times New Roman" w:eastAsia="Calibri" w:hAnsi="Times New Roman" w:cs="Times New Roman"/>
                <w:sz w:val="20"/>
                <w:szCs w:val="20"/>
              </w:rPr>
              <w:t>CmtR</w:t>
            </w:r>
            <w:proofErr w:type="spellEnd"/>
            <w:r w:rsidRPr="00A33D1C">
              <w:rPr>
                <w:rFonts w:ascii="Times New Roman" w:eastAsia="Calibri" w:hAnsi="Times New Roman" w:cs="Times New Roman"/>
                <w:sz w:val="20"/>
                <w:szCs w:val="20"/>
              </w:rPr>
              <w:t>)</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Rv0494</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(Rv0081 OR Rv0494) AND (NOT Rv0767c)</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Rv0653c</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Lsr2 OR Rv0081 OR Rv0653c</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Rv0767c</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External or internal regulators</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Rv1255c</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NOT Rv1990c</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Rv1985c</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(Rv0081 OR Rv1985c) AND (NOT (</w:t>
            </w:r>
            <w:proofErr w:type="spellStart"/>
            <w:r w:rsidRPr="00A33D1C">
              <w:rPr>
                <w:rFonts w:ascii="Times New Roman" w:eastAsia="Calibri" w:hAnsi="Times New Roman" w:cs="Times New Roman"/>
                <w:sz w:val="20"/>
                <w:szCs w:val="20"/>
              </w:rPr>
              <w:t>DevR</w:t>
            </w:r>
            <w:proofErr w:type="spellEnd"/>
            <w:r w:rsidRPr="00A33D1C">
              <w:rPr>
                <w:rFonts w:ascii="Times New Roman" w:eastAsia="Calibri" w:hAnsi="Times New Roman" w:cs="Times New Roman"/>
                <w:sz w:val="20"/>
                <w:szCs w:val="20"/>
              </w:rPr>
              <w:t xml:space="preserve"> OR </w:t>
            </w:r>
            <w:proofErr w:type="spellStart"/>
            <w:r w:rsidRPr="00A33D1C">
              <w:rPr>
                <w:rFonts w:ascii="Times New Roman" w:eastAsia="Calibri" w:hAnsi="Times New Roman" w:cs="Times New Roman"/>
                <w:sz w:val="20"/>
                <w:szCs w:val="20"/>
              </w:rPr>
              <w:t>CmtR</w:t>
            </w:r>
            <w:proofErr w:type="spellEnd"/>
            <w:r w:rsidRPr="00A33D1C">
              <w:rPr>
                <w:rFonts w:ascii="Times New Roman" w:eastAsia="Calibri" w:hAnsi="Times New Roman" w:cs="Times New Roman"/>
                <w:sz w:val="20"/>
                <w:szCs w:val="20"/>
              </w:rPr>
              <w:t xml:space="preserve"> OR Rv0324))</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Rv1990c</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Lsr2 OR Rv0081 OR Rv1990c</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Rv2011c</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Rv2011c</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Rv2021c</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Rv0081</w:t>
            </w:r>
          </w:p>
        </w:tc>
        <w:tc>
          <w:tcPr>
            <w:tcW w:w="3192" w:type="dxa"/>
            <w:vAlign w:val="center"/>
          </w:tcPr>
          <w:p w:rsidR="003A3B94" w:rsidRPr="00A33D1C" w:rsidRDefault="003A3B94" w:rsidP="00AD79B8">
            <w:pPr>
              <w:rPr>
                <w:rFonts w:ascii="Times New Roman" w:eastAsia="Calibri" w:hAnsi="Times New Roman" w:cs="Times New Roman"/>
                <w:sz w:val="20"/>
                <w:szCs w:val="20"/>
              </w:rPr>
            </w:pPr>
            <w:proofErr w:type="spellStart"/>
            <w:r w:rsidRPr="00A33D1C">
              <w:rPr>
                <w:rFonts w:ascii="Times New Roman" w:eastAsia="Calibri" w:hAnsi="Times New Roman" w:cs="Times New Roman"/>
                <w:sz w:val="20"/>
                <w:szCs w:val="20"/>
              </w:rPr>
              <w:t>Galagan</w:t>
            </w:r>
            <w:proofErr w:type="spellEnd"/>
            <w:r w:rsidRPr="00A33D1C">
              <w:rPr>
                <w:rFonts w:ascii="Times New Roman" w:eastAsia="Calibri" w:hAnsi="Times New Roman" w:cs="Times New Roman"/>
                <w:sz w:val="20"/>
                <w:szCs w:val="20"/>
              </w:rPr>
              <w:t xml:space="preserve"> et al. 2013</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Rv2034</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 xml:space="preserve">Rv0081 AND (NOT </w:t>
            </w:r>
            <w:proofErr w:type="spellStart"/>
            <w:r w:rsidRPr="00A33D1C">
              <w:rPr>
                <w:rFonts w:ascii="Times New Roman" w:eastAsia="Calibri" w:hAnsi="Times New Roman" w:cs="Times New Roman"/>
                <w:sz w:val="20"/>
                <w:szCs w:val="20"/>
              </w:rPr>
              <w:t>DevR</w:t>
            </w:r>
            <w:proofErr w:type="spellEnd"/>
            <w:r w:rsidRPr="00A33D1C">
              <w:rPr>
                <w:rFonts w:ascii="Times New Roman" w:eastAsia="Calibri" w:hAnsi="Times New Roman" w:cs="Times New Roman"/>
                <w:sz w:val="20"/>
                <w:szCs w:val="20"/>
              </w:rPr>
              <w:t>)</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Rv2324</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External or internal regulators</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WhiB4</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Rv0081 AND (Not Rv2011c)</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Minch et al. 2014</w:t>
            </w:r>
          </w:p>
        </w:tc>
      </w:tr>
      <w:tr w:rsidR="003A3B94" w:rsidRPr="00A33D1C" w:rsidTr="00AD79B8">
        <w:tc>
          <w:tcPr>
            <w:tcW w:w="1728" w:type="dxa"/>
            <w:vAlign w:val="center"/>
          </w:tcPr>
          <w:p w:rsidR="003A3B94" w:rsidRPr="00A33D1C" w:rsidRDefault="003A3B94" w:rsidP="00AD79B8">
            <w:pPr>
              <w:jc w:val="center"/>
              <w:rPr>
                <w:rFonts w:ascii="Times New Roman" w:eastAsia="Calibri" w:hAnsi="Times New Roman" w:cs="Times New Roman"/>
                <w:sz w:val="20"/>
                <w:szCs w:val="20"/>
              </w:rPr>
            </w:pPr>
            <w:r w:rsidRPr="00A33D1C">
              <w:rPr>
                <w:rFonts w:ascii="Times New Roman" w:eastAsia="Calibri" w:hAnsi="Times New Roman" w:cs="Times New Roman"/>
                <w:sz w:val="20"/>
                <w:szCs w:val="20"/>
              </w:rPr>
              <w:t>External or internal regulators</w:t>
            </w:r>
          </w:p>
        </w:tc>
        <w:tc>
          <w:tcPr>
            <w:tcW w:w="4656"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Input node</w:t>
            </w:r>
          </w:p>
        </w:tc>
        <w:tc>
          <w:tcPr>
            <w:tcW w:w="3192" w:type="dxa"/>
            <w:vAlign w:val="center"/>
          </w:tcPr>
          <w:p w:rsidR="003A3B94" w:rsidRPr="00A33D1C" w:rsidRDefault="003A3B94" w:rsidP="00AD79B8">
            <w:pPr>
              <w:rPr>
                <w:rFonts w:ascii="Times New Roman" w:eastAsia="Calibri" w:hAnsi="Times New Roman" w:cs="Times New Roman"/>
                <w:sz w:val="20"/>
                <w:szCs w:val="20"/>
              </w:rPr>
            </w:pPr>
            <w:r w:rsidRPr="00A33D1C">
              <w:rPr>
                <w:rFonts w:ascii="Times New Roman" w:eastAsia="Calibri" w:hAnsi="Times New Roman" w:cs="Times New Roman"/>
                <w:sz w:val="20"/>
                <w:szCs w:val="20"/>
              </w:rPr>
              <w:t>-</w:t>
            </w:r>
          </w:p>
        </w:tc>
      </w:tr>
    </w:tbl>
    <w:p w:rsidR="003A3B94" w:rsidRPr="003A3B94" w:rsidRDefault="003A3B94" w:rsidP="00667A0D">
      <w:pPr>
        <w:spacing w:line="360" w:lineRule="auto"/>
        <w:jc w:val="both"/>
        <w:rPr>
          <w:rFonts w:ascii="Times New Roman" w:hAnsi="Times New Roman" w:cs="Times New Roman"/>
          <w:b/>
          <w:sz w:val="24"/>
          <w:szCs w:val="24"/>
        </w:rPr>
      </w:pPr>
    </w:p>
    <w:p w:rsidR="00667A0D" w:rsidRPr="00667A0D" w:rsidRDefault="00667A0D" w:rsidP="00667A0D">
      <w:pPr>
        <w:spacing w:line="360" w:lineRule="auto"/>
        <w:jc w:val="both"/>
        <w:rPr>
          <w:rFonts w:ascii="Times New Roman" w:hAnsi="Times New Roman" w:cs="Times New Roman"/>
          <w:sz w:val="24"/>
          <w:szCs w:val="24"/>
        </w:rPr>
      </w:pPr>
    </w:p>
    <w:p w:rsidR="00667A0D" w:rsidRPr="00667A0D" w:rsidRDefault="00667A0D" w:rsidP="00667A0D">
      <w:pPr>
        <w:spacing w:line="360" w:lineRule="auto"/>
        <w:jc w:val="both"/>
        <w:rPr>
          <w:rFonts w:ascii="Times New Roman" w:hAnsi="Times New Roman" w:cs="Times New Roman"/>
          <w:sz w:val="24"/>
          <w:szCs w:val="24"/>
        </w:rPr>
      </w:pPr>
      <w:r w:rsidRPr="00667A0D">
        <w:rPr>
          <w:rFonts w:ascii="Times New Roman" w:hAnsi="Times New Roman" w:cs="Times New Roman"/>
          <w:color w:val="000000"/>
          <w:sz w:val="24"/>
          <w:szCs w:val="24"/>
        </w:rPr>
        <w:t xml:space="preserve">The constructed multi-level Boolean model was then simulated under synchronous mode in </w:t>
      </w:r>
      <w:proofErr w:type="spellStart"/>
      <w:r w:rsidRPr="00667A0D">
        <w:rPr>
          <w:rFonts w:ascii="Times New Roman" w:hAnsi="Times New Roman" w:cs="Times New Roman"/>
          <w:color w:val="000000"/>
          <w:sz w:val="24"/>
          <w:szCs w:val="24"/>
        </w:rPr>
        <w:t>GINsim</w:t>
      </w:r>
      <w:proofErr w:type="spellEnd"/>
      <w:r w:rsidRPr="00667A0D">
        <w:rPr>
          <w:rFonts w:ascii="Times New Roman" w:hAnsi="Times New Roman" w:cs="Times New Roman"/>
          <w:color w:val="000000"/>
          <w:sz w:val="24"/>
          <w:szCs w:val="24"/>
        </w:rPr>
        <w:t xml:space="preserve">. Simulation results were validated based on available gene expression data </w:t>
      </w:r>
      <w:r w:rsidR="004969C1">
        <w:rPr>
          <w:rFonts w:ascii="Times New Roman" w:hAnsi="Times New Roman" w:cs="Times New Roman"/>
          <w:color w:val="000000"/>
          <w:sz w:val="24"/>
          <w:szCs w:val="24"/>
        </w:rPr>
        <w:fldChar w:fldCharType="begin"/>
      </w:r>
      <w:r w:rsidR="00F062EC">
        <w:rPr>
          <w:rFonts w:ascii="Times New Roman" w:hAnsi="Times New Roman" w:cs="Times New Roman"/>
          <w:color w:val="000000"/>
          <w:sz w:val="24"/>
          <w:szCs w:val="24"/>
        </w:rPr>
        <w:instrText xml:space="preserve"> ADDIN ZOTERO_ITEM CSL_CITATION {"citationID":"an3i1tp2ne","properties":{"formattedCitation":"[6]","plainCitation":"[6]"},"citationItems":[{"id":23,"uris":["http://zotero.org/users/local/9EyN3M13/items/FNLILMU4"],"uri":["http://zotero.org/users/local/9EyN3M13/items/FNLILMU4"],"itemData":{"id":23,"type":"article-journal","title":"The enduring hypoxic response of Mycobacterium tuberculosis","container-title":"PloS One","page":"e1502","volume":"3","issue":"1","source":"PubMed","abstract":"BACKGROUND: A significant body of evidence accumulated over the last century suggests a link between hypoxic microenvironments within the infected host and the latent phase of tuberculosis. Studies to test this correlation have identified the M. tuberculosis initial hypoxic response, controlled by the two-component response regulator DosR. The initial hypoxic response is completely blocked in a dosR deletion mutant.\nMETHODOLOGY/PRINCIPAL FINDINGS: We show here that a dosR deletion mutant enters bacteriostasis in response to in vitro hypoxia with only a relatively mild decrease in viability. In the murine infection model, the phenotype of the mutant was indistinguishable from that of the parent strain. These results suggested that additional genes may be essential for entry into and maintenance of bacteriostasis. Detailed microarray analysis of oxygen starved cultures revealed that DosR regulon induction is transient, with induction of nearly half the genes returning to baseline within 24 hours. In addition, a larger, sustained wave of gene expression follows the DosR-mediated initial hypoxic response. This Enduring Hypoxic Response (EHR) consists of 230 genes significantly induced at four and seven days of hypoxia but not at initial time points. These genes include a surprising number of transcriptional regulators that could control the program of bacteriostasis. We found that the EHR is independent of the DosR-mediated initial hypoxic response, as EHR expression is virtually unaltered in the dosR mutant.\nCONCLUSIONS/SIGNIFICANCE: Our results suggest a reassessment of the role of DosR and the initial hypoxic response in MTB physiology. Instead of a primary role in survival of hypoxia induced bacteriostasis, DosR may regulate a response that is largely optional in vitro and in mouse infections. Analysis of the EHR should help elucidate the key regulatory factors and enzymatic machinery exploited by M. tuberculosis for long-term bacteriostasis in the face of oxygen deprivation.","DOI":"10.1371/journal.pone.0001502","ISSN":"1932-6203","note":"PMID: 18231589\nPMCID: PMC2198943","journalAbbreviation":"PLoS ONE","language":"eng","author":[{"family":"Rustad","given":"Tige R."},{"family":"Harrell","given":"Maria I."},{"family":"Liao","given":"Reiling"},{"family":"Sherman","given":"David R."}],"issued":{"date-parts":[["2008",1,30]]}}}],"schema":"https://github.com/citation-style-language/schema/raw/master/csl-citation.json"} </w:instrText>
      </w:r>
      <w:r w:rsidR="004969C1">
        <w:rPr>
          <w:rFonts w:ascii="Times New Roman" w:hAnsi="Times New Roman" w:cs="Times New Roman"/>
          <w:color w:val="000000"/>
          <w:sz w:val="24"/>
          <w:szCs w:val="24"/>
        </w:rPr>
        <w:fldChar w:fldCharType="separate"/>
      </w:r>
      <w:r w:rsidR="00F062EC" w:rsidRPr="00F062EC">
        <w:rPr>
          <w:rFonts w:ascii="Times New Roman" w:hAnsi="Times New Roman" w:cs="Times New Roman"/>
          <w:sz w:val="24"/>
        </w:rPr>
        <w:t>[6]</w:t>
      </w:r>
      <w:r w:rsidR="004969C1">
        <w:rPr>
          <w:rFonts w:ascii="Times New Roman" w:hAnsi="Times New Roman" w:cs="Times New Roman"/>
          <w:color w:val="000000"/>
          <w:sz w:val="24"/>
          <w:szCs w:val="24"/>
        </w:rPr>
        <w:fldChar w:fldCharType="end"/>
      </w:r>
      <w:r w:rsidRPr="00667A0D">
        <w:rPr>
          <w:rFonts w:ascii="Times New Roman" w:hAnsi="Times New Roman" w:cs="Times New Roman"/>
          <w:color w:val="000000"/>
          <w:sz w:val="24"/>
          <w:szCs w:val="24"/>
        </w:rPr>
        <w:t xml:space="preserve">. </w:t>
      </w:r>
      <w:r w:rsidRPr="00667A0D">
        <w:rPr>
          <w:rFonts w:ascii="Times New Roman" w:hAnsi="Times New Roman" w:cs="Times New Roman"/>
          <w:sz w:val="24"/>
          <w:szCs w:val="24"/>
        </w:rPr>
        <w:t xml:space="preserve">While </w:t>
      </w:r>
      <w:r w:rsidRPr="00667A0D">
        <w:rPr>
          <w:rFonts w:ascii="Times New Roman" w:hAnsi="Times New Roman" w:cs="Times New Roman"/>
          <w:sz w:val="24"/>
          <w:szCs w:val="24"/>
        </w:rPr>
        <w:lastRenderedPageBreak/>
        <w:t xml:space="preserve">simulating the model, the initial values of the variables were assigned according to the scaled expression at the first time point (i.e. 4 hours) </w:t>
      </w:r>
      <w:r w:rsidRPr="00F92DA7">
        <w:rPr>
          <w:rFonts w:ascii="Times New Roman" w:hAnsi="Times New Roman" w:cs="Times New Roman"/>
          <w:sz w:val="24"/>
          <w:szCs w:val="24"/>
        </w:rPr>
        <w:t>(</w:t>
      </w:r>
      <w:r w:rsidR="003A3B94" w:rsidRPr="00F92DA7">
        <w:rPr>
          <w:rFonts w:ascii="Times New Roman" w:hAnsi="Times New Roman" w:cs="Times New Roman"/>
          <w:sz w:val="24"/>
          <w:szCs w:val="24"/>
        </w:rPr>
        <w:t>Table S6.1</w:t>
      </w:r>
      <w:r w:rsidRPr="00F92DA7">
        <w:rPr>
          <w:rFonts w:ascii="Times New Roman" w:hAnsi="Times New Roman" w:cs="Times New Roman"/>
          <w:sz w:val="24"/>
          <w:szCs w:val="24"/>
        </w:rPr>
        <w:t>).</w:t>
      </w:r>
    </w:p>
    <w:p w:rsidR="00667A0D" w:rsidRPr="00667A0D" w:rsidRDefault="00667A0D" w:rsidP="00667A0D">
      <w:pPr>
        <w:spacing w:line="360" w:lineRule="auto"/>
        <w:jc w:val="both"/>
        <w:rPr>
          <w:rFonts w:ascii="Times New Roman" w:hAnsi="Times New Roman" w:cs="Times New Roman"/>
          <w:color w:val="000000"/>
          <w:sz w:val="24"/>
          <w:szCs w:val="24"/>
        </w:rPr>
      </w:pPr>
    </w:p>
    <w:p w:rsidR="00667A0D" w:rsidRPr="00667A0D" w:rsidRDefault="00667A0D" w:rsidP="00667A0D">
      <w:pPr>
        <w:widowControl w:val="0"/>
        <w:numPr>
          <w:ilvl w:val="0"/>
          <w:numId w:val="1"/>
        </w:numPr>
        <w:suppressAutoHyphens/>
        <w:spacing w:line="360" w:lineRule="auto"/>
        <w:ind w:left="0" w:firstLine="0"/>
        <w:jc w:val="both"/>
        <w:rPr>
          <w:rFonts w:ascii="Times New Roman" w:hAnsi="Times New Roman" w:cs="Times New Roman"/>
          <w:b/>
          <w:bCs/>
          <w:color w:val="000000"/>
          <w:sz w:val="24"/>
          <w:szCs w:val="24"/>
        </w:rPr>
      </w:pPr>
      <w:r w:rsidRPr="00667A0D">
        <w:rPr>
          <w:rFonts w:ascii="Times New Roman" w:hAnsi="Times New Roman" w:cs="Times New Roman"/>
          <w:b/>
          <w:bCs/>
          <w:color w:val="000000"/>
          <w:sz w:val="24"/>
          <w:szCs w:val="24"/>
        </w:rPr>
        <w:t xml:space="preserve">Construction and Boolean </w:t>
      </w:r>
      <w:proofErr w:type="spellStart"/>
      <w:r w:rsidRPr="00667A0D">
        <w:rPr>
          <w:rFonts w:ascii="Times New Roman" w:hAnsi="Times New Roman" w:cs="Times New Roman"/>
          <w:b/>
          <w:bCs/>
          <w:color w:val="000000"/>
          <w:sz w:val="24"/>
          <w:szCs w:val="24"/>
        </w:rPr>
        <w:t>modelling</w:t>
      </w:r>
      <w:proofErr w:type="spellEnd"/>
      <w:r w:rsidRPr="00667A0D">
        <w:rPr>
          <w:rFonts w:ascii="Times New Roman" w:hAnsi="Times New Roman" w:cs="Times New Roman"/>
          <w:b/>
          <w:bCs/>
          <w:color w:val="000000"/>
          <w:sz w:val="24"/>
          <w:szCs w:val="24"/>
        </w:rPr>
        <w:t xml:space="preserve"> of the transcription factor (TF)-gene  interaction network in </w:t>
      </w:r>
      <w:r w:rsidRPr="00667A0D">
        <w:rPr>
          <w:rFonts w:ascii="Times New Roman" w:hAnsi="Times New Roman" w:cs="Times New Roman"/>
          <w:b/>
          <w:bCs/>
          <w:i/>
          <w:color w:val="000000"/>
          <w:sz w:val="24"/>
          <w:szCs w:val="24"/>
        </w:rPr>
        <w:t>M. tuberculosis</w:t>
      </w:r>
      <w:r w:rsidRPr="00667A0D">
        <w:rPr>
          <w:rFonts w:ascii="Times New Roman" w:hAnsi="Times New Roman" w:cs="Times New Roman"/>
          <w:b/>
          <w:bCs/>
          <w:color w:val="000000"/>
          <w:sz w:val="24"/>
          <w:szCs w:val="24"/>
        </w:rPr>
        <w:t xml:space="preserve"> H37Rv (Mtb)</w:t>
      </w:r>
    </w:p>
    <w:p w:rsidR="007D0A2A" w:rsidRDefault="00667A0D" w:rsidP="00667A0D">
      <w:pPr>
        <w:spacing w:line="360" w:lineRule="auto"/>
        <w:jc w:val="both"/>
        <w:rPr>
          <w:rFonts w:ascii="Times New Roman" w:hAnsi="Times New Roman" w:cs="Times New Roman"/>
          <w:sz w:val="24"/>
          <w:szCs w:val="24"/>
        </w:rPr>
      </w:pPr>
      <w:r w:rsidRPr="00667A0D">
        <w:rPr>
          <w:rFonts w:ascii="Times New Roman" w:hAnsi="Times New Roman" w:cs="Times New Roman"/>
          <w:sz w:val="24"/>
          <w:szCs w:val="24"/>
        </w:rPr>
        <w:t>The ‘target’ genes (referred here as the ‘downstream’ genes) which are regulated by each of the 24 transcription factors in the TF network were identified based on the TF-gene pai</w:t>
      </w:r>
      <w:r w:rsidR="00224211">
        <w:rPr>
          <w:rFonts w:ascii="Times New Roman" w:hAnsi="Times New Roman" w:cs="Times New Roman"/>
          <w:sz w:val="24"/>
          <w:szCs w:val="24"/>
        </w:rPr>
        <w:t>rs collated from literature</w:t>
      </w:r>
      <w:r w:rsidRPr="00667A0D">
        <w:rPr>
          <w:rFonts w:ascii="Times New Roman" w:hAnsi="Times New Roman" w:cs="Times New Roman"/>
          <w:sz w:val="24"/>
          <w:szCs w:val="24"/>
        </w:rPr>
        <w:t xml:space="preserve"> </w:t>
      </w:r>
      <w:r w:rsidRPr="00F92DA7">
        <w:rPr>
          <w:rFonts w:ascii="Times New Roman" w:hAnsi="Times New Roman" w:cs="Times New Roman"/>
          <w:sz w:val="24"/>
          <w:szCs w:val="24"/>
        </w:rPr>
        <w:t>(</w:t>
      </w:r>
      <w:r w:rsidR="00365FC8" w:rsidRPr="00365FC8">
        <w:rPr>
          <w:rFonts w:ascii="Times New Roman" w:hAnsi="Times New Roman" w:cs="Times New Roman"/>
          <w:sz w:val="24"/>
          <w:szCs w:val="24"/>
        </w:rPr>
        <w:t>Additional File</w:t>
      </w:r>
      <w:r w:rsidR="00365FC8">
        <w:rPr>
          <w:rFonts w:ascii="Times New Roman" w:hAnsi="Times New Roman" w:cs="Times New Roman"/>
          <w:sz w:val="24"/>
          <w:szCs w:val="24"/>
        </w:rPr>
        <w:t xml:space="preserve"> </w:t>
      </w:r>
      <w:r w:rsidR="00224211" w:rsidRPr="00F92DA7">
        <w:rPr>
          <w:rFonts w:ascii="Times New Roman" w:hAnsi="Times New Roman" w:cs="Times New Roman"/>
          <w:sz w:val="24"/>
          <w:szCs w:val="24"/>
        </w:rPr>
        <w:t>7</w:t>
      </w:r>
      <w:r w:rsidRPr="00F92DA7">
        <w:rPr>
          <w:rFonts w:ascii="Times New Roman" w:hAnsi="Times New Roman" w:cs="Times New Roman"/>
          <w:sz w:val="24"/>
          <w:szCs w:val="24"/>
        </w:rPr>
        <w:t>).</w:t>
      </w:r>
      <w:r w:rsidRPr="00667A0D">
        <w:rPr>
          <w:rFonts w:ascii="Times New Roman" w:hAnsi="Times New Roman" w:cs="Times New Roman"/>
          <w:sz w:val="24"/>
          <w:szCs w:val="24"/>
        </w:rPr>
        <w:t xml:space="preserve"> Thus, an extended gene regulatory network (GRN) was constructed. This GRN was explored using a Boolean model in </w:t>
      </w:r>
      <w:proofErr w:type="spellStart"/>
      <w:r w:rsidRPr="00667A0D">
        <w:rPr>
          <w:rFonts w:ascii="Times New Roman" w:hAnsi="Times New Roman" w:cs="Times New Roman"/>
          <w:sz w:val="24"/>
          <w:szCs w:val="24"/>
        </w:rPr>
        <w:t>GINsim</w:t>
      </w:r>
      <w:proofErr w:type="spellEnd"/>
      <w:r w:rsidRPr="00667A0D">
        <w:rPr>
          <w:rFonts w:ascii="Times New Roman" w:hAnsi="Times New Roman" w:cs="Times New Roman"/>
          <w:sz w:val="24"/>
          <w:szCs w:val="24"/>
        </w:rPr>
        <w:t xml:space="preserve">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233u0cc7t6","properties":{"formattedCitation":"[16]","plainCitation":"[16]"},"citationItems":[{"id":195,"uris":["http://zotero.org/users/local/9EyN3M13/items/C6TFUD6Z"],"uri":["http://zotero.org/users/local/9EyN3M13/items/C6TFUD6Z"],"itemData":{"id":195,"type":"article-journal","title":"GINsim: a software suite for the qualitative modelling, simulation and analysis of regulatory networks","container-title":"Bio Systems","page":"91-100","volume":"84","issue":"2","source":"PubMed","abstract":"This paper presents GINsim, a Java software suite devoted to the qualitative modelling, analysis and simulation of genetic regulatory networks. Formally, our approach leans on discrete mathematical and graph-theoretical concepts. GINsim encompasses an intuitive graph editor, enabling the definition and the parameterisation of a regulatory graph, as well as a simulation engine to compute the corresponding qualitative dynamical behaviour. Our computational approach is illustrated by a preliminary model analysis of the inter-cellular regulatory network activating Notch at the dorsal-ventral boundary in the wing imaginal disc of Drosophila. We focus on the cross-regulations between five genes (within and between two cells), which implements the dorsal-ventral border in the developing imaginal disc. Our simulations qualitatively reproduce the wild-type developmental pathway, as well as the outcome of various types of experimental perturbations, such as loss-of-function mutations or ectopically induced gene expression.","DOI":"10.1016/j.biosystems.2005.10.003","ISSN":"0303-2647","note":"PMID: 16434137","shortTitle":"GINsim","journalAbbreviation":"BioSystems","language":"eng","author":[{"family":"Gonzalez","given":"A. Gonzalez"},{"family":"Naldi","given":"A."},{"family":"Sánchez","given":"L."},{"family":"Thieffry","given":"D."},{"family":"Chaouiya","given":"C."}],"issued":{"date-parts":[["2006",5]]}}}],"schema":"https://github.com/citation-style-language/schema/raw/master/csl-citation.json"}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rPr>
        <w:t>[16]</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xml:space="preserve">. Given the scarcity of experimental data, the regulation of the downstream genes was modeled following a binary framework, wherein, each node of the network was assigned a value of either ‘one’ or ‘zero’ representing ‘ON’ and ‘OFF’ states respectively. Also, values for basal and maximum expression levels of every node were kept as ‘zero’ and ‘one’ respectively. The logical rule for activation of each node was formulated based on the regulatory effects on the particular node. The logical rule for activation of a node ‘X’ having two positive regulators ‘R1’ and ‘R2’ was written as either ‘R1 AND R2’ or ‘R1 OR R2’, as mentioned in previous literatures </w:t>
      </w:r>
      <w:r w:rsidR="004969C1">
        <w:rPr>
          <w:rFonts w:ascii="Times New Roman" w:hAnsi="Times New Roman" w:cs="Times New Roman"/>
          <w:sz w:val="24"/>
          <w:szCs w:val="24"/>
        </w:rPr>
        <w:fldChar w:fldCharType="begin"/>
      </w:r>
      <w:r w:rsidR="00F062EC">
        <w:rPr>
          <w:rFonts w:ascii="Times New Roman" w:hAnsi="Times New Roman" w:cs="Times New Roman"/>
          <w:sz w:val="24"/>
          <w:szCs w:val="24"/>
        </w:rPr>
        <w:instrText xml:space="preserve"> ADDIN ZOTERO_ITEM CSL_CITATION {"citationID":"aa27sm8d4t","properties":{"formattedCitation":"[17,18]","plainCitation":"[17,18]"},"citationItems":[{"id":435,"uris":["http://zotero.org/users/local/9EyN3M13/items/QH8M3HF2"],"uri":["http://zotero.org/users/local/9EyN3M13/items/QH8M3HF2"],"itemData":{"id":435,"type":"article-journal","title":"Understanding the sequential activation of Type III and Type VI Secretion Systems in Salmonella typhimurium using Boolean modeling","container-title":"Gut Pathogens","page":"28","volume":"5","issue":"1","source":"PubMed","abstract":"BACKGROUND: Three pathogenicity islands, viz. SPI-1 (Salmonella pathogenicity island 1), SPI-2 (Salmonella pathogenicity island 2) and T6SS (Type VI Secretion System), present in the genome of Salmonella typhimurium have been implicated in the virulence of the pathogen. While the regulation of SPI-1 and SPI-2 (both encoding components of the Type III Secretion System - T3SS) are well understood, T6SS regulation is comparatively less studied. Interestingly, inter-connections among the regulatory elements of these three virulence determinants have also been suggested to be essential for successful infection. However, till date, an integrated view of gene regulation involving the regulators of these three secretion systems and their cross-talk is not available.\nRESULTS: In the current study, relevant regulatory information available from literature have been integrated into a single Boolean network, which portrays the dynamics of T3SS (SPI-1 and SPI-2) and T6SS mediated virulence. Some additional regulatory interactions involving a two-component system response regulator YfhA have also been predicted and included in the Boolean network. These predictions are aimed at deciphering the effects of osmolarity on T6SS regulation, an aspect that has been suggested in earlier studies, but the mechanism of which was hitherto unknown. Simulation of the regulatory network was able to recreate in silico the experimentally observed sequential activation of SPI-1, SPI-2 and T6SS.\nCONCLUSIONS: The present study integrates relevant gene regulatory data (from literature and our prediction) into a single network, representing the cross-communication between T3SS (SPI-1 and SPI-2) and T6SS. This holistic view of regulatory interactions is expected to improve the current understanding of pathogenesis of S. typhimurium.","DOI":"10.1186/1757-4749-5-28","note":"PMID: 24079299\nPMCID: PMC3849742","journalAbbreviation":"Gut Pathog","language":"eng","author":[{"family":"Das","given":"Chandrani"},{"family":"Dutta","given":"Anirban"},{"family":"Rajasingh","given":"Hannah"},{"family":"Mande","given":"Sharmila S."}],"issued":{"date-parts":[["2013",9,30]]}}},{"id":25,"uris":["http://zotero.org/users/local/9EyN3M13/items/DYBU6B9M"],"uri":["http://zotero.org/users/local/9EyN3M13/items/DYBU6B9M"],"itemData":{"id":25,"type":"article-journal","title":"Understanding Communication Signals during Mycobacterial Latency through Predicted Genome-Wide Protein Interactions and Boolean Modeling","container-title":"PLOS ONE","page":"e33893","volume":"7","issue":"3","source":"PLoS Journals","abstract":"About 90% of the people infected with Mycobacterium tuberculosis carry latent bacteria that are believed to get activated upon immune suppression. One of the fundamental challenges in the control of tuberculosis is therefore to understand molecular mechanisms involved in the onset of latency and/or reactivation. We have attempted to address this problem at the systems level by a combination of predicted functional protein</w:instrText>
      </w:r>
      <w:r w:rsidR="00F062EC">
        <w:rPr>
          <w:rFonts w:ascii="Cambria Math" w:hAnsi="Cambria Math" w:cs="Cambria Math"/>
          <w:sz w:val="24"/>
          <w:szCs w:val="24"/>
        </w:rPr>
        <w:instrText>∶</w:instrText>
      </w:r>
      <w:r w:rsidR="00F062EC">
        <w:rPr>
          <w:rFonts w:ascii="Times New Roman" w:hAnsi="Times New Roman" w:cs="Times New Roman"/>
          <w:sz w:val="24"/>
          <w:szCs w:val="24"/>
        </w:rPr>
        <w:instrText xml:space="preserve">protein interactions, integration of functional interactions with large scale gene expression studies, predicted transcription regulatory network and finally simulations with a Boolean model of the network. Initially a prediction for genome-wide protein functional linkages was obtained based on genome-context methods using a Support Vector Machine. This set of protein functional linkages along with gene expression data of the available models of latency was employed to identify proteins involved in mediating switch signals during dormancy. We show that genes that are up and down regulated during dormancy are not only coordinately regulated under dormancy-like conditions but also under a variety of other experimental conditions. Their synchronized regulation indicates that they form a tightly regulated gene cluster and might form a latency-regulon. Conservation of these genes across bacterial species suggests a unique evolutionary history that might be associated with M. tuberculosis dormancy. Finally, simulations with a Boolean model based on the regulatory network with logical relationships derived from gene expression data reveals a bistable switch suggesting alternating latent and actively growing states. Our analysis based on the interaction network therefore reveals a potential model of M. tuberculosis latency.","DOI":"10.1371/journal.pone.0033893","ISSN":"1932-6203","journalAbbreviation":"PLOS ONE","author":[{"family":"Hegde","given":"Shubhada R."},{"family":"Rajasingh","given":"Hannah"},{"family":"Das","given":"Chandrani"},{"family":"Mande","given":"Sharmila S."},{"family":"Mande","given":"Shekhar C."}],"issued":{"date-parts":[["2012",3,20]]}}}],"schema":"https://github.com/citation-style-language/schema/raw/master/csl-citation.json"} </w:instrText>
      </w:r>
      <w:r w:rsidR="004969C1">
        <w:rPr>
          <w:rFonts w:ascii="Times New Roman" w:hAnsi="Times New Roman" w:cs="Times New Roman"/>
          <w:sz w:val="24"/>
          <w:szCs w:val="24"/>
        </w:rPr>
        <w:fldChar w:fldCharType="separate"/>
      </w:r>
      <w:r w:rsidR="00F062EC" w:rsidRPr="00F062EC">
        <w:rPr>
          <w:rFonts w:ascii="Times New Roman" w:hAnsi="Times New Roman" w:cs="Times New Roman"/>
          <w:sz w:val="24"/>
        </w:rPr>
        <w:t>[17,18]</w:t>
      </w:r>
      <w:r w:rsidR="004969C1">
        <w:rPr>
          <w:rFonts w:ascii="Times New Roman" w:hAnsi="Times New Roman" w:cs="Times New Roman"/>
          <w:sz w:val="24"/>
          <w:szCs w:val="24"/>
        </w:rPr>
        <w:fldChar w:fldCharType="end"/>
      </w:r>
      <w:r w:rsidRPr="00667A0D">
        <w:rPr>
          <w:rFonts w:ascii="Times New Roman" w:hAnsi="Times New Roman" w:cs="Times New Roman"/>
          <w:sz w:val="24"/>
          <w:szCs w:val="24"/>
        </w:rPr>
        <w:t xml:space="preserve">. An ‘AND’ operator was used when R1 and R2 were observed to have positive interaction and an ‘OR’ operator was used otherwise. Simulation of the model was performed mimicking wild type as well as deletion mutants pertaining to each of the 24 TFs. The </w:t>
      </w:r>
      <w:r w:rsidRPr="00667A0D">
        <w:rPr>
          <w:rFonts w:ascii="Times New Roman" w:hAnsi="Times New Roman" w:cs="Times New Roman"/>
          <w:i/>
          <w:sz w:val="24"/>
          <w:szCs w:val="24"/>
        </w:rPr>
        <w:t>in silico</w:t>
      </w:r>
      <w:r w:rsidRPr="00667A0D">
        <w:rPr>
          <w:rFonts w:ascii="Times New Roman" w:hAnsi="Times New Roman" w:cs="Times New Roman"/>
          <w:sz w:val="24"/>
          <w:szCs w:val="24"/>
        </w:rPr>
        <w:t xml:space="preserve"> deletion mutants were simulated by keeping value of the corresponding TF as ‘zero’ throughout the simulation. For each case, first, the multi-level model of the TF network was simulated and steady state values corresponding to the 24 TFs were obtained (as discussed earlier). These steady state values were used to initialize the TFs for subsequent simulation of the (binary) Boolean model pertaining to the extended GRN. While simulating this model, the initial values of the downstream genes were set to ‘zero’. From each simulation, the list of active target genes (ON state) at steady state was obtained for further pathway enrichment (GO enrichment) analysis.</w:t>
      </w:r>
    </w:p>
    <w:p w:rsidR="0003032D" w:rsidRDefault="0003032D" w:rsidP="00667A0D">
      <w:pPr>
        <w:spacing w:line="360" w:lineRule="auto"/>
        <w:jc w:val="both"/>
        <w:rPr>
          <w:rFonts w:ascii="Times New Roman" w:hAnsi="Times New Roman" w:cs="Times New Roman"/>
          <w:sz w:val="24"/>
          <w:szCs w:val="24"/>
        </w:rPr>
      </w:pPr>
    </w:p>
    <w:p w:rsidR="0003032D" w:rsidRPr="0003032D" w:rsidRDefault="0003032D" w:rsidP="0003032D">
      <w:pPr>
        <w:spacing w:line="360" w:lineRule="auto"/>
        <w:jc w:val="both"/>
        <w:rPr>
          <w:rFonts w:ascii="Times New Roman" w:hAnsi="Times New Roman" w:cs="Times New Roman"/>
          <w:b/>
          <w:bCs/>
          <w:color w:val="000000"/>
          <w:sz w:val="24"/>
          <w:szCs w:val="24"/>
        </w:rPr>
      </w:pPr>
      <w:r w:rsidRPr="0003032D">
        <w:rPr>
          <w:rFonts w:ascii="Times New Roman" w:hAnsi="Times New Roman" w:cs="Times New Roman"/>
          <w:b/>
          <w:bCs/>
          <w:color w:val="000000"/>
          <w:sz w:val="24"/>
          <w:szCs w:val="24"/>
        </w:rPr>
        <w:t>Gene Ontology (GO) Enrichment Analysis</w:t>
      </w:r>
    </w:p>
    <w:p w:rsidR="0003032D" w:rsidRPr="0003032D" w:rsidRDefault="0003032D" w:rsidP="0003032D">
      <w:pPr>
        <w:spacing w:line="360" w:lineRule="auto"/>
        <w:jc w:val="both"/>
        <w:rPr>
          <w:rFonts w:ascii="Times New Roman" w:eastAsia="Liberation Sans" w:hAnsi="Times New Roman" w:cs="Times New Roman"/>
          <w:color w:val="000000"/>
          <w:sz w:val="24"/>
          <w:szCs w:val="24"/>
        </w:rPr>
      </w:pPr>
      <w:r w:rsidRPr="0003032D">
        <w:rPr>
          <w:rFonts w:ascii="Times New Roman" w:eastAsia="Liberation Sans" w:hAnsi="Times New Roman" w:cs="Times New Roman"/>
          <w:color w:val="000000"/>
          <w:sz w:val="24"/>
          <w:szCs w:val="24"/>
        </w:rPr>
        <w:t xml:space="preserve">Since a comprehensive list of GO annotations for Mtb proteins was not available from public repositories (or literature), a sequence homology based mapping between Mtb proteins and all bacterial entries having GO annotations from the </w:t>
      </w:r>
      <w:proofErr w:type="spellStart"/>
      <w:r w:rsidRPr="0003032D">
        <w:rPr>
          <w:rFonts w:ascii="Times New Roman" w:eastAsia="Liberation Sans" w:hAnsi="Times New Roman" w:cs="Times New Roman"/>
          <w:color w:val="000000"/>
          <w:sz w:val="24"/>
          <w:szCs w:val="24"/>
        </w:rPr>
        <w:t>Uniprot</w:t>
      </w:r>
      <w:proofErr w:type="spellEnd"/>
      <w:r w:rsidRPr="0003032D">
        <w:rPr>
          <w:rFonts w:ascii="Times New Roman" w:eastAsia="Liberation Sans" w:hAnsi="Times New Roman" w:cs="Times New Roman"/>
          <w:color w:val="000000"/>
          <w:sz w:val="24"/>
          <w:szCs w:val="24"/>
        </w:rPr>
        <w:t xml:space="preserve"> database (</w:t>
      </w:r>
      <w:hyperlink r:id="rId6">
        <w:r w:rsidRPr="0003032D">
          <w:rPr>
            <w:rStyle w:val="InternetLink"/>
            <w:rFonts w:ascii="Times New Roman" w:eastAsia="Liberation Sans" w:hAnsi="Times New Roman" w:cs="Times New Roman"/>
            <w:sz w:val="24"/>
            <w:szCs w:val="24"/>
          </w:rPr>
          <w:t>www.uniprot.org/</w:t>
        </w:r>
      </w:hyperlink>
      <w:r w:rsidRPr="0003032D">
        <w:rPr>
          <w:rFonts w:ascii="Times New Roman" w:eastAsia="Liberation Sans" w:hAnsi="Times New Roman" w:cs="Times New Roman"/>
          <w:color w:val="000000"/>
          <w:sz w:val="24"/>
          <w:szCs w:val="24"/>
        </w:rPr>
        <w:t xml:space="preserve">) was </w:t>
      </w:r>
      <w:r w:rsidRPr="0003032D">
        <w:rPr>
          <w:rFonts w:ascii="Times New Roman" w:eastAsia="Liberation Sans" w:hAnsi="Times New Roman" w:cs="Times New Roman"/>
          <w:color w:val="000000"/>
          <w:sz w:val="24"/>
          <w:szCs w:val="24"/>
        </w:rPr>
        <w:lastRenderedPageBreak/>
        <w:t xml:space="preserve">performed using </w:t>
      </w:r>
      <w:proofErr w:type="spellStart"/>
      <w:r w:rsidRPr="0003032D">
        <w:rPr>
          <w:rFonts w:ascii="Times New Roman" w:eastAsia="Tahoma" w:hAnsi="Times New Roman" w:cs="Times New Roman"/>
          <w:color w:val="000000"/>
          <w:sz w:val="24"/>
          <w:szCs w:val="24"/>
        </w:rPr>
        <w:t>Blastp</w:t>
      </w:r>
      <w:proofErr w:type="spellEnd"/>
      <w:r w:rsidRPr="0003032D">
        <w:rPr>
          <w:rFonts w:ascii="Times New Roman" w:eastAsia="Tahoma" w:hAnsi="Times New Roman" w:cs="Times New Roman"/>
          <w:color w:val="000000"/>
          <w:sz w:val="24"/>
          <w:szCs w:val="24"/>
        </w:rPr>
        <w:t>. The sequence homology search was done using highly stringent filtering criteria: e</w:t>
      </w:r>
      <w:r w:rsidRPr="0003032D">
        <w:rPr>
          <w:rFonts w:ascii="Times New Roman" w:eastAsia="Liberation Sans" w:hAnsi="Times New Roman" w:cs="Times New Roman"/>
          <w:color w:val="000000"/>
          <w:sz w:val="24"/>
          <w:szCs w:val="24"/>
        </w:rPr>
        <w:t>-value cut-off: 0.00001, coverage cut-off: 90% and identity cut-off: 90%)</w:t>
      </w:r>
      <w:r w:rsidRPr="0003032D">
        <w:rPr>
          <w:rFonts w:ascii="Times New Roman" w:eastAsia="Tahoma" w:hAnsi="Times New Roman" w:cs="Times New Roman"/>
          <w:color w:val="000000"/>
          <w:sz w:val="24"/>
          <w:szCs w:val="24"/>
        </w:rPr>
        <w:t xml:space="preserve">. The GO terms associated to the best-hits from </w:t>
      </w:r>
      <w:proofErr w:type="spellStart"/>
      <w:r w:rsidRPr="0003032D">
        <w:rPr>
          <w:rFonts w:ascii="Times New Roman" w:eastAsia="Tahoma" w:hAnsi="Times New Roman" w:cs="Times New Roman"/>
          <w:color w:val="000000"/>
          <w:sz w:val="24"/>
          <w:szCs w:val="24"/>
        </w:rPr>
        <w:t>Uniprot</w:t>
      </w:r>
      <w:proofErr w:type="spellEnd"/>
      <w:r w:rsidRPr="0003032D">
        <w:rPr>
          <w:rFonts w:ascii="Times New Roman" w:eastAsia="Tahoma" w:hAnsi="Times New Roman" w:cs="Times New Roman"/>
          <w:color w:val="000000"/>
          <w:sz w:val="24"/>
          <w:szCs w:val="24"/>
        </w:rPr>
        <w:t xml:space="preserve"> database was used to annotate the query Mtb proteins. The hierarchy information obtained from the </w:t>
      </w:r>
      <w:r w:rsidRPr="0003032D">
        <w:rPr>
          <w:rFonts w:ascii="Times New Roman" w:eastAsia="Liberation Sans" w:hAnsi="Times New Roman" w:cs="Times New Roman"/>
          <w:color w:val="000000"/>
          <w:sz w:val="24"/>
          <w:szCs w:val="24"/>
        </w:rPr>
        <w:t xml:space="preserve">GO (Gene Ontology) Consortium database </w:t>
      </w:r>
      <w:r w:rsidR="004969C1">
        <w:rPr>
          <w:rFonts w:ascii="Times New Roman" w:eastAsia="Liberation Sans" w:hAnsi="Times New Roman" w:cs="Times New Roman"/>
          <w:color w:val="000000"/>
          <w:sz w:val="24"/>
          <w:szCs w:val="24"/>
        </w:rPr>
        <w:fldChar w:fldCharType="begin"/>
      </w:r>
      <w:r w:rsidR="00F062EC">
        <w:rPr>
          <w:rFonts w:ascii="Times New Roman" w:eastAsia="Liberation Sans" w:hAnsi="Times New Roman" w:cs="Times New Roman"/>
          <w:color w:val="000000"/>
          <w:sz w:val="24"/>
          <w:szCs w:val="24"/>
        </w:rPr>
        <w:instrText xml:space="preserve"> ADDIN ZOTERO_ITEM CSL_CITATION {"citationID":"a152s3q6c4k","properties":{"formattedCitation":"[9]","plainCitation":"[9]"},"citationItems":[{"id":179,"uris":["http://zotero.org/users/local/9EyN3M13/items/3BQXZSDT"],"uri":["http://zotero.org/users/local/9EyN3M13/items/3BQXZSDT"],"itemData":{"id":179,"type":"article-journal","title":"Gene ontology: tool for the unification of biology. The Gene Ontology Consortium","container-title":"Nature Genetics","page":"25-29","volume":"25","issue":"1","source":"PubMed","DOI":"10.1038/75556","ISSN":"1061-4036","note":"PMID: 10802651\nPMCID: PMC3037419","shortTitle":"Gene ontology","journalAbbreviation":"Nat. Genet.","language":"eng","author":[{"family":"Ashburner","given":"M."},{"family":"Ball","given":"C. A."},{"family":"Blake","given":"J. A."},{"family":"Botstein","given":"D."},{"family":"Butler","given":"H."},{"family":"Cherry","given":"J. M."},{"family":"Davis","given":"A. P."},{"family":"Dolinski","given":"K."},{"family":"Dwight","given":"S. S."},{"family":"Eppig","given":"J. T."},{"family":"Harris","given":"M. A."},{"family":"Hill","given":"D. P."},{"family":"Issel-Tarver","given":"L."},{"family":"Kasarskis","given":"A."},{"family":"Lewis","given":"S."},{"family":"Matese","given":"J. C."},{"family":"Richardson","given":"J. E."},{"family":"Ringwald","given":"M."},{"family":"Rubin","given":"G. M."},{"family":"Sherlock","given":"G."}],"issued":{"date-parts":[["2000",5]]}}}],"schema":"https://github.com/citation-style-language/schema/raw/master/csl-citation.json"} </w:instrText>
      </w:r>
      <w:r w:rsidR="004969C1">
        <w:rPr>
          <w:rFonts w:ascii="Times New Roman" w:eastAsia="Liberation Sans" w:hAnsi="Times New Roman" w:cs="Times New Roman"/>
          <w:color w:val="000000"/>
          <w:sz w:val="24"/>
          <w:szCs w:val="24"/>
        </w:rPr>
        <w:fldChar w:fldCharType="separate"/>
      </w:r>
      <w:r w:rsidR="00F062EC" w:rsidRPr="00F062EC">
        <w:rPr>
          <w:rFonts w:ascii="Times New Roman" w:hAnsi="Times New Roman" w:cs="Times New Roman"/>
          <w:sz w:val="24"/>
        </w:rPr>
        <w:t>[9]</w:t>
      </w:r>
      <w:r w:rsidR="004969C1">
        <w:rPr>
          <w:rFonts w:ascii="Times New Roman" w:eastAsia="Liberation Sans" w:hAnsi="Times New Roman" w:cs="Times New Roman"/>
          <w:color w:val="000000"/>
          <w:sz w:val="24"/>
          <w:szCs w:val="24"/>
        </w:rPr>
        <w:fldChar w:fldCharType="end"/>
      </w:r>
      <w:r w:rsidRPr="0003032D">
        <w:rPr>
          <w:rFonts w:ascii="Times New Roman" w:eastAsia="Liberation Sans" w:hAnsi="Times New Roman" w:cs="Times New Roman"/>
          <w:color w:val="000000"/>
          <w:sz w:val="24"/>
          <w:szCs w:val="24"/>
        </w:rPr>
        <w:t xml:space="preserve"> was subsequently utilized to construct the GO hierarchy tree(s) for the annotated Mtb</w:t>
      </w:r>
      <w:r w:rsidRPr="0003032D">
        <w:rPr>
          <w:rFonts w:ascii="Times New Roman" w:eastAsia="Tahoma" w:hAnsi="Times New Roman" w:cs="Times New Roman"/>
          <w:color w:val="000000"/>
          <w:sz w:val="24"/>
          <w:szCs w:val="24"/>
        </w:rPr>
        <w:t xml:space="preserve"> proteins. Following this procedure, GO annotations for ~75% of the </w:t>
      </w:r>
      <w:r w:rsidRPr="0003032D">
        <w:rPr>
          <w:rFonts w:ascii="Times New Roman" w:eastAsia="Liberation Sans" w:hAnsi="Times New Roman" w:cs="Times New Roman"/>
          <w:color w:val="000000"/>
          <w:sz w:val="24"/>
          <w:szCs w:val="24"/>
        </w:rPr>
        <w:t>Mtb</w:t>
      </w:r>
      <w:r w:rsidRPr="0003032D">
        <w:rPr>
          <w:rFonts w:ascii="Times New Roman" w:eastAsia="Tahoma" w:hAnsi="Times New Roman" w:cs="Times New Roman"/>
          <w:color w:val="000000"/>
          <w:sz w:val="24"/>
          <w:szCs w:val="24"/>
        </w:rPr>
        <w:t xml:space="preserve"> proteins could be obtained. This is significantly higher than the annotations (~25% of </w:t>
      </w:r>
      <w:r w:rsidRPr="0003032D">
        <w:rPr>
          <w:rFonts w:ascii="Times New Roman" w:eastAsia="Liberation Sans" w:hAnsi="Times New Roman" w:cs="Times New Roman"/>
          <w:color w:val="000000"/>
          <w:sz w:val="24"/>
          <w:szCs w:val="24"/>
        </w:rPr>
        <w:t>Mtb</w:t>
      </w:r>
      <w:r w:rsidRPr="0003032D">
        <w:rPr>
          <w:rFonts w:ascii="Times New Roman" w:eastAsia="Tahoma" w:hAnsi="Times New Roman" w:cs="Times New Roman"/>
          <w:color w:val="000000"/>
          <w:sz w:val="24"/>
          <w:szCs w:val="24"/>
        </w:rPr>
        <w:t xml:space="preserve"> proteins) available in the </w:t>
      </w:r>
      <w:r w:rsidRPr="0003032D">
        <w:rPr>
          <w:rFonts w:ascii="Times New Roman" w:eastAsia="Liberation Sans" w:hAnsi="Times New Roman" w:cs="Times New Roman"/>
          <w:color w:val="000000"/>
          <w:sz w:val="24"/>
          <w:szCs w:val="24"/>
        </w:rPr>
        <w:t>GO (Gene Ontology) Consortium database. The enrichment analysis, for any given set of Mtb proteins, was subsequently performed using an in-house script</w:t>
      </w:r>
      <w:r w:rsidRPr="0003032D">
        <w:rPr>
          <w:rFonts w:ascii="Times New Roman" w:eastAsia="Tahoma" w:hAnsi="Times New Roman" w:cs="Times New Roman"/>
          <w:color w:val="000000"/>
          <w:sz w:val="24"/>
          <w:szCs w:val="24"/>
        </w:rPr>
        <w:t xml:space="preserve"> and GO annotations</w:t>
      </w:r>
      <w:r w:rsidRPr="0003032D">
        <w:rPr>
          <w:rFonts w:ascii="Times New Roman" w:eastAsia="Liberation Sans" w:hAnsi="Times New Roman" w:cs="Times New Roman"/>
          <w:color w:val="000000"/>
          <w:sz w:val="24"/>
          <w:szCs w:val="24"/>
        </w:rPr>
        <w:t xml:space="preserve"> obtained through the above mentioned process. Pathways/ processes having a two-fold change in enrichment value with a p-value cut-off of 0.05 (Fisher exact test) and comprising of at least two proteins were considered to be enriched.</w:t>
      </w:r>
    </w:p>
    <w:p w:rsidR="0003032D" w:rsidRPr="0003032D" w:rsidRDefault="0003032D" w:rsidP="0003032D">
      <w:pPr>
        <w:spacing w:line="360" w:lineRule="auto"/>
        <w:jc w:val="both"/>
        <w:rPr>
          <w:rFonts w:ascii="Times New Roman" w:eastAsia="Liberation Sans" w:hAnsi="Times New Roman" w:cs="Times New Roman"/>
          <w:color w:val="000000"/>
          <w:sz w:val="24"/>
          <w:szCs w:val="24"/>
        </w:rPr>
      </w:pPr>
    </w:p>
    <w:p w:rsidR="0003032D" w:rsidRPr="0003032D" w:rsidRDefault="003F3CE0" w:rsidP="0003032D">
      <w:pPr>
        <w:spacing w:line="360" w:lineRule="auto"/>
        <w:jc w:val="both"/>
        <w:rPr>
          <w:rFonts w:ascii="Times New Roman" w:eastAsia="Liberation Sans" w:hAnsi="Times New Roman" w:cs="Times New Roman"/>
          <w:color w:val="000000"/>
          <w:sz w:val="24"/>
          <w:szCs w:val="24"/>
        </w:rPr>
      </w:pPr>
      <w:r>
        <w:rPr>
          <w:rFonts w:ascii="Times New Roman" w:eastAsia="Liberation Sans" w:hAnsi="Times New Roman" w:cs="Times New Roman"/>
          <w:color w:val="000000"/>
          <w:sz w:val="24"/>
          <w:szCs w:val="24"/>
        </w:rPr>
        <w:tab/>
      </w:r>
      <w:r w:rsidR="0003032D" w:rsidRPr="00317761">
        <w:rPr>
          <w:rFonts w:ascii="Times New Roman" w:eastAsia="Liberation Sans" w:hAnsi="Times New Roman" w:cs="Times New Roman"/>
          <w:color w:val="000000"/>
          <w:sz w:val="24"/>
          <w:szCs w:val="24"/>
        </w:rPr>
        <w:t>While performing the GO enrichment analysis of the Mtb proteins which were involved in HPIs with humans, the said set of Mtb proteins along with their 1</w:t>
      </w:r>
      <w:r w:rsidR="0003032D" w:rsidRPr="00317761">
        <w:rPr>
          <w:rFonts w:ascii="Times New Roman" w:eastAsia="Liberation Sans" w:hAnsi="Times New Roman" w:cs="Times New Roman"/>
          <w:color w:val="000000"/>
          <w:sz w:val="24"/>
          <w:szCs w:val="24"/>
          <w:vertAlign w:val="superscript"/>
        </w:rPr>
        <w:t>st</w:t>
      </w:r>
      <w:r w:rsidR="0003032D" w:rsidRPr="00317761">
        <w:rPr>
          <w:rFonts w:ascii="Times New Roman" w:eastAsia="Liberation Sans" w:hAnsi="Times New Roman" w:cs="Times New Roman"/>
          <w:color w:val="000000"/>
          <w:sz w:val="24"/>
          <w:szCs w:val="24"/>
        </w:rPr>
        <w:t xml:space="preserve"> and 2</w:t>
      </w:r>
      <w:r w:rsidR="0003032D" w:rsidRPr="00317761">
        <w:rPr>
          <w:rFonts w:ascii="Times New Roman" w:eastAsia="Liberation Sans" w:hAnsi="Times New Roman" w:cs="Times New Roman"/>
          <w:color w:val="000000"/>
          <w:sz w:val="24"/>
          <w:szCs w:val="24"/>
          <w:vertAlign w:val="superscript"/>
        </w:rPr>
        <w:t>nd</w:t>
      </w:r>
      <w:r w:rsidR="0003032D" w:rsidRPr="00317761">
        <w:rPr>
          <w:rFonts w:ascii="Times New Roman" w:eastAsia="Liberation Sans" w:hAnsi="Times New Roman" w:cs="Times New Roman"/>
          <w:color w:val="000000"/>
          <w:sz w:val="24"/>
          <w:szCs w:val="24"/>
        </w:rPr>
        <w:t xml:space="preserve"> degree </w:t>
      </w:r>
      <w:proofErr w:type="spellStart"/>
      <w:r w:rsidR="0003032D" w:rsidRPr="00317761">
        <w:rPr>
          <w:rFonts w:ascii="Times New Roman" w:eastAsia="Liberation Sans" w:hAnsi="Times New Roman" w:cs="Times New Roman"/>
          <w:color w:val="000000"/>
          <w:sz w:val="24"/>
          <w:szCs w:val="24"/>
        </w:rPr>
        <w:t>neighbours</w:t>
      </w:r>
      <w:proofErr w:type="spellEnd"/>
      <w:r w:rsidR="0003032D" w:rsidRPr="00317761">
        <w:rPr>
          <w:rFonts w:ascii="Times New Roman" w:eastAsia="Liberation Sans" w:hAnsi="Times New Roman" w:cs="Times New Roman"/>
          <w:color w:val="000000"/>
          <w:sz w:val="24"/>
          <w:szCs w:val="24"/>
        </w:rPr>
        <w:t xml:space="preserve"> were considered. The </w:t>
      </w:r>
      <w:r w:rsidR="00161540" w:rsidRPr="00317761">
        <w:rPr>
          <w:rFonts w:ascii="Times New Roman" w:eastAsia="Liberation Sans" w:hAnsi="Times New Roman" w:cs="Times New Roman"/>
          <w:color w:val="000000"/>
          <w:sz w:val="24"/>
          <w:szCs w:val="24"/>
        </w:rPr>
        <w:t>neighborhood</w:t>
      </w:r>
      <w:r w:rsidR="0003032D" w:rsidRPr="00317761">
        <w:rPr>
          <w:rFonts w:ascii="Times New Roman" w:eastAsia="Liberation Sans" w:hAnsi="Times New Roman" w:cs="Times New Roman"/>
          <w:color w:val="000000"/>
          <w:sz w:val="24"/>
          <w:szCs w:val="24"/>
        </w:rPr>
        <w:t xml:space="preserve"> information was collected from a </w:t>
      </w:r>
      <w:r w:rsidR="0003032D" w:rsidRPr="00317761">
        <w:rPr>
          <w:rFonts w:ascii="Times New Roman" w:hAnsi="Times New Roman" w:cs="Times New Roman"/>
          <w:color w:val="000000"/>
          <w:sz w:val="24"/>
          <w:szCs w:val="24"/>
        </w:rPr>
        <w:t>filtered</w:t>
      </w:r>
      <w:r w:rsidR="0003032D" w:rsidRPr="00317761">
        <w:rPr>
          <w:rFonts w:ascii="Times New Roman" w:eastAsia="Liberation Sans" w:hAnsi="Times New Roman" w:cs="Times New Roman"/>
          <w:color w:val="000000"/>
          <w:sz w:val="24"/>
          <w:szCs w:val="24"/>
        </w:rPr>
        <w:t xml:space="preserve"> Mtb background PPI network </w:t>
      </w:r>
      <w:r w:rsidR="004969C1">
        <w:rPr>
          <w:rFonts w:ascii="Times New Roman" w:eastAsia="Liberation Sans" w:hAnsi="Times New Roman" w:cs="Times New Roman"/>
          <w:color w:val="000000"/>
          <w:sz w:val="24"/>
          <w:szCs w:val="24"/>
        </w:rPr>
        <w:fldChar w:fldCharType="begin"/>
      </w:r>
      <w:r w:rsidR="00F062EC">
        <w:rPr>
          <w:rFonts w:ascii="Times New Roman" w:eastAsia="Liberation Sans" w:hAnsi="Times New Roman" w:cs="Times New Roman"/>
          <w:color w:val="000000"/>
          <w:sz w:val="24"/>
          <w:szCs w:val="24"/>
        </w:rPr>
        <w:instrText xml:space="preserve"> ADDIN ZOTERO_ITEM CSL_CITATION {"citationID":"ahru7khiiv","properties":{"formattedCitation":"[19]","plainCitation":"[19]"},"citationItems":[{"id":187,"uris":["http://zotero.org/users/local/9EyN3M13/items/NU6TS7EB"],"uri":["http://zotero.org/users/local/9EyN3M13/items/NU6TS7EB"],"itemData":{"id":187,"type":"article-journal","title":"Express path analysis identifies a tyrosine kinase Src-centric network regulating divergent host responses to Mycobacterium tuberculosis infection","container-title":"The Journal of Biological Chemistry","page":"40307-40319","volume":"286","issue":"46","source":"PubMed","abstract":"Global gene expression profiling has emerged as a major tool in understanding complex response patterns of biological systems to perturbations. However, a lack of unbiased analytical approaches has restricted the utility of complex microarray data to gain novel system level insights. Here we report a strategy, express path analysis (EPA), that helps to establish various pathways differentially recruited to achieve specific cellular responses under contrasting environmental conditions in an unbiased manner. The analysis superimposes differentially regulated genes between contrasting environments onto the network of functional protein associations followed by a series of iterative enrichments and network analysis. To test the utility of the approach, we infected THP1 macrophage cells with a virulent Mycobacterium tuberculosis strain (H37Rv) or the attenuated non-virulent strain H37Ra as contrasting perturbations and generated the temporal global expression profiles. EPA of the results provided details of response-specific and time-dependent host molecular network perturbations. Further analysis identified tyrosine kinase Src as the major regulatory hub discriminating the responses between wild-type and attenuated Mtb infection. We were then able to verify this novel role of Src experimentally and show that Src executes its role through regulating two vital antimicrobial processes of the host cells (i.e. autophagy and acidification of phagolysosome). These results bear significant potential for developing novel anti-tuberculosis therapy. We propose that EPA could prove extremely useful in understanding complex cellular responses for a variety of perturbations, including pathogenic infections.","DOI":"10.1074/jbc.M111.266239","ISSN":"1083-351X","note":"PMID: 21953458\nPMCID: PMC3220550","journalAbbreviation":"J. Biol. Chem.","language":"eng","author":[{"family":"Karim","given":"Ahmad Faisal"},{"family":"Chandra","given":"Pallavi"},{"family":"Chopra","given":"Aanchal"},{"family":"Siddiqui","given":"Zaved"},{"family":"Bhaskar","given":"Ashima"},{"family":"Singh","given":"Amit"},{"family":"Kumar","given":"Dhiraj"}],"issued":{"date-parts":[["2011",11,18]]}}}],"schema":"https://github.com/citation-style-language/schema/raw/master/csl-citation.json"} </w:instrText>
      </w:r>
      <w:r w:rsidR="004969C1">
        <w:rPr>
          <w:rFonts w:ascii="Times New Roman" w:eastAsia="Liberation Sans" w:hAnsi="Times New Roman" w:cs="Times New Roman"/>
          <w:color w:val="000000"/>
          <w:sz w:val="24"/>
          <w:szCs w:val="24"/>
        </w:rPr>
        <w:fldChar w:fldCharType="separate"/>
      </w:r>
      <w:r w:rsidR="00F062EC" w:rsidRPr="00F062EC">
        <w:rPr>
          <w:rFonts w:ascii="Times New Roman" w:hAnsi="Times New Roman" w:cs="Times New Roman"/>
          <w:sz w:val="24"/>
        </w:rPr>
        <w:t>[19]</w:t>
      </w:r>
      <w:r w:rsidR="004969C1">
        <w:rPr>
          <w:rFonts w:ascii="Times New Roman" w:eastAsia="Liberation Sans" w:hAnsi="Times New Roman" w:cs="Times New Roman"/>
          <w:color w:val="000000"/>
          <w:sz w:val="24"/>
          <w:szCs w:val="24"/>
        </w:rPr>
        <w:fldChar w:fldCharType="end"/>
      </w:r>
      <w:r w:rsidR="0003032D" w:rsidRPr="00317761">
        <w:rPr>
          <w:rFonts w:ascii="Times New Roman" w:hAnsi="Times New Roman" w:cs="Times New Roman"/>
          <w:color w:val="000000"/>
          <w:sz w:val="24"/>
          <w:szCs w:val="24"/>
        </w:rPr>
        <w:t xml:space="preserve">. </w:t>
      </w:r>
      <w:r w:rsidR="0003032D" w:rsidRPr="00317761">
        <w:rPr>
          <w:rFonts w:ascii="Times New Roman" w:eastAsia="Liberation Sans" w:hAnsi="Times New Roman" w:cs="Times New Roman"/>
          <w:color w:val="000000"/>
          <w:sz w:val="24"/>
          <w:szCs w:val="24"/>
        </w:rPr>
        <w:t xml:space="preserve">Gene expression data obtained from microarray datasets </w:t>
      </w:r>
      <w:r w:rsidR="004969C1">
        <w:rPr>
          <w:rFonts w:ascii="Times New Roman" w:eastAsia="Liberation Sans" w:hAnsi="Times New Roman" w:cs="Times New Roman"/>
          <w:color w:val="000000"/>
          <w:sz w:val="24"/>
          <w:szCs w:val="24"/>
        </w:rPr>
        <w:fldChar w:fldCharType="begin"/>
      </w:r>
      <w:r w:rsidR="00F062EC">
        <w:rPr>
          <w:rFonts w:ascii="Times New Roman" w:eastAsia="Liberation Sans" w:hAnsi="Times New Roman" w:cs="Times New Roman"/>
          <w:color w:val="000000"/>
          <w:sz w:val="24"/>
          <w:szCs w:val="24"/>
        </w:rPr>
        <w:instrText xml:space="preserve"> ADDIN ZOTERO_ITEM CSL_CITATION {"citationID":"a7acocbpb7","properties":{"formattedCitation":"[20,21]","plainCitation":"[20,21]"},"citationItems":[{"id":185,"uris":["http://zotero.org/users/local/9EyN3M13/items/Z2SXSHYV"],"uri":["http://zotero.org/users/local/9EyN3M13/items/Z2SXSHYV"],"itemData":{"id":185,"type":"article-journal","title":"Gene Expression Omnibus: NCBI gene expression and hybridization array data repository","container-title":"Nucleic Acids Research","page":"207-210","volume":"30","issue":"1","source":"PubMed","abstract":"The Gene Expression Omnibus (GEO) project was initiated in response to the growing demand for a public repository for high-throughput gene expression data. GEO provides a flexible and open design that facilitates submission, storage and retrieval of heterogeneous data sets from high-throughput gene expression and genomic hybridization experiments. GEO is not intended to replace in house gene expression databases that benefit from coherent data sets, and which are constructed to facilitate a particular analytic method, but rather complement these by acting as a tertiary, central data distribution hub. The three central data entities of GEO are platforms, samples and series, and were designed with gene expression and genomic hybridization experiments in mind. A platform is, essentially, a list of probes that define what set of molecules may be detected. A sample describes the set of molecules that are being probed and references a single platform used to generate its molecular abundance data. A series organizes samples into the meaningful data sets which make up an experiment. The GEO repository is publicly accessible through the World Wide Web at http://www.ncbi.nlm.nih.gov/geo.","ISSN":"1362-4962","note":"PMID: 11752295\nPMCID: PMC99122","shortTitle":"Gene Expression Omnibus","journalAbbreviation":"Nucleic Acids Res.","language":"eng","author":[{"family":"Edgar","given":"Ron"},{"family":"Domrachev","given":"Michael"},{"family":"Lash","given":"Alex E."}],"issued":{"date-parts":[["2002",1,1]]}}},{"id":189,"uris":["http://zotero.org/users/local/9EyN3M13/items/BKINH4D7"],"uri":["http://zotero.org/users/local/9EyN3M13/items/BKINH4D7"],"itemData":{"id":189,"type":"article-journal","title":"BμG@Sbase—a microbial gene expression and comparative genomic database","container-title":"Nucleic Acids Research","page":"D605-D609","volume":"40","issue":"Database issue","source":"PubMed Central","abstract":"The reducing cost of high-throughput functional genomic technologies is creating a deluge of high volume, complex data, placing the burden on bioinformatics resources and tool development. The Bacterial Microarray Group at St George's (BμG@S) has been at the forefront of bacterial microarray design and analysis for over a decade and while serving as a hub of a global network of microbial research groups has developed BμG@Sbase, a microbial gene expression and comparative genomic database. BμG@Sbase (http://bugs.sgul.ac.uk/bugsbase/) is a web-browsable, expertly curated, MIAME-compliant database that stores comprehensive experimental annotation and multiple raw and analysed data formats. Consistent annotation is enabled through a structured set of web forms, which guide the user through the process following a set of best practices and controlled vocabulary. The database currently contains 86 expertly curated publicly available data sets (with a further 124 not yet published) and full annotation information for 59 bacterial microarray designs. The data can be browsed and queried using an explorer-like interface; integrating intuitive tree diagrams to present complex experimental details clearly and concisely. Furthermore the modular design of the database will provide a robust platform for integrating other data types beyond microarrays into a more Systems analysis based future.","DOI":"10.1093/nar/gkr796","ISSN":"0305-1048","note":"PMID: 21948792\nPMCID: PMC3245117","journalAbbreviation":"Nucleic Acids Res","author":[{"family":"Witney","given":"Adam A."},{"family":"Waldron","given":"Denise E."},{"family":"Brooks","given":"Lucy A."},{"family":"Tyler","given":"Richard H."},{"family":"Withers","given":"Michael"},{"family":"Stoker","given":"Neil G."},{"family":"Wren","given":"Brendan W."},{"family":"Butcher","given":"Philip D."},{"family":"Hinds","given":"Jason"}],"issued":{"date-parts":[["2012",1]]}}}],"schema":"https://github.com/citation-style-language/schema/raw/master/csl-citation.json"} </w:instrText>
      </w:r>
      <w:r w:rsidR="004969C1">
        <w:rPr>
          <w:rFonts w:ascii="Times New Roman" w:eastAsia="Liberation Sans" w:hAnsi="Times New Roman" w:cs="Times New Roman"/>
          <w:color w:val="000000"/>
          <w:sz w:val="24"/>
          <w:szCs w:val="24"/>
        </w:rPr>
        <w:fldChar w:fldCharType="separate"/>
      </w:r>
      <w:r w:rsidR="00F062EC" w:rsidRPr="00F062EC">
        <w:rPr>
          <w:rFonts w:ascii="Times New Roman" w:hAnsi="Times New Roman" w:cs="Times New Roman"/>
          <w:sz w:val="24"/>
        </w:rPr>
        <w:t>[20,21]</w:t>
      </w:r>
      <w:r w:rsidR="004969C1">
        <w:rPr>
          <w:rFonts w:ascii="Times New Roman" w:eastAsia="Liberation Sans" w:hAnsi="Times New Roman" w:cs="Times New Roman"/>
          <w:color w:val="000000"/>
          <w:sz w:val="24"/>
          <w:szCs w:val="24"/>
        </w:rPr>
        <w:fldChar w:fldCharType="end"/>
      </w:r>
      <w:r w:rsidR="0003032D" w:rsidRPr="00317761">
        <w:rPr>
          <w:rFonts w:ascii="Times New Roman" w:eastAsia="Liberation Sans" w:hAnsi="Times New Roman" w:cs="Times New Roman"/>
          <w:color w:val="000000"/>
          <w:sz w:val="24"/>
          <w:szCs w:val="24"/>
        </w:rPr>
        <w:t xml:space="preserve"> were used to ascertain up-/down-regulated pathways/ processes. The gene expression profile constituted of expression data pertaining to 1 hour, 4 hours, 18 hours and 24 hours time-points post infection. The gene expression values were divided into two sets: (a) early response (cumulating expression data collected before 18 hrs) and (b) late response (cumulating expression values collected at 18hrs and onwards). Overall perturbation profiles for a gene/protein at the early and late time points were calculated considering a consensus of its expressions during the constituent time points. A gene was tagged either as 'up' (resembling up-regulation), 'down' (resembling down-regulation), or '0' (resembling no-perturbation), depending on the number of times it was observed to be up/down-regulated, in the early and the late response sets. An enriched GO Biological process/pathway was inferred to be activated/enhanced (during either the early/late response stage) if a majority of the perturbed genes (considered for the GO enrichment study) contributing towards the pathway were up-regulated. Similarly, a majority of the contributing genes being down-regulated signifies a suppressed/attenuated biological process. In both these cases, the modulation of a biological pathway/ process was inferred only if a minimum of 30% </w:t>
      </w:r>
      <w:r w:rsidR="0003032D" w:rsidRPr="00317761">
        <w:rPr>
          <w:rFonts w:ascii="Times New Roman" w:eastAsia="Liberation Sans" w:hAnsi="Times New Roman" w:cs="Times New Roman"/>
          <w:color w:val="000000"/>
          <w:sz w:val="24"/>
          <w:szCs w:val="24"/>
        </w:rPr>
        <w:lastRenderedPageBreak/>
        <w:t>observations (genes involved in the process being up/down-regulated during early and late stages of infection) were in consensus.</w:t>
      </w:r>
    </w:p>
    <w:p w:rsidR="0003032D" w:rsidRPr="0003032D" w:rsidRDefault="0003032D" w:rsidP="0003032D">
      <w:pPr>
        <w:spacing w:line="360" w:lineRule="auto"/>
        <w:jc w:val="both"/>
        <w:rPr>
          <w:rFonts w:ascii="Times New Roman" w:eastAsia="Liberation Sans" w:hAnsi="Times New Roman" w:cs="Times New Roman"/>
          <w:color w:val="000000"/>
          <w:sz w:val="24"/>
          <w:szCs w:val="24"/>
        </w:rPr>
      </w:pPr>
    </w:p>
    <w:p w:rsidR="0003032D" w:rsidRPr="0003032D" w:rsidRDefault="003F3CE0" w:rsidP="0003032D">
      <w:pPr>
        <w:spacing w:line="360" w:lineRule="auto"/>
        <w:jc w:val="both"/>
        <w:rPr>
          <w:rFonts w:ascii="Times New Roman" w:eastAsia="Liberation Sans" w:hAnsi="Times New Roman" w:cs="Times New Roman"/>
          <w:color w:val="000000"/>
          <w:sz w:val="24"/>
          <w:szCs w:val="24"/>
        </w:rPr>
      </w:pPr>
      <w:r>
        <w:rPr>
          <w:rFonts w:ascii="Times New Roman" w:eastAsia="Liberation Sans" w:hAnsi="Times New Roman" w:cs="Times New Roman"/>
          <w:color w:val="000000"/>
          <w:sz w:val="24"/>
          <w:szCs w:val="24"/>
        </w:rPr>
        <w:tab/>
      </w:r>
      <w:r w:rsidR="0003032D" w:rsidRPr="0003032D">
        <w:rPr>
          <w:rFonts w:ascii="Times New Roman" w:eastAsia="Liberation Sans" w:hAnsi="Times New Roman" w:cs="Times New Roman"/>
          <w:color w:val="000000"/>
          <w:sz w:val="24"/>
          <w:szCs w:val="24"/>
        </w:rPr>
        <w:t>In order to gain additional insights into the criticality of the regulators (TFs) under hypoxic environment, the stable states obtained through Boolean model simulation (of the extended GRN) were further subjected to GO enrichment analysis. GO enrichment was performed on the gene sets observed to be ‘ON’/ active in the stable states corresponding to wild type as well as the simulated mutants. Subsequently, the result for each mutant was compared against that of the wild type to infer the variations in biochemical activities in the mutants.</w:t>
      </w:r>
    </w:p>
    <w:p w:rsidR="0003032D" w:rsidRDefault="0003032D" w:rsidP="00667A0D">
      <w:pPr>
        <w:spacing w:line="360" w:lineRule="auto"/>
        <w:jc w:val="both"/>
        <w:rPr>
          <w:rFonts w:ascii="Times New Roman" w:hAnsi="Times New Roman" w:cs="Times New Roman"/>
          <w:b/>
          <w:sz w:val="24"/>
          <w:szCs w:val="24"/>
        </w:rPr>
      </w:pPr>
    </w:p>
    <w:p w:rsidR="008B607A" w:rsidRDefault="008B607A" w:rsidP="00667A0D">
      <w:pPr>
        <w:spacing w:line="36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F062EC" w:rsidRPr="00F062EC" w:rsidRDefault="004969C1" w:rsidP="00F062EC">
      <w:pPr>
        <w:pStyle w:val="Bibliography"/>
        <w:rPr>
          <w:rFonts w:ascii="Times New Roman" w:hAnsi="Times New Roman" w:cs="Times New Roman"/>
          <w:sz w:val="20"/>
        </w:rPr>
      </w:pPr>
      <w:r w:rsidRPr="004969C1">
        <w:rPr>
          <w:b/>
          <w:sz w:val="20"/>
          <w:szCs w:val="20"/>
        </w:rPr>
        <w:fldChar w:fldCharType="begin"/>
      </w:r>
      <w:r w:rsidR="00F062EC">
        <w:rPr>
          <w:b/>
          <w:sz w:val="20"/>
          <w:szCs w:val="20"/>
        </w:rPr>
        <w:instrText xml:space="preserve"> ADDIN ZOTERO_BIBL {"custom":[]} CSL_BIBLIOGRAPHY </w:instrText>
      </w:r>
      <w:r w:rsidRPr="004969C1">
        <w:rPr>
          <w:b/>
          <w:sz w:val="20"/>
          <w:szCs w:val="20"/>
        </w:rPr>
        <w:fldChar w:fldCharType="separate"/>
      </w:r>
      <w:r w:rsidR="00F062EC" w:rsidRPr="00F062EC">
        <w:rPr>
          <w:rFonts w:ascii="Times New Roman" w:hAnsi="Times New Roman" w:cs="Times New Roman"/>
          <w:sz w:val="20"/>
        </w:rPr>
        <w:t xml:space="preserve">1. </w:t>
      </w:r>
      <w:proofErr w:type="spellStart"/>
      <w:r w:rsidR="00F062EC" w:rsidRPr="00F062EC">
        <w:rPr>
          <w:rFonts w:ascii="Times New Roman" w:hAnsi="Times New Roman" w:cs="Times New Roman"/>
          <w:sz w:val="20"/>
        </w:rPr>
        <w:t>Abomoelak</w:t>
      </w:r>
      <w:proofErr w:type="spellEnd"/>
      <w:r w:rsidR="00F062EC" w:rsidRPr="00F062EC">
        <w:rPr>
          <w:rFonts w:ascii="Times New Roman" w:hAnsi="Times New Roman" w:cs="Times New Roman"/>
          <w:sz w:val="20"/>
        </w:rPr>
        <w:t xml:space="preserve"> B, </w:t>
      </w:r>
      <w:proofErr w:type="spellStart"/>
      <w:r w:rsidR="00F062EC" w:rsidRPr="00F062EC">
        <w:rPr>
          <w:rFonts w:ascii="Times New Roman" w:hAnsi="Times New Roman" w:cs="Times New Roman"/>
          <w:sz w:val="20"/>
        </w:rPr>
        <w:t>Hoye</w:t>
      </w:r>
      <w:proofErr w:type="spellEnd"/>
      <w:r w:rsidR="00F062EC" w:rsidRPr="00F062EC">
        <w:rPr>
          <w:rFonts w:ascii="Times New Roman" w:hAnsi="Times New Roman" w:cs="Times New Roman"/>
          <w:sz w:val="20"/>
        </w:rPr>
        <w:t xml:space="preserve"> EA, Chi J, Marcus SA, Laval F, </w:t>
      </w:r>
      <w:proofErr w:type="spellStart"/>
      <w:r w:rsidR="00F062EC" w:rsidRPr="00F062EC">
        <w:rPr>
          <w:rFonts w:ascii="Times New Roman" w:hAnsi="Times New Roman" w:cs="Times New Roman"/>
          <w:sz w:val="20"/>
        </w:rPr>
        <w:t>Bannantine</w:t>
      </w:r>
      <w:proofErr w:type="spellEnd"/>
      <w:r w:rsidR="00F062EC" w:rsidRPr="00F062EC">
        <w:rPr>
          <w:rFonts w:ascii="Times New Roman" w:hAnsi="Times New Roman" w:cs="Times New Roman"/>
          <w:sz w:val="20"/>
        </w:rPr>
        <w:t xml:space="preserve"> JP, et al. </w:t>
      </w:r>
      <w:proofErr w:type="spellStart"/>
      <w:r w:rsidR="00F062EC" w:rsidRPr="00F062EC">
        <w:rPr>
          <w:rFonts w:ascii="Times New Roman" w:hAnsi="Times New Roman" w:cs="Times New Roman"/>
          <w:sz w:val="20"/>
        </w:rPr>
        <w:t>mosR</w:t>
      </w:r>
      <w:proofErr w:type="spellEnd"/>
      <w:r w:rsidR="00F062EC" w:rsidRPr="00F062EC">
        <w:rPr>
          <w:rFonts w:ascii="Times New Roman" w:hAnsi="Times New Roman" w:cs="Times New Roman"/>
          <w:sz w:val="20"/>
        </w:rPr>
        <w:t xml:space="preserve">, a novel transcriptional regulator of hypoxia and virulence in Mycobacterium tuberculosis. </w:t>
      </w:r>
      <w:proofErr w:type="gramStart"/>
      <w:r w:rsidR="00F062EC" w:rsidRPr="00F062EC">
        <w:rPr>
          <w:rFonts w:ascii="Times New Roman" w:hAnsi="Times New Roman" w:cs="Times New Roman"/>
          <w:sz w:val="20"/>
        </w:rPr>
        <w:t xml:space="preserve">J </w:t>
      </w:r>
      <w:proofErr w:type="spellStart"/>
      <w:r w:rsidR="00F062EC" w:rsidRPr="00F062EC">
        <w:rPr>
          <w:rFonts w:ascii="Times New Roman" w:hAnsi="Times New Roman" w:cs="Times New Roman"/>
          <w:sz w:val="20"/>
        </w:rPr>
        <w:t>Bacteriol</w:t>
      </w:r>
      <w:proofErr w:type="spellEnd"/>
      <w:r w:rsidR="00F062EC" w:rsidRPr="00F062EC">
        <w:rPr>
          <w:rFonts w:ascii="Times New Roman" w:hAnsi="Times New Roman" w:cs="Times New Roman"/>
          <w:sz w:val="20"/>
        </w:rPr>
        <w:t>.</w:t>
      </w:r>
      <w:proofErr w:type="gramEnd"/>
      <w:r w:rsidR="00F062EC" w:rsidRPr="00F062EC">
        <w:rPr>
          <w:rFonts w:ascii="Times New Roman" w:hAnsi="Times New Roman" w:cs="Times New Roman"/>
          <w:sz w:val="20"/>
        </w:rPr>
        <w:t xml:space="preserve"> 2009</w:t>
      </w:r>
      <w:proofErr w:type="gramStart"/>
      <w:r w:rsidR="00F062EC" w:rsidRPr="00F062EC">
        <w:rPr>
          <w:rFonts w:ascii="Times New Roman" w:hAnsi="Times New Roman" w:cs="Times New Roman"/>
          <w:sz w:val="20"/>
        </w:rPr>
        <w:t>;191:5941</w:t>
      </w:r>
      <w:proofErr w:type="gramEnd"/>
      <w:r w:rsidR="00F062EC" w:rsidRPr="00F062EC">
        <w:rPr>
          <w:rFonts w:ascii="Times New Roman" w:hAnsi="Times New Roman" w:cs="Times New Roman"/>
          <w:sz w:val="20"/>
        </w:rPr>
        <w:t xml:space="preserve">–52.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2. Gideon HP, Wilkinson KA, </w:t>
      </w:r>
      <w:proofErr w:type="spellStart"/>
      <w:r w:rsidRPr="00F062EC">
        <w:rPr>
          <w:rFonts w:ascii="Times New Roman" w:hAnsi="Times New Roman" w:cs="Times New Roman"/>
          <w:sz w:val="20"/>
        </w:rPr>
        <w:t>Rustad</w:t>
      </w:r>
      <w:proofErr w:type="spellEnd"/>
      <w:r w:rsidRPr="00F062EC">
        <w:rPr>
          <w:rFonts w:ascii="Times New Roman" w:hAnsi="Times New Roman" w:cs="Times New Roman"/>
          <w:sz w:val="20"/>
        </w:rPr>
        <w:t xml:space="preserve"> TR, Oni T, </w:t>
      </w:r>
      <w:proofErr w:type="spellStart"/>
      <w:r w:rsidRPr="00F062EC">
        <w:rPr>
          <w:rFonts w:ascii="Times New Roman" w:hAnsi="Times New Roman" w:cs="Times New Roman"/>
          <w:sz w:val="20"/>
        </w:rPr>
        <w:t>Guio</w:t>
      </w:r>
      <w:proofErr w:type="spellEnd"/>
      <w:r w:rsidRPr="00F062EC">
        <w:rPr>
          <w:rFonts w:ascii="Times New Roman" w:hAnsi="Times New Roman" w:cs="Times New Roman"/>
          <w:sz w:val="20"/>
        </w:rPr>
        <w:t xml:space="preserve"> H, </w:t>
      </w:r>
      <w:proofErr w:type="spellStart"/>
      <w:r w:rsidRPr="00F062EC">
        <w:rPr>
          <w:rFonts w:ascii="Times New Roman" w:hAnsi="Times New Roman" w:cs="Times New Roman"/>
          <w:sz w:val="20"/>
        </w:rPr>
        <w:t>Kozak</w:t>
      </w:r>
      <w:proofErr w:type="spellEnd"/>
      <w:r w:rsidRPr="00F062EC">
        <w:rPr>
          <w:rFonts w:ascii="Times New Roman" w:hAnsi="Times New Roman" w:cs="Times New Roman"/>
          <w:sz w:val="20"/>
        </w:rPr>
        <w:t xml:space="preserve"> RA, et al. Hypoxia induces an </w:t>
      </w:r>
      <w:proofErr w:type="spellStart"/>
      <w:r w:rsidRPr="00F062EC">
        <w:rPr>
          <w:rFonts w:ascii="Times New Roman" w:hAnsi="Times New Roman" w:cs="Times New Roman"/>
          <w:sz w:val="20"/>
        </w:rPr>
        <w:t>immunodominant</w:t>
      </w:r>
      <w:proofErr w:type="spellEnd"/>
      <w:r w:rsidRPr="00F062EC">
        <w:rPr>
          <w:rFonts w:ascii="Times New Roman" w:hAnsi="Times New Roman" w:cs="Times New Roman"/>
          <w:sz w:val="20"/>
        </w:rPr>
        <w:t xml:space="preserve"> target of tuberculosis specific T cells absent from common BCG vaccines. </w:t>
      </w:r>
      <w:proofErr w:type="spellStart"/>
      <w:r w:rsidRPr="00F062EC">
        <w:rPr>
          <w:rFonts w:ascii="Times New Roman" w:hAnsi="Times New Roman" w:cs="Times New Roman"/>
          <w:sz w:val="20"/>
        </w:rPr>
        <w:t>PLoS</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Pathog</w:t>
      </w:r>
      <w:proofErr w:type="spellEnd"/>
      <w:r w:rsidRPr="00F062EC">
        <w:rPr>
          <w:rFonts w:ascii="Times New Roman" w:hAnsi="Times New Roman" w:cs="Times New Roman"/>
          <w:sz w:val="20"/>
        </w:rPr>
        <w:t>. 2010</w:t>
      </w:r>
      <w:proofErr w:type="gramStart"/>
      <w:r w:rsidRPr="00F062EC">
        <w:rPr>
          <w:rFonts w:ascii="Times New Roman" w:hAnsi="Times New Roman" w:cs="Times New Roman"/>
          <w:sz w:val="20"/>
        </w:rPr>
        <w:t>;6:e1001237</w:t>
      </w:r>
      <w:proofErr w:type="gramEnd"/>
      <w:r w:rsidRPr="00F062EC">
        <w:rPr>
          <w:rFonts w:ascii="Times New Roman" w:hAnsi="Times New Roman" w:cs="Times New Roman"/>
          <w:sz w:val="20"/>
        </w:rPr>
        <w:t xml:space="preserve">.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3. Honaker RW, </w:t>
      </w:r>
      <w:proofErr w:type="spellStart"/>
      <w:r w:rsidRPr="00F062EC">
        <w:rPr>
          <w:rFonts w:ascii="Times New Roman" w:hAnsi="Times New Roman" w:cs="Times New Roman"/>
          <w:sz w:val="20"/>
        </w:rPr>
        <w:t>Leistikow</w:t>
      </w:r>
      <w:proofErr w:type="spellEnd"/>
      <w:r w:rsidRPr="00F062EC">
        <w:rPr>
          <w:rFonts w:ascii="Times New Roman" w:hAnsi="Times New Roman" w:cs="Times New Roman"/>
          <w:sz w:val="20"/>
        </w:rPr>
        <w:t xml:space="preserve"> RL, </w:t>
      </w:r>
      <w:proofErr w:type="spellStart"/>
      <w:r w:rsidRPr="00F062EC">
        <w:rPr>
          <w:rFonts w:ascii="Times New Roman" w:hAnsi="Times New Roman" w:cs="Times New Roman"/>
          <w:sz w:val="20"/>
        </w:rPr>
        <w:t>Bartek</w:t>
      </w:r>
      <w:proofErr w:type="spellEnd"/>
      <w:r w:rsidRPr="00F062EC">
        <w:rPr>
          <w:rFonts w:ascii="Times New Roman" w:hAnsi="Times New Roman" w:cs="Times New Roman"/>
          <w:sz w:val="20"/>
        </w:rPr>
        <w:t xml:space="preserve"> IL, </w:t>
      </w:r>
      <w:proofErr w:type="spellStart"/>
      <w:r w:rsidRPr="00F062EC">
        <w:rPr>
          <w:rFonts w:ascii="Times New Roman" w:hAnsi="Times New Roman" w:cs="Times New Roman"/>
          <w:sz w:val="20"/>
        </w:rPr>
        <w:t>Voskuil</w:t>
      </w:r>
      <w:proofErr w:type="spellEnd"/>
      <w:r w:rsidRPr="00F062EC">
        <w:rPr>
          <w:rFonts w:ascii="Times New Roman" w:hAnsi="Times New Roman" w:cs="Times New Roman"/>
          <w:sz w:val="20"/>
        </w:rPr>
        <w:t xml:space="preserve"> MI. Unique roles of </w:t>
      </w:r>
      <w:proofErr w:type="spellStart"/>
      <w:r w:rsidRPr="00F062EC">
        <w:rPr>
          <w:rFonts w:ascii="Times New Roman" w:hAnsi="Times New Roman" w:cs="Times New Roman"/>
          <w:sz w:val="20"/>
        </w:rPr>
        <w:t>DosT</w:t>
      </w:r>
      <w:proofErr w:type="spellEnd"/>
      <w:r w:rsidRPr="00F062EC">
        <w:rPr>
          <w:rFonts w:ascii="Times New Roman" w:hAnsi="Times New Roman" w:cs="Times New Roman"/>
          <w:sz w:val="20"/>
        </w:rPr>
        <w:t xml:space="preserve"> and </w:t>
      </w:r>
      <w:proofErr w:type="spellStart"/>
      <w:r w:rsidRPr="00F062EC">
        <w:rPr>
          <w:rFonts w:ascii="Times New Roman" w:hAnsi="Times New Roman" w:cs="Times New Roman"/>
          <w:sz w:val="20"/>
        </w:rPr>
        <w:t>DosS</w:t>
      </w:r>
      <w:proofErr w:type="spellEnd"/>
      <w:r w:rsidRPr="00F062EC">
        <w:rPr>
          <w:rFonts w:ascii="Times New Roman" w:hAnsi="Times New Roman" w:cs="Times New Roman"/>
          <w:sz w:val="20"/>
        </w:rPr>
        <w:t xml:space="preserve"> in </w:t>
      </w:r>
      <w:proofErr w:type="spellStart"/>
      <w:r w:rsidRPr="00F062EC">
        <w:rPr>
          <w:rFonts w:ascii="Times New Roman" w:hAnsi="Times New Roman" w:cs="Times New Roman"/>
          <w:sz w:val="20"/>
        </w:rPr>
        <w:t>DosR</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regulon</w:t>
      </w:r>
      <w:proofErr w:type="spellEnd"/>
      <w:r w:rsidRPr="00F062EC">
        <w:rPr>
          <w:rFonts w:ascii="Times New Roman" w:hAnsi="Times New Roman" w:cs="Times New Roman"/>
          <w:sz w:val="20"/>
        </w:rPr>
        <w:t xml:space="preserve"> induction and Mycobacterium tuberculosis dormancy. Infect Immun. 2009</w:t>
      </w:r>
      <w:proofErr w:type="gramStart"/>
      <w:r w:rsidRPr="00F062EC">
        <w:rPr>
          <w:rFonts w:ascii="Times New Roman" w:hAnsi="Times New Roman" w:cs="Times New Roman"/>
          <w:sz w:val="20"/>
        </w:rPr>
        <w:t>;77:3258</w:t>
      </w:r>
      <w:proofErr w:type="gramEnd"/>
      <w:r w:rsidRPr="00F062EC">
        <w:rPr>
          <w:rFonts w:ascii="Times New Roman" w:hAnsi="Times New Roman" w:cs="Times New Roman"/>
          <w:sz w:val="20"/>
        </w:rPr>
        <w:t xml:space="preserve">–63.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4. Park H-D, Guinn KM, Harrell MI, Liao R, </w:t>
      </w:r>
      <w:proofErr w:type="spellStart"/>
      <w:r w:rsidRPr="00F062EC">
        <w:rPr>
          <w:rFonts w:ascii="Times New Roman" w:hAnsi="Times New Roman" w:cs="Times New Roman"/>
          <w:sz w:val="20"/>
        </w:rPr>
        <w:t>Voskuil</w:t>
      </w:r>
      <w:proofErr w:type="spellEnd"/>
      <w:r w:rsidRPr="00F062EC">
        <w:rPr>
          <w:rFonts w:ascii="Times New Roman" w:hAnsi="Times New Roman" w:cs="Times New Roman"/>
          <w:sz w:val="20"/>
        </w:rPr>
        <w:t xml:space="preserve"> MI, </w:t>
      </w:r>
      <w:proofErr w:type="spellStart"/>
      <w:r w:rsidRPr="00F062EC">
        <w:rPr>
          <w:rFonts w:ascii="Times New Roman" w:hAnsi="Times New Roman" w:cs="Times New Roman"/>
          <w:sz w:val="20"/>
        </w:rPr>
        <w:t>Tompa</w:t>
      </w:r>
      <w:proofErr w:type="spellEnd"/>
      <w:r w:rsidRPr="00F062EC">
        <w:rPr>
          <w:rFonts w:ascii="Times New Roman" w:hAnsi="Times New Roman" w:cs="Times New Roman"/>
          <w:sz w:val="20"/>
        </w:rPr>
        <w:t xml:space="preserve"> M, et al. Rv3133c/</w:t>
      </w:r>
      <w:proofErr w:type="spellStart"/>
      <w:r w:rsidRPr="00F062EC">
        <w:rPr>
          <w:rFonts w:ascii="Times New Roman" w:hAnsi="Times New Roman" w:cs="Times New Roman"/>
          <w:sz w:val="20"/>
        </w:rPr>
        <w:t>dosR</w:t>
      </w:r>
      <w:proofErr w:type="spellEnd"/>
      <w:r w:rsidRPr="00F062EC">
        <w:rPr>
          <w:rFonts w:ascii="Times New Roman" w:hAnsi="Times New Roman" w:cs="Times New Roman"/>
          <w:sz w:val="20"/>
        </w:rPr>
        <w:t xml:space="preserve"> is a transcription factor that mediates the hypoxic response of Mycobacterium tuberculosis. </w:t>
      </w:r>
      <w:proofErr w:type="gramStart"/>
      <w:r w:rsidRPr="00F062EC">
        <w:rPr>
          <w:rFonts w:ascii="Times New Roman" w:hAnsi="Times New Roman" w:cs="Times New Roman"/>
          <w:sz w:val="20"/>
        </w:rPr>
        <w:t xml:space="preserve">Mol </w:t>
      </w:r>
      <w:proofErr w:type="spellStart"/>
      <w:r w:rsidRPr="00F062EC">
        <w:rPr>
          <w:rFonts w:ascii="Times New Roman" w:hAnsi="Times New Roman" w:cs="Times New Roman"/>
          <w:sz w:val="20"/>
        </w:rPr>
        <w:t>Microbiol</w:t>
      </w:r>
      <w:proofErr w:type="spellEnd"/>
      <w:r w:rsidRPr="00F062EC">
        <w:rPr>
          <w:rFonts w:ascii="Times New Roman" w:hAnsi="Times New Roman" w:cs="Times New Roman"/>
          <w:sz w:val="20"/>
        </w:rPr>
        <w:t>.</w:t>
      </w:r>
      <w:proofErr w:type="gramEnd"/>
      <w:r w:rsidRPr="00F062EC">
        <w:rPr>
          <w:rFonts w:ascii="Times New Roman" w:hAnsi="Times New Roman" w:cs="Times New Roman"/>
          <w:sz w:val="20"/>
        </w:rPr>
        <w:t xml:space="preserve"> 2003</w:t>
      </w:r>
      <w:proofErr w:type="gramStart"/>
      <w:r w:rsidRPr="00F062EC">
        <w:rPr>
          <w:rFonts w:ascii="Times New Roman" w:hAnsi="Times New Roman" w:cs="Times New Roman"/>
          <w:sz w:val="20"/>
        </w:rPr>
        <w:t>;48:833</w:t>
      </w:r>
      <w:proofErr w:type="gramEnd"/>
      <w:r w:rsidRPr="00F062EC">
        <w:rPr>
          <w:rFonts w:ascii="Times New Roman" w:hAnsi="Times New Roman" w:cs="Times New Roman"/>
          <w:sz w:val="20"/>
        </w:rPr>
        <w:t xml:space="preserve">–43.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5. </w:t>
      </w:r>
      <w:proofErr w:type="spellStart"/>
      <w:r w:rsidRPr="00F062EC">
        <w:rPr>
          <w:rFonts w:ascii="Times New Roman" w:hAnsi="Times New Roman" w:cs="Times New Roman"/>
          <w:sz w:val="20"/>
        </w:rPr>
        <w:t>Rosenkrands</w:t>
      </w:r>
      <w:proofErr w:type="spellEnd"/>
      <w:r w:rsidRPr="00F062EC">
        <w:rPr>
          <w:rFonts w:ascii="Times New Roman" w:hAnsi="Times New Roman" w:cs="Times New Roman"/>
          <w:sz w:val="20"/>
        </w:rPr>
        <w:t xml:space="preserve"> I, </w:t>
      </w:r>
      <w:proofErr w:type="spellStart"/>
      <w:r w:rsidRPr="00F062EC">
        <w:rPr>
          <w:rFonts w:ascii="Times New Roman" w:hAnsi="Times New Roman" w:cs="Times New Roman"/>
          <w:sz w:val="20"/>
        </w:rPr>
        <w:t>Slayden</w:t>
      </w:r>
      <w:proofErr w:type="spellEnd"/>
      <w:r w:rsidRPr="00F062EC">
        <w:rPr>
          <w:rFonts w:ascii="Times New Roman" w:hAnsi="Times New Roman" w:cs="Times New Roman"/>
          <w:sz w:val="20"/>
        </w:rPr>
        <w:t xml:space="preserve"> RA, Crawford J, </w:t>
      </w:r>
      <w:proofErr w:type="spellStart"/>
      <w:r w:rsidRPr="00F062EC">
        <w:rPr>
          <w:rFonts w:ascii="Times New Roman" w:hAnsi="Times New Roman" w:cs="Times New Roman"/>
          <w:sz w:val="20"/>
        </w:rPr>
        <w:t>Aagaard</w:t>
      </w:r>
      <w:proofErr w:type="spellEnd"/>
      <w:r w:rsidRPr="00F062EC">
        <w:rPr>
          <w:rFonts w:ascii="Times New Roman" w:hAnsi="Times New Roman" w:cs="Times New Roman"/>
          <w:sz w:val="20"/>
        </w:rPr>
        <w:t xml:space="preserve"> C, Barry CE, Andersen P. Hypoxic response of Mycobacterium tuberculosis studied by metabolic labeling and proteome analysis of cellular and extracellular proteins. </w:t>
      </w:r>
      <w:proofErr w:type="gramStart"/>
      <w:r w:rsidRPr="00F062EC">
        <w:rPr>
          <w:rFonts w:ascii="Times New Roman" w:hAnsi="Times New Roman" w:cs="Times New Roman"/>
          <w:sz w:val="20"/>
        </w:rPr>
        <w:t xml:space="preserve">J </w:t>
      </w:r>
      <w:proofErr w:type="spellStart"/>
      <w:r w:rsidRPr="00F062EC">
        <w:rPr>
          <w:rFonts w:ascii="Times New Roman" w:hAnsi="Times New Roman" w:cs="Times New Roman"/>
          <w:sz w:val="20"/>
        </w:rPr>
        <w:t>Bacteriol</w:t>
      </w:r>
      <w:proofErr w:type="spellEnd"/>
      <w:r w:rsidRPr="00F062EC">
        <w:rPr>
          <w:rFonts w:ascii="Times New Roman" w:hAnsi="Times New Roman" w:cs="Times New Roman"/>
          <w:sz w:val="20"/>
        </w:rPr>
        <w:t>.</w:t>
      </w:r>
      <w:proofErr w:type="gramEnd"/>
      <w:r w:rsidRPr="00F062EC">
        <w:rPr>
          <w:rFonts w:ascii="Times New Roman" w:hAnsi="Times New Roman" w:cs="Times New Roman"/>
          <w:sz w:val="20"/>
        </w:rPr>
        <w:t xml:space="preserve"> 2002</w:t>
      </w:r>
      <w:proofErr w:type="gramStart"/>
      <w:r w:rsidRPr="00F062EC">
        <w:rPr>
          <w:rFonts w:ascii="Times New Roman" w:hAnsi="Times New Roman" w:cs="Times New Roman"/>
          <w:sz w:val="20"/>
        </w:rPr>
        <w:t>;184:3485</w:t>
      </w:r>
      <w:proofErr w:type="gramEnd"/>
      <w:r w:rsidRPr="00F062EC">
        <w:rPr>
          <w:rFonts w:ascii="Times New Roman" w:hAnsi="Times New Roman" w:cs="Times New Roman"/>
          <w:sz w:val="20"/>
        </w:rPr>
        <w:t xml:space="preserve">–91.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6. </w:t>
      </w:r>
      <w:proofErr w:type="spellStart"/>
      <w:r w:rsidRPr="00F062EC">
        <w:rPr>
          <w:rFonts w:ascii="Times New Roman" w:hAnsi="Times New Roman" w:cs="Times New Roman"/>
          <w:sz w:val="20"/>
        </w:rPr>
        <w:t>Rustad</w:t>
      </w:r>
      <w:proofErr w:type="spellEnd"/>
      <w:r w:rsidRPr="00F062EC">
        <w:rPr>
          <w:rFonts w:ascii="Times New Roman" w:hAnsi="Times New Roman" w:cs="Times New Roman"/>
          <w:sz w:val="20"/>
        </w:rPr>
        <w:t xml:space="preserve"> TR, Harrell MI, Liao R, Sherman DR. </w:t>
      </w:r>
      <w:proofErr w:type="gramStart"/>
      <w:r w:rsidRPr="00F062EC">
        <w:rPr>
          <w:rFonts w:ascii="Times New Roman" w:hAnsi="Times New Roman" w:cs="Times New Roman"/>
          <w:sz w:val="20"/>
        </w:rPr>
        <w:t>The enduring hypoxic response of Mycobacterium tuberculosis.</w:t>
      </w:r>
      <w:proofErr w:type="gramEnd"/>
      <w:r w:rsidRPr="00F062EC">
        <w:rPr>
          <w:rFonts w:ascii="Times New Roman" w:hAnsi="Times New Roman" w:cs="Times New Roman"/>
          <w:sz w:val="20"/>
        </w:rPr>
        <w:t xml:space="preserve"> </w:t>
      </w:r>
      <w:proofErr w:type="spellStart"/>
      <w:proofErr w:type="gramStart"/>
      <w:r w:rsidRPr="00F062EC">
        <w:rPr>
          <w:rFonts w:ascii="Times New Roman" w:hAnsi="Times New Roman" w:cs="Times New Roman"/>
          <w:sz w:val="20"/>
        </w:rPr>
        <w:t>PLoS</w:t>
      </w:r>
      <w:proofErr w:type="spellEnd"/>
      <w:r w:rsidRPr="00F062EC">
        <w:rPr>
          <w:rFonts w:ascii="Times New Roman" w:hAnsi="Times New Roman" w:cs="Times New Roman"/>
          <w:sz w:val="20"/>
        </w:rPr>
        <w:t xml:space="preserve"> ONE.</w:t>
      </w:r>
      <w:proofErr w:type="gramEnd"/>
      <w:r w:rsidRPr="00F062EC">
        <w:rPr>
          <w:rFonts w:ascii="Times New Roman" w:hAnsi="Times New Roman" w:cs="Times New Roman"/>
          <w:sz w:val="20"/>
        </w:rPr>
        <w:t xml:space="preserve"> 2008</w:t>
      </w:r>
      <w:proofErr w:type="gramStart"/>
      <w:r w:rsidRPr="00F062EC">
        <w:rPr>
          <w:rFonts w:ascii="Times New Roman" w:hAnsi="Times New Roman" w:cs="Times New Roman"/>
          <w:sz w:val="20"/>
        </w:rPr>
        <w:t>;3:e1502</w:t>
      </w:r>
      <w:proofErr w:type="gramEnd"/>
      <w:r w:rsidRPr="00F062EC">
        <w:rPr>
          <w:rFonts w:ascii="Times New Roman" w:hAnsi="Times New Roman" w:cs="Times New Roman"/>
          <w:sz w:val="20"/>
        </w:rPr>
        <w:t xml:space="preserve">.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7. Sherman DR, </w:t>
      </w:r>
      <w:proofErr w:type="spellStart"/>
      <w:r w:rsidRPr="00F062EC">
        <w:rPr>
          <w:rFonts w:ascii="Times New Roman" w:hAnsi="Times New Roman" w:cs="Times New Roman"/>
          <w:sz w:val="20"/>
        </w:rPr>
        <w:t>Voskuil</w:t>
      </w:r>
      <w:proofErr w:type="spellEnd"/>
      <w:r w:rsidRPr="00F062EC">
        <w:rPr>
          <w:rFonts w:ascii="Times New Roman" w:hAnsi="Times New Roman" w:cs="Times New Roman"/>
          <w:sz w:val="20"/>
        </w:rPr>
        <w:t xml:space="preserve"> M, </w:t>
      </w:r>
      <w:proofErr w:type="spellStart"/>
      <w:r w:rsidRPr="00F062EC">
        <w:rPr>
          <w:rFonts w:ascii="Times New Roman" w:hAnsi="Times New Roman" w:cs="Times New Roman"/>
          <w:sz w:val="20"/>
        </w:rPr>
        <w:t>Schnappinger</w:t>
      </w:r>
      <w:proofErr w:type="spellEnd"/>
      <w:r w:rsidRPr="00F062EC">
        <w:rPr>
          <w:rFonts w:ascii="Times New Roman" w:hAnsi="Times New Roman" w:cs="Times New Roman"/>
          <w:sz w:val="20"/>
        </w:rPr>
        <w:t xml:space="preserve"> D, Liao R, Harrell MI, </w:t>
      </w:r>
      <w:proofErr w:type="spellStart"/>
      <w:r w:rsidRPr="00F062EC">
        <w:rPr>
          <w:rFonts w:ascii="Times New Roman" w:hAnsi="Times New Roman" w:cs="Times New Roman"/>
          <w:sz w:val="20"/>
        </w:rPr>
        <w:t>Schoolnik</w:t>
      </w:r>
      <w:proofErr w:type="spellEnd"/>
      <w:r w:rsidRPr="00F062EC">
        <w:rPr>
          <w:rFonts w:ascii="Times New Roman" w:hAnsi="Times New Roman" w:cs="Times New Roman"/>
          <w:sz w:val="20"/>
        </w:rPr>
        <w:t xml:space="preserve"> GK. </w:t>
      </w:r>
      <w:proofErr w:type="gramStart"/>
      <w:r w:rsidRPr="00F062EC">
        <w:rPr>
          <w:rFonts w:ascii="Times New Roman" w:hAnsi="Times New Roman" w:cs="Times New Roman"/>
          <w:sz w:val="20"/>
        </w:rPr>
        <w:t>Regulation of the Mycobacterium tuberculosis hypoxic response gene encoding alpha -</w:t>
      </w:r>
      <w:proofErr w:type="spellStart"/>
      <w:r w:rsidRPr="00F062EC">
        <w:rPr>
          <w:rFonts w:ascii="Times New Roman" w:hAnsi="Times New Roman" w:cs="Times New Roman"/>
          <w:sz w:val="20"/>
        </w:rPr>
        <w:t>crystallin</w:t>
      </w:r>
      <w:proofErr w:type="spellEnd"/>
      <w:r w:rsidRPr="00F062EC">
        <w:rPr>
          <w:rFonts w:ascii="Times New Roman" w:hAnsi="Times New Roman" w:cs="Times New Roman"/>
          <w:sz w:val="20"/>
        </w:rPr>
        <w:t>.</w:t>
      </w:r>
      <w:proofErr w:type="gramEnd"/>
      <w:r w:rsidRPr="00F062EC">
        <w:rPr>
          <w:rFonts w:ascii="Times New Roman" w:hAnsi="Times New Roman" w:cs="Times New Roman"/>
          <w:sz w:val="20"/>
        </w:rPr>
        <w:t xml:space="preserve"> Proc </w:t>
      </w:r>
      <w:proofErr w:type="spellStart"/>
      <w:r w:rsidRPr="00F062EC">
        <w:rPr>
          <w:rFonts w:ascii="Times New Roman" w:hAnsi="Times New Roman" w:cs="Times New Roman"/>
          <w:sz w:val="20"/>
        </w:rPr>
        <w:t>Natl</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Acad</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Sci</w:t>
      </w:r>
      <w:proofErr w:type="spellEnd"/>
      <w:r w:rsidRPr="00F062EC">
        <w:rPr>
          <w:rFonts w:ascii="Times New Roman" w:hAnsi="Times New Roman" w:cs="Times New Roman"/>
          <w:sz w:val="20"/>
        </w:rPr>
        <w:t xml:space="preserve"> USA. 2001</w:t>
      </w:r>
      <w:proofErr w:type="gramStart"/>
      <w:r w:rsidRPr="00F062EC">
        <w:rPr>
          <w:rFonts w:ascii="Times New Roman" w:hAnsi="Times New Roman" w:cs="Times New Roman"/>
          <w:sz w:val="20"/>
        </w:rPr>
        <w:t>;98:7534</w:t>
      </w:r>
      <w:proofErr w:type="gramEnd"/>
      <w:r w:rsidRPr="00F062EC">
        <w:rPr>
          <w:rFonts w:ascii="Times New Roman" w:hAnsi="Times New Roman" w:cs="Times New Roman"/>
          <w:sz w:val="20"/>
        </w:rPr>
        <w:t xml:space="preserve">–9.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8. </w:t>
      </w:r>
      <w:proofErr w:type="spellStart"/>
      <w:r w:rsidRPr="00F062EC">
        <w:rPr>
          <w:rFonts w:ascii="Times New Roman" w:hAnsi="Times New Roman" w:cs="Times New Roman"/>
          <w:sz w:val="20"/>
        </w:rPr>
        <w:t>Steyn</w:t>
      </w:r>
      <w:proofErr w:type="spellEnd"/>
      <w:r w:rsidRPr="00F062EC">
        <w:rPr>
          <w:rFonts w:ascii="Times New Roman" w:hAnsi="Times New Roman" w:cs="Times New Roman"/>
          <w:sz w:val="20"/>
        </w:rPr>
        <w:t xml:space="preserve"> AJC, Collins DM, </w:t>
      </w:r>
      <w:proofErr w:type="spellStart"/>
      <w:r w:rsidRPr="00F062EC">
        <w:rPr>
          <w:rFonts w:ascii="Times New Roman" w:hAnsi="Times New Roman" w:cs="Times New Roman"/>
          <w:sz w:val="20"/>
        </w:rPr>
        <w:t>Hondalus</w:t>
      </w:r>
      <w:proofErr w:type="spellEnd"/>
      <w:r w:rsidRPr="00F062EC">
        <w:rPr>
          <w:rFonts w:ascii="Times New Roman" w:hAnsi="Times New Roman" w:cs="Times New Roman"/>
          <w:sz w:val="20"/>
        </w:rPr>
        <w:t xml:space="preserve"> MK, Jacobs WR, Kawakami RP, Bloom BR. Mycobacterium tuberculosis WhiB3 interacts with </w:t>
      </w:r>
      <w:proofErr w:type="spellStart"/>
      <w:r w:rsidRPr="00F062EC">
        <w:rPr>
          <w:rFonts w:ascii="Times New Roman" w:hAnsi="Times New Roman" w:cs="Times New Roman"/>
          <w:sz w:val="20"/>
        </w:rPr>
        <w:t>RpoV</w:t>
      </w:r>
      <w:proofErr w:type="spellEnd"/>
      <w:r w:rsidRPr="00F062EC">
        <w:rPr>
          <w:rFonts w:ascii="Times New Roman" w:hAnsi="Times New Roman" w:cs="Times New Roman"/>
          <w:sz w:val="20"/>
        </w:rPr>
        <w:t xml:space="preserve"> to affect host survival but is dispensable for in vivo growth. Proc </w:t>
      </w:r>
      <w:proofErr w:type="spellStart"/>
      <w:r w:rsidRPr="00F062EC">
        <w:rPr>
          <w:rFonts w:ascii="Times New Roman" w:hAnsi="Times New Roman" w:cs="Times New Roman"/>
          <w:sz w:val="20"/>
        </w:rPr>
        <w:t>Natl</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Acad</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Sci</w:t>
      </w:r>
      <w:proofErr w:type="spellEnd"/>
      <w:r w:rsidRPr="00F062EC">
        <w:rPr>
          <w:rFonts w:ascii="Times New Roman" w:hAnsi="Times New Roman" w:cs="Times New Roman"/>
          <w:sz w:val="20"/>
        </w:rPr>
        <w:t xml:space="preserve"> USA. 2002</w:t>
      </w:r>
      <w:proofErr w:type="gramStart"/>
      <w:r w:rsidRPr="00F062EC">
        <w:rPr>
          <w:rFonts w:ascii="Times New Roman" w:hAnsi="Times New Roman" w:cs="Times New Roman"/>
          <w:sz w:val="20"/>
        </w:rPr>
        <w:t>;99:3147</w:t>
      </w:r>
      <w:proofErr w:type="gramEnd"/>
      <w:r w:rsidRPr="00F062EC">
        <w:rPr>
          <w:rFonts w:ascii="Times New Roman" w:hAnsi="Times New Roman" w:cs="Times New Roman"/>
          <w:sz w:val="20"/>
        </w:rPr>
        <w:t xml:space="preserve">–52.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9. </w:t>
      </w:r>
      <w:proofErr w:type="spellStart"/>
      <w:r w:rsidRPr="00F062EC">
        <w:rPr>
          <w:rFonts w:ascii="Times New Roman" w:hAnsi="Times New Roman" w:cs="Times New Roman"/>
          <w:sz w:val="20"/>
        </w:rPr>
        <w:t>Ashburner</w:t>
      </w:r>
      <w:proofErr w:type="spellEnd"/>
      <w:r w:rsidRPr="00F062EC">
        <w:rPr>
          <w:rFonts w:ascii="Times New Roman" w:hAnsi="Times New Roman" w:cs="Times New Roman"/>
          <w:sz w:val="20"/>
        </w:rPr>
        <w:t xml:space="preserve"> M, Ball CA, Blake JA, Botstein D, Butler H, Cherry JM, et al. Gene ontology: tool for the unification of biology. </w:t>
      </w:r>
      <w:proofErr w:type="gramStart"/>
      <w:r w:rsidRPr="00F062EC">
        <w:rPr>
          <w:rFonts w:ascii="Times New Roman" w:hAnsi="Times New Roman" w:cs="Times New Roman"/>
          <w:sz w:val="20"/>
        </w:rPr>
        <w:t>The Gene Ontology Consortium.</w:t>
      </w:r>
      <w:proofErr w:type="gramEnd"/>
      <w:r w:rsidRPr="00F062EC">
        <w:rPr>
          <w:rFonts w:ascii="Times New Roman" w:hAnsi="Times New Roman" w:cs="Times New Roman"/>
          <w:sz w:val="20"/>
        </w:rPr>
        <w:t xml:space="preserve"> Nat Genet. 2000</w:t>
      </w:r>
      <w:proofErr w:type="gramStart"/>
      <w:r w:rsidRPr="00F062EC">
        <w:rPr>
          <w:rFonts w:ascii="Times New Roman" w:hAnsi="Times New Roman" w:cs="Times New Roman"/>
          <w:sz w:val="20"/>
        </w:rPr>
        <w:t>;25:25</w:t>
      </w:r>
      <w:proofErr w:type="gramEnd"/>
      <w:r w:rsidRPr="00F062EC">
        <w:rPr>
          <w:rFonts w:ascii="Times New Roman" w:hAnsi="Times New Roman" w:cs="Times New Roman"/>
          <w:sz w:val="20"/>
        </w:rPr>
        <w:t xml:space="preserve">–9. </w:t>
      </w:r>
    </w:p>
    <w:p w:rsidR="00F062EC" w:rsidRPr="00F062EC" w:rsidRDefault="00F062EC" w:rsidP="00F062EC">
      <w:pPr>
        <w:pStyle w:val="Bibliography"/>
        <w:rPr>
          <w:rFonts w:ascii="Times New Roman" w:hAnsi="Times New Roman" w:cs="Times New Roman"/>
          <w:sz w:val="20"/>
        </w:rPr>
      </w:pPr>
      <w:proofErr w:type="gramStart"/>
      <w:r w:rsidRPr="00F062EC">
        <w:rPr>
          <w:rFonts w:ascii="Times New Roman" w:hAnsi="Times New Roman" w:cs="Times New Roman"/>
          <w:sz w:val="20"/>
        </w:rPr>
        <w:t xml:space="preserve">10. </w:t>
      </w:r>
      <w:proofErr w:type="spellStart"/>
      <w:r w:rsidRPr="00F062EC">
        <w:rPr>
          <w:rFonts w:ascii="Times New Roman" w:hAnsi="Times New Roman" w:cs="Times New Roman"/>
          <w:sz w:val="20"/>
        </w:rPr>
        <w:t>Galagan</w:t>
      </w:r>
      <w:proofErr w:type="spellEnd"/>
      <w:r w:rsidRPr="00F062EC">
        <w:rPr>
          <w:rFonts w:ascii="Times New Roman" w:hAnsi="Times New Roman" w:cs="Times New Roman"/>
          <w:sz w:val="20"/>
        </w:rPr>
        <w:t xml:space="preserve"> JE, Minch K, Peterson M, </w:t>
      </w:r>
      <w:proofErr w:type="spellStart"/>
      <w:r w:rsidRPr="00F062EC">
        <w:rPr>
          <w:rFonts w:ascii="Times New Roman" w:hAnsi="Times New Roman" w:cs="Times New Roman"/>
          <w:sz w:val="20"/>
        </w:rPr>
        <w:t>Lyubetskaya</w:t>
      </w:r>
      <w:proofErr w:type="spellEnd"/>
      <w:r w:rsidRPr="00F062EC">
        <w:rPr>
          <w:rFonts w:ascii="Times New Roman" w:hAnsi="Times New Roman" w:cs="Times New Roman"/>
          <w:sz w:val="20"/>
        </w:rPr>
        <w:t xml:space="preserve"> A, </w:t>
      </w:r>
      <w:proofErr w:type="spellStart"/>
      <w:r w:rsidRPr="00F062EC">
        <w:rPr>
          <w:rFonts w:ascii="Times New Roman" w:hAnsi="Times New Roman" w:cs="Times New Roman"/>
          <w:sz w:val="20"/>
        </w:rPr>
        <w:t>Azizi</w:t>
      </w:r>
      <w:proofErr w:type="spellEnd"/>
      <w:r w:rsidRPr="00F062EC">
        <w:rPr>
          <w:rFonts w:ascii="Times New Roman" w:hAnsi="Times New Roman" w:cs="Times New Roman"/>
          <w:sz w:val="20"/>
        </w:rPr>
        <w:t xml:space="preserve"> E, Sweet L, et al.</w:t>
      </w:r>
      <w:proofErr w:type="gramEnd"/>
      <w:r w:rsidRPr="00F062EC">
        <w:rPr>
          <w:rFonts w:ascii="Times New Roman" w:hAnsi="Times New Roman" w:cs="Times New Roman"/>
          <w:sz w:val="20"/>
        </w:rPr>
        <w:t xml:space="preserve"> </w:t>
      </w:r>
      <w:proofErr w:type="gramStart"/>
      <w:r w:rsidRPr="00F062EC">
        <w:rPr>
          <w:rFonts w:ascii="Times New Roman" w:hAnsi="Times New Roman" w:cs="Times New Roman"/>
          <w:sz w:val="20"/>
        </w:rPr>
        <w:t>The Mycobacterium tuberculosis regulatory network and hypoxia.</w:t>
      </w:r>
      <w:proofErr w:type="gramEnd"/>
      <w:r w:rsidRPr="00F062EC">
        <w:rPr>
          <w:rFonts w:ascii="Times New Roman" w:hAnsi="Times New Roman" w:cs="Times New Roman"/>
          <w:sz w:val="20"/>
        </w:rPr>
        <w:t xml:space="preserve"> </w:t>
      </w:r>
      <w:proofErr w:type="gramStart"/>
      <w:r w:rsidRPr="00F062EC">
        <w:rPr>
          <w:rFonts w:ascii="Times New Roman" w:hAnsi="Times New Roman" w:cs="Times New Roman"/>
          <w:sz w:val="20"/>
        </w:rPr>
        <w:t>Nature.</w:t>
      </w:r>
      <w:proofErr w:type="gramEnd"/>
      <w:r w:rsidRPr="00F062EC">
        <w:rPr>
          <w:rFonts w:ascii="Times New Roman" w:hAnsi="Times New Roman" w:cs="Times New Roman"/>
          <w:sz w:val="20"/>
        </w:rPr>
        <w:t xml:space="preserve"> 2013</w:t>
      </w:r>
      <w:proofErr w:type="gramStart"/>
      <w:r w:rsidRPr="00F062EC">
        <w:rPr>
          <w:rFonts w:ascii="Times New Roman" w:hAnsi="Times New Roman" w:cs="Times New Roman"/>
          <w:sz w:val="20"/>
        </w:rPr>
        <w:t>;499:178</w:t>
      </w:r>
      <w:proofErr w:type="gramEnd"/>
      <w:r w:rsidRPr="00F062EC">
        <w:rPr>
          <w:rFonts w:ascii="Times New Roman" w:hAnsi="Times New Roman" w:cs="Times New Roman"/>
          <w:sz w:val="20"/>
        </w:rPr>
        <w:t xml:space="preserve">–83.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11. </w:t>
      </w:r>
      <w:proofErr w:type="spellStart"/>
      <w:r w:rsidRPr="00F062EC">
        <w:rPr>
          <w:rFonts w:ascii="Times New Roman" w:hAnsi="Times New Roman" w:cs="Times New Roman"/>
          <w:sz w:val="20"/>
        </w:rPr>
        <w:t>Gao</w:t>
      </w:r>
      <w:proofErr w:type="spellEnd"/>
      <w:r w:rsidRPr="00F062EC">
        <w:rPr>
          <w:rFonts w:ascii="Times New Roman" w:hAnsi="Times New Roman" w:cs="Times New Roman"/>
          <w:sz w:val="20"/>
        </w:rPr>
        <w:t xml:space="preserve"> C, Yang M, </w:t>
      </w:r>
      <w:proofErr w:type="gramStart"/>
      <w:r w:rsidRPr="00F062EC">
        <w:rPr>
          <w:rFonts w:ascii="Times New Roman" w:hAnsi="Times New Roman" w:cs="Times New Roman"/>
          <w:sz w:val="20"/>
        </w:rPr>
        <w:t>He</w:t>
      </w:r>
      <w:proofErr w:type="gramEnd"/>
      <w:r w:rsidRPr="00F062EC">
        <w:rPr>
          <w:rFonts w:ascii="Times New Roman" w:hAnsi="Times New Roman" w:cs="Times New Roman"/>
          <w:sz w:val="20"/>
        </w:rPr>
        <w:t xml:space="preserve"> Z-G. </w:t>
      </w:r>
      <w:proofErr w:type="gramStart"/>
      <w:r w:rsidRPr="00F062EC">
        <w:rPr>
          <w:rFonts w:ascii="Times New Roman" w:hAnsi="Times New Roman" w:cs="Times New Roman"/>
          <w:sz w:val="20"/>
        </w:rPr>
        <w:t xml:space="preserve">Characterization of a novel </w:t>
      </w:r>
      <w:proofErr w:type="spellStart"/>
      <w:r w:rsidRPr="00F062EC">
        <w:rPr>
          <w:rFonts w:ascii="Times New Roman" w:hAnsi="Times New Roman" w:cs="Times New Roman"/>
          <w:sz w:val="20"/>
        </w:rPr>
        <w:t>ArsR</w:t>
      </w:r>
      <w:proofErr w:type="spellEnd"/>
      <w:r w:rsidRPr="00F062EC">
        <w:rPr>
          <w:rFonts w:ascii="Times New Roman" w:hAnsi="Times New Roman" w:cs="Times New Roman"/>
          <w:sz w:val="20"/>
        </w:rPr>
        <w:t>-like regulator encoded by Rv2034 in Mycobacterium tuberculosis.</w:t>
      </w:r>
      <w:proofErr w:type="gramEnd"/>
      <w:r w:rsidRPr="00F062EC">
        <w:rPr>
          <w:rFonts w:ascii="Times New Roman" w:hAnsi="Times New Roman" w:cs="Times New Roman"/>
          <w:sz w:val="20"/>
        </w:rPr>
        <w:t xml:space="preserve"> </w:t>
      </w:r>
      <w:proofErr w:type="spellStart"/>
      <w:proofErr w:type="gramStart"/>
      <w:r w:rsidRPr="00F062EC">
        <w:rPr>
          <w:rFonts w:ascii="Times New Roman" w:hAnsi="Times New Roman" w:cs="Times New Roman"/>
          <w:sz w:val="20"/>
        </w:rPr>
        <w:t>PLoS</w:t>
      </w:r>
      <w:proofErr w:type="spellEnd"/>
      <w:r w:rsidRPr="00F062EC">
        <w:rPr>
          <w:rFonts w:ascii="Times New Roman" w:hAnsi="Times New Roman" w:cs="Times New Roman"/>
          <w:sz w:val="20"/>
        </w:rPr>
        <w:t xml:space="preserve"> ONE.</w:t>
      </w:r>
      <w:proofErr w:type="gramEnd"/>
      <w:r w:rsidRPr="00F062EC">
        <w:rPr>
          <w:rFonts w:ascii="Times New Roman" w:hAnsi="Times New Roman" w:cs="Times New Roman"/>
          <w:sz w:val="20"/>
        </w:rPr>
        <w:t xml:space="preserve"> 2012</w:t>
      </w:r>
      <w:proofErr w:type="gramStart"/>
      <w:r w:rsidRPr="00F062EC">
        <w:rPr>
          <w:rFonts w:ascii="Times New Roman" w:hAnsi="Times New Roman" w:cs="Times New Roman"/>
          <w:sz w:val="20"/>
        </w:rPr>
        <w:t>;7:e36255</w:t>
      </w:r>
      <w:proofErr w:type="gramEnd"/>
      <w:r w:rsidRPr="00F062EC">
        <w:rPr>
          <w:rFonts w:ascii="Times New Roman" w:hAnsi="Times New Roman" w:cs="Times New Roman"/>
          <w:sz w:val="20"/>
        </w:rPr>
        <w:t xml:space="preserve">.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lastRenderedPageBreak/>
        <w:t xml:space="preserve">12. </w:t>
      </w:r>
      <w:proofErr w:type="spellStart"/>
      <w:r w:rsidRPr="00F062EC">
        <w:rPr>
          <w:rFonts w:ascii="Times New Roman" w:hAnsi="Times New Roman" w:cs="Times New Roman"/>
          <w:sz w:val="20"/>
        </w:rPr>
        <w:t>Guo</w:t>
      </w:r>
      <w:proofErr w:type="spellEnd"/>
      <w:r w:rsidRPr="00F062EC">
        <w:rPr>
          <w:rFonts w:ascii="Times New Roman" w:hAnsi="Times New Roman" w:cs="Times New Roman"/>
          <w:sz w:val="20"/>
        </w:rPr>
        <w:t xml:space="preserve"> M, </w:t>
      </w:r>
      <w:proofErr w:type="spellStart"/>
      <w:r w:rsidRPr="00F062EC">
        <w:rPr>
          <w:rFonts w:ascii="Times New Roman" w:hAnsi="Times New Roman" w:cs="Times New Roman"/>
          <w:sz w:val="20"/>
        </w:rPr>
        <w:t>Feng</w:t>
      </w:r>
      <w:proofErr w:type="spellEnd"/>
      <w:r w:rsidRPr="00F062EC">
        <w:rPr>
          <w:rFonts w:ascii="Times New Roman" w:hAnsi="Times New Roman" w:cs="Times New Roman"/>
          <w:sz w:val="20"/>
        </w:rPr>
        <w:t xml:space="preserve"> H, Zhang J, Wang W, Wang Y, Li Y, et al. Dissecting transcription regulatory pathways through a new bacterial one-hybrid reporter system. Genome Res. 2009</w:t>
      </w:r>
      <w:proofErr w:type="gramStart"/>
      <w:r w:rsidRPr="00F062EC">
        <w:rPr>
          <w:rFonts w:ascii="Times New Roman" w:hAnsi="Times New Roman" w:cs="Times New Roman"/>
          <w:sz w:val="20"/>
        </w:rPr>
        <w:t>;19:1301</w:t>
      </w:r>
      <w:proofErr w:type="gramEnd"/>
      <w:r w:rsidRPr="00F062EC">
        <w:rPr>
          <w:rFonts w:ascii="Times New Roman" w:hAnsi="Times New Roman" w:cs="Times New Roman"/>
          <w:sz w:val="20"/>
        </w:rPr>
        <w:t xml:space="preserve">–8.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13. Gupta S, </w:t>
      </w:r>
      <w:proofErr w:type="spellStart"/>
      <w:r w:rsidRPr="00F062EC">
        <w:rPr>
          <w:rFonts w:ascii="Times New Roman" w:hAnsi="Times New Roman" w:cs="Times New Roman"/>
          <w:sz w:val="20"/>
        </w:rPr>
        <w:t>Sinha</w:t>
      </w:r>
      <w:proofErr w:type="spellEnd"/>
      <w:r w:rsidRPr="00F062EC">
        <w:rPr>
          <w:rFonts w:ascii="Times New Roman" w:hAnsi="Times New Roman" w:cs="Times New Roman"/>
          <w:sz w:val="20"/>
        </w:rPr>
        <w:t xml:space="preserve"> A, </w:t>
      </w:r>
      <w:proofErr w:type="spellStart"/>
      <w:r w:rsidRPr="00F062EC">
        <w:rPr>
          <w:rFonts w:ascii="Times New Roman" w:hAnsi="Times New Roman" w:cs="Times New Roman"/>
          <w:sz w:val="20"/>
        </w:rPr>
        <w:t>Sarkar</w:t>
      </w:r>
      <w:proofErr w:type="spellEnd"/>
      <w:r w:rsidRPr="00F062EC">
        <w:rPr>
          <w:rFonts w:ascii="Times New Roman" w:hAnsi="Times New Roman" w:cs="Times New Roman"/>
          <w:sz w:val="20"/>
        </w:rPr>
        <w:t xml:space="preserve"> D. Transcriptional </w:t>
      </w:r>
      <w:proofErr w:type="spellStart"/>
      <w:r w:rsidRPr="00F062EC">
        <w:rPr>
          <w:rFonts w:ascii="Times New Roman" w:hAnsi="Times New Roman" w:cs="Times New Roman"/>
          <w:sz w:val="20"/>
        </w:rPr>
        <w:t>autoregulation</w:t>
      </w:r>
      <w:proofErr w:type="spellEnd"/>
      <w:r w:rsidRPr="00F062EC">
        <w:rPr>
          <w:rFonts w:ascii="Times New Roman" w:hAnsi="Times New Roman" w:cs="Times New Roman"/>
          <w:sz w:val="20"/>
        </w:rPr>
        <w:t xml:space="preserve"> by Mycobacterium tuberculosis </w:t>
      </w:r>
      <w:proofErr w:type="spellStart"/>
      <w:r w:rsidRPr="00F062EC">
        <w:rPr>
          <w:rFonts w:ascii="Times New Roman" w:hAnsi="Times New Roman" w:cs="Times New Roman"/>
          <w:sz w:val="20"/>
        </w:rPr>
        <w:t>PhoP</w:t>
      </w:r>
      <w:proofErr w:type="spellEnd"/>
      <w:r w:rsidRPr="00F062EC">
        <w:rPr>
          <w:rFonts w:ascii="Times New Roman" w:hAnsi="Times New Roman" w:cs="Times New Roman"/>
          <w:sz w:val="20"/>
        </w:rPr>
        <w:t xml:space="preserve"> involves recognition of novel direct repeat sequences in the regulatory region of the promoter. </w:t>
      </w:r>
      <w:proofErr w:type="gramStart"/>
      <w:r w:rsidRPr="00F062EC">
        <w:rPr>
          <w:rFonts w:ascii="Times New Roman" w:hAnsi="Times New Roman" w:cs="Times New Roman"/>
          <w:sz w:val="20"/>
        </w:rPr>
        <w:t xml:space="preserve">FEBS </w:t>
      </w:r>
      <w:proofErr w:type="spellStart"/>
      <w:r w:rsidRPr="00F062EC">
        <w:rPr>
          <w:rFonts w:ascii="Times New Roman" w:hAnsi="Times New Roman" w:cs="Times New Roman"/>
          <w:sz w:val="20"/>
        </w:rPr>
        <w:t>Lett</w:t>
      </w:r>
      <w:proofErr w:type="spellEnd"/>
      <w:r w:rsidRPr="00F062EC">
        <w:rPr>
          <w:rFonts w:ascii="Times New Roman" w:hAnsi="Times New Roman" w:cs="Times New Roman"/>
          <w:sz w:val="20"/>
        </w:rPr>
        <w:t>.</w:t>
      </w:r>
      <w:proofErr w:type="gramEnd"/>
      <w:r w:rsidRPr="00F062EC">
        <w:rPr>
          <w:rFonts w:ascii="Times New Roman" w:hAnsi="Times New Roman" w:cs="Times New Roman"/>
          <w:sz w:val="20"/>
        </w:rPr>
        <w:t xml:space="preserve"> 2006</w:t>
      </w:r>
      <w:proofErr w:type="gramStart"/>
      <w:r w:rsidRPr="00F062EC">
        <w:rPr>
          <w:rFonts w:ascii="Times New Roman" w:hAnsi="Times New Roman" w:cs="Times New Roman"/>
          <w:sz w:val="20"/>
        </w:rPr>
        <w:t>;580:5328</w:t>
      </w:r>
      <w:proofErr w:type="gramEnd"/>
      <w:r w:rsidRPr="00F062EC">
        <w:rPr>
          <w:rFonts w:ascii="Times New Roman" w:hAnsi="Times New Roman" w:cs="Times New Roman"/>
          <w:sz w:val="20"/>
        </w:rPr>
        <w:t xml:space="preserve">–38.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14. He H, </w:t>
      </w:r>
      <w:proofErr w:type="spellStart"/>
      <w:r w:rsidRPr="00F062EC">
        <w:rPr>
          <w:rFonts w:ascii="Times New Roman" w:hAnsi="Times New Roman" w:cs="Times New Roman"/>
          <w:sz w:val="20"/>
        </w:rPr>
        <w:t>Bretl</w:t>
      </w:r>
      <w:proofErr w:type="spellEnd"/>
      <w:r w:rsidRPr="00F062EC">
        <w:rPr>
          <w:rFonts w:ascii="Times New Roman" w:hAnsi="Times New Roman" w:cs="Times New Roman"/>
          <w:sz w:val="20"/>
        </w:rPr>
        <w:t xml:space="preserve"> DJ, </w:t>
      </w:r>
      <w:proofErr w:type="spellStart"/>
      <w:r w:rsidRPr="00F062EC">
        <w:rPr>
          <w:rFonts w:ascii="Times New Roman" w:hAnsi="Times New Roman" w:cs="Times New Roman"/>
          <w:sz w:val="20"/>
        </w:rPr>
        <w:t>Penoske</w:t>
      </w:r>
      <w:proofErr w:type="spellEnd"/>
      <w:r w:rsidRPr="00F062EC">
        <w:rPr>
          <w:rFonts w:ascii="Times New Roman" w:hAnsi="Times New Roman" w:cs="Times New Roman"/>
          <w:sz w:val="20"/>
        </w:rPr>
        <w:t xml:space="preserve"> RM, Anderson DM, </w:t>
      </w:r>
      <w:proofErr w:type="spellStart"/>
      <w:r w:rsidRPr="00F062EC">
        <w:rPr>
          <w:rFonts w:ascii="Times New Roman" w:hAnsi="Times New Roman" w:cs="Times New Roman"/>
          <w:sz w:val="20"/>
        </w:rPr>
        <w:t>Zahrt</w:t>
      </w:r>
      <w:proofErr w:type="spellEnd"/>
      <w:r w:rsidRPr="00F062EC">
        <w:rPr>
          <w:rFonts w:ascii="Times New Roman" w:hAnsi="Times New Roman" w:cs="Times New Roman"/>
          <w:sz w:val="20"/>
        </w:rPr>
        <w:t xml:space="preserve"> TC. Components of the Rv0081-Rv0088 locus, which encodes a predicted </w:t>
      </w:r>
      <w:proofErr w:type="spellStart"/>
      <w:r w:rsidRPr="00F062EC">
        <w:rPr>
          <w:rFonts w:ascii="Times New Roman" w:hAnsi="Times New Roman" w:cs="Times New Roman"/>
          <w:sz w:val="20"/>
        </w:rPr>
        <w:t>formate</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hydrogenlyase</w:t>
      </w:r>
      <w:proofErr w:type="spellEnd"/>
      <w:r w:rsidRPr="00F062EC">
        <w:rPr>
          <w:rFonts w:ascii="Times New Roman" w:hAnsi="Times New Roman" w:cs="Times New Roman"/>
          <w:sz w:val="20"/>
        </w:rPr>
        <w:t xml:space="preserve"> complex, are </w:t>
      </w:r>
      <w:proofErr w:type="spellStart"/>
      <w:r w:rsidRPr="00F062EC">
        <w:rPr>
          <w:rFonts w:ascii="Times New Roman" w:hAnsi="Times New Roman" w:cs="Times New Roman"/>
          <w:sz w:val="20"/>
        </w:rPr>
        <w:t>coregulated</w:t>
      </w:r>
      <w:proofErr w:type="spellEnd"/>
      <w:r w:rsidRPr="00F062EC">
        <w:rPr>
          <w:rFonts w:ascii="Times New Roman" w:hAnsi="Times New Roman" w:cs="Times New Roman"/>
          <w:sz w:val="20"/>
        </w:rPr>
        <w:t xml:space="preserve"> by Rv0081, </w:t>
      </w:r>
      <w:proofErr w:type="spellStart"/>
      <w:r w:rsidRPr="00F062EC">
        <w:rPr>
          <w:rFonts w:ascii="Times New Roman" w:hAnsi="Times New Roman" w:cs="Times New Roman"/>
          <w:sz w:val="20"/>
        </w:rPr>
        <w:t>MprA</w:t>
      </w:r>
      <w:proofErr w:type="spellEnd"/>
      <w:r w:rsidRPr="00F062EC">
        <w:rPr>
          <w:rFonts w:ascii="Times New Roman" w:hAnsi="Times New Roman" w:cs="Times New Roman"/>
          <w:sz w:val="20"/>
        </w:rPr>
        <w:t xml:space="preserve">, and </w:t>
      </w:r>
      <w:proofErr w:type="spellStart"/>
      <w:r w:rsidRPr="00F062EC">
        <w:rPr>
          <w:rFonts w:ascii="Times New Roman" w:hAnsi="Times New Roman" w:cs="Times New Roman"/>
          <w:sz w:val="20"/>
        </w:rPr>
        <w:t>DosR</w:t>
      </w:r>
      <w:proofErr w:type="spellEnd"/>
      <w:r w:rsidRPr="00F062EC">
        <w:rPr>
          <w:rFonts w:ascii="Times New Roman" w:hAnsi="Times New Roman" w:cs="Times New Roman"/>
          <w:sz w:val="20"/>
        </w:rPr>
        <w:t xml:space="preserve"> in Mycobacterium tuberculosis. </w:t>
      </w:r>
      <w:proofErr w:type="gramStart"/>
      <w:r w:rsidRPr="00F062EC">
        <w:rPr>
          <w:rFonts w:ascii="Times New Roman" w:hAnsi="Times New Roman" w:cs="Times New Roman"/>
          <w:sz w:val="20"/>
        </w:rPr>
        <w:t xml:space="preserve">J </w:t>
      </w:r>
      <w:proofErr w:type="spellStart"/>
      <w:r w:rsidRPr="00F062EC">
        <w:rPr>
          <w:rFonts w:ascii="Times New Roman" w:hAnsi="Times New Roman" w:cs="Times New Roman"/>
          <w:sz w:val="20"/>
        </w:rPr>
        <w:t>Bacteriol</w:t>
      </w:r>
      <w:proofErr w:type="spellEnd"/>
      <w:r w:rsidRPr="00F062EC">
        <w:rPr>
          <w:rFonts w:ascii="Times New Roman" w:hAnsi="Times New Roman" w:cs="Times New Roman"/>
          <w:sz w:val="20"/>
        </w:rPr>
        <w:t>.</w:t>
      </w:r>
      <w:proofErr w:type="gramEnd"/>
      <w:r w:rsidRPr="00F062EC">
        <w:rPr>
          <w:rFonts w:ascii="Times New Roman" w:hAnsi="Times New Roman" w:cs="Times New Roman"/>
          <w:sz w:val="20"/>
        </w:rPr>
        <w:t xml:space="preserve"> 2011</w:t>
      </w:r>
      <w:proofErr w:type="gramStart"/>
      <w:r w:rsidRPr="00F062EC">
        <w:rPr>
          <w:rFonts w:ascii="Times New Roman" w:hAnsi="Times New Roman" w:cs="Times New Roman"/>
          <w:sz w:val="20"/>
        </w:rPr>
        <w:t>;193:5105</w:t>
      </w:r>
      <w:proofErr w:type="gramEnd"/>
      <w:r w:rsidRPr="00F062EC">
        <w:rPr>
          <w:rFonts w:ascii="Times New Roman" w:hAnsi="Times New Roman" w:cs="Times New Roman"/>
          <w:sz w:val="20"/>
        </w:rPr>
        <w:t xml:space="preserve">–18.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15. Minch KJ, </w:t>
      </w:r>
      <w:proofErr w:type="spellStart"/>
      <w:r w:rsidRPr="00F062EC">
        <w:rPr>
          <w:rFonts w:ascii="Times New Roman" w:hAnsi="Times New Roman" w:cs="Times New Roman"/>
          <w:sz w:val="20"/>
        </w:rPr>
        <w:t>Rustad</w:t>
      </w:r>
      <w:proofErr w:type="spellEnd"/>
      <w:r w:rsidRPr="00F062EC">
        <w:rPr>
          <w:rFonts w:ascii="Times New Roman" w:hAnsi="Times New Roman" w:cs="Times New Roman"/>
          <w:sz w:val="20"/>
        </w:rPr>
        <w:t xml:space="preserve"> TR, Peterson EJR, Winkler J, Reiss DJ, Ma S, et al. </w:t>
      </w:r>
      <w:proofErr w:type="gramStart"/>
      <w:r w:rsidRPr="00F062EC">
        <w:rPr>
          <w:rFonts w:ascii="Times New Roman" w:hAnsi="Times New Roman" w:cs="Times New Roman"/>
          <w:sz w:val="20"/>
        </w:rPr>
        <w:t>The DNA-binding network of Mycobacterium tuberculosis.</w:t>
      </w:r>
      <w:proofErr w:type="gramEnd"/>
      <w:r w:rsidRPr="00F062EC">
        <w:rPr>
          <w:rFonts w:ascii="Times New Roman" w:hAnsi="Times New Roman" w:cs="Times New Roman"/>
          <w:sz w:val="20"/>
        </w:rPr>
        <w:t xml:space="preserve"> </w:t>
      </w:r>
      <w:proofErr w:type="gramStart"/>
      <w:r w:rsidRPr="00F062EC">
        <w:rPr>
          <w:rFonts w:ascii="Times New Roman" w:hAnsi="Times New Roman" w:cs="Times New Roman"/>
          <w:sz w:val="20"/>
        </w:rPr>
        <w:t>Nature Communications.</w:t>
      </w:r>
      <w:proofErr w:type="gramEnd"/>
      <w:r w:rsidRPr="00F062EC">
        <w:rPr>
          <w:rFonts w:ascii="Times New Roman" w:hAnsi="Times New Roman" w:cs="Times New Roman"/>
          <w:sz w:val="20"/>
        </w:rPr>
        <w:t xml:space="preserve"> 2015</w:t>
      </w:r>
      <w:proofErr w:type="gramStart"/>
      <w:r w:rsidRPr="00F062EC">
        <w:rPr>
          <w:rFonts w:ascii="Times New Roman" w:hAnsi="Times New Roman" w:cs="Times New Roman"/>
          <w:sz w:val="20"/>
        </w:rPr>
        <w:t>;6:5829</w:t>
      </w:r>
      <w:proofErr w:type="gramEnd"/>
      <w:r w:rsidRPr="00F062EC">
        <w:rPr>
          <w:rFonts w:ascii="Times New Roman" w:hAnsi="Times New Roman" w:cs="Times New Roman"/>
          <w:sz w:val="20"/>
        </w:rPr>
        <w:t xml:space="preserve">.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16. Gonzalez AG, </w:t>
      </w:r>
      <w:proofErr w:type="spellStart"/>
      <w:r w:rsidRPr="00F062EC">
        <w:rPr>
          <w:rFonts w:ascii="Times New Roman" w:hAnsi="Times New Roman" w:cs="Times New Roman"/>
          <w:sz w:val="20"/>
        </w:rPr>
        <w:t>Naldi</w:t>
      </w:r>
      <w:proofErr w:type="spellEnd"/>
      <w:r w:rsidRPr="00F062EC">
        <w:rPr>
          <w:rFonts w:ascii="Times New Roman" w:hAnsi="Times New Roman" w:cs="Times New Roman"/>
          <w:sz w:val="20"/>
        </w:rPr>
        <w:t xml:space="preserve"> A, </w:t>
      </w:r>
      <w:proofErr w:type="spellStart"/>
      <w:r w:rsidRPr="00F062EC">
        <w:rPr>
          <w:rFonts w:ascii="Times New Roman" w:hAnsi="Times New Roman" w:cs="Times New Roman"/>
          <w:sz w:val="20"/>
        </w:rPr>
        <w:t>Sánchez</w:t>
      </w:r>
      <w:proofErr w:type="spellEnd"/>
      <w:r w:rsidRPr="00F062EC">
        <w:rPr>
          <w:rFonts w:ascii="Times New Roman" w:hAnsi="Times New Roman" w:cs="Times New Roman"/>
          <w:sz w:val="20"/>
        </w:rPr>
        <w:t xml:space="preserve"> L, </w:t>
      </w:r>
      <w:proofErr w:type="spellStart"/>
      <w:r w:rsidRPr="00F062EC">
        <w:rPr>
          <w:rFonts w:ascii="Times New Roman" w:hAnsi="Times New Roman" w:cs="Times New Roman"/>
          <w:sz w:val="20"/>
        </w:rPr>
        <w:t>Thieffry</w:t>
      </w:r>
      <w:proofErr w:type="spellEnd"/>
      <w:r w:rsidRPr="00F062EC">
        <w:rPr>
          <w:rFonts w:ascii="Times New Roman" w:hAnsi="Times New Roman" w:cs="Times New Roman"/>
          <w:sz w:val="20"/>
        </w:rPr>
        <w:t xml:space="preserve"> D, </w:t>
      </w:r>
      <w:proofErr w:type="spellStart"/>
      <w:r w:rsidRPr="00F062EC">
        <w:rPr>
          <w:rFonts w:ascii="Times New Roman" w:hAnsi="Times New Roman" w:cs="Times New Roman"/>
          <w:sz w:val="20"/>
        </w:rPr>
        <w:t>Chaouiya</w:t>
      </w:r>
      <w:proofErr w:type="spellEnd"/>
      <w:r w:rsidRPr="00F062EC">
        <w:rPr>
          <w:rFonts w:ascii="Times New Roman" w:hAnsi="Times New Roman" w:cs="Times New Roman"/>
          <w:sz w:val="20"/>
        </w:rPr>
        <w:t xml:space="preserve"> C. </w:t>
      </w:r>
      <w:proofErr w:type="spellStart"/>
      <w:r w:rsidRPr="00F062EC">
        <w:rPr>
          <w:rFonts w:ascii="Times New Roman" w:hAnsi="Times New Roman" w:cs="Times New Roman"/>
          <w:sz w:val="20"/>
        </w:rPr>
        <w:t>GINsim</w:t>
      </w:r>
      <w:proofErr w:type="spellEnd"/>
      <w:r w:rsidRPr="00F062EC">
        <w:rPr>
          <w:rFonts w:ascii="Times New Roman" w:hAnsi="Times New Roman" w:cs="Times New Roman"/>
          <w:sz w:val="20"/>
        </w:rPr>
        <w:t xml:space="preserve">: a software suite for the qualitative </w:t>
      </w:r>
      <w:proofErr w:type="spellStart"/>
      <w:r w:rsidRPr="00F062EC">
        <w:rPr>
          <w:rFonts w:ascii="Times New Roman" w:hAnsi="Times New Roman" w:cs="Times New Roman"/>
          <w:sz w:val="20"/>
        </w:rPr>
        <w:t>modelling</w:t>
      </w:r>
      <w:proofErr w:type="spellEnd"/>
      <w:r w:rsidRPr="00F062EC">
        <w:rPr>
          <w:rFonts w:ascii="Times New Roman" w:hAnsi="Times New Roman" w:cs="Times New Roman"/>
          <w:sz w:val="20"/>
        </w:rPr>
        <w:t xml:space="preserve">, simulation and analysis of regulatory networks. </w:t>
      </w:r>
      <w:proofErr w:type="spellStart"/>
      <w:proofErr w:type="gramStart"/>
      <w:r w:rsidRPr="00F062EC">
        <w:rPr>
          <w:rFonts w:ascii="Times New Roman" w:hAnsi="Times New Roman" w:cs="Times New Roman"/>
          <w:sz w:val="20"/>
        </w:rPr>
        <w:t>BioSystems</w:t>
      </w:r>
      <w:proofErr w:type="spellEnd"/>
      <w:r w:rsidRPr="00F062EC">
        <w:rPr>
          <w:rFonts w:ascii="Times New Roman" w:hAnsi="Times New Roman" w:cs="Times New Roman"/>
          <w:sz w:val="20"/>
        </w:rPr>
        <w:t>.</w:t>
      </w:r>
      <w:proofErr w:type="gramEnd"/>
      <w:r w:rsidRPr="00F062EC">
        <w:rPr>
          <w:rFonts w:ascii="Times New Roman" w:hAnsi="Times New Roman" w:cs="Times New Roman"/>
          <w:sz w:val="20"/>
        </w:rPr>
        <w:t xml:space="preserve"> 2006</w:t>
      </w:r>
      <w:proofErr w:type="gramStart"/>
      <w:r w:rsidRPr="00F062EC">
        <w:rPr>
          <w:rFonts w:ascii="Times New Roman" w:hAnsi="Times New Roman" w:cs="Times New Roman"/>
          <w:sz w:val="20"/>
        </w:rPr>
        <w:t>;84:91</w:t>
      </w:r>
      <w:proofErr w:type="gramEnd"/>
      <w:r w:rsidRPr="00F062EC">
        <w:rPr>
          <w:rFonts w:ascii="Times New Roman" w:hAnsi="Times New Roman" w:cs="Times New Roman"/>
          <w:sz w:val="20"/>
        </w:rPr>
        <w:t xml:space="preserve">–100.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17. Das C, </w:t>
      </w:r>
      <w:proofErr w:type="spellStart"/>
      <w:r w:rsidRPr="00F062EC">
        <w:rPr>
          <w:rFonts w:ascii="Times New Roman" w:hAnsi="Times New Roman" w:cs="Times New Roman"/>
          <w:sz w:val="20"/>
        </w:rPr>
        <w:t>Dutta</w:t>
      </w:r>
      <w:proofErr w:type="spellEnd"/>
      <w:r w:rsidRPr="00F062EC">
        <w:rPr>
          <w:rFonts w:ascii="Times New Roman" w:hAnsi="Times New Roman" w:cs="Times New Roman"/>
          <w:sz w:val="20"/>
        </w:rPr>
        <w:t xml:space="preserve"> A, </w:t>
      </w:r>
      <w:proofErr w:type="spellStart"/>
      <w:r w:rsidRPr="00F062EC">
        <w:rPr>
          <w:rFonts w:ascii="Times New Roman" w:hAnsi="Times New Roman" w:cs="Times New Roman"/>
          <w:sz w:val="20"/>
        </w:rPr>
        <w:t>Rajasingh</w:t>
      </w:r>
      <w:proofErr w:type="spellEnd"/>
      <w:r w:rsidRPr="00F062EC">
        <w:rPr>
          <w:rFonts w:ascii="Times New Roman" w:hAnsi="Times New Roman" w:cs="Times New Roman"/>
          <w:sz w:val="20"/>
        </w:rPr>
        <w:t xml:space="preserve"> H, </w:t>
      </w:r>
      <w:proofErr w:type="spellStart"/>
      <w:r w:rsidRPr="00F062EC">
        <w:rPr>
          <w:rFonts w:ascii="Times New Roman" w:hAnsi="Times New Roman" w:cs="Times New Roman"/>
          <w:sz w:val="20"/>
        </w:rPr>
        <w:t>Mande</w:t>
      </w:r>
      <w:proofErr w:type="spellEnd"/>
      <w:r w:rsidRPr="00F062EC">
        <w:rPr>
          <w:rFonts w:ascii="Times New Roman" w:hAnsi="Times New Roman" w:cs="Times New Roman"/>
          <w:sz w:val="20"/>
        </w:rPr>
        <w:t xml:space="preserve"> SS. Understanding the sequential activation of Type III and Type VI Secretion Systems in Salmonella </w:t>
      </w:r>
      <w:proofErr w:type="spellStart"/>
      <w:r w:rsidRPr="00F062EC">
        <w:rPr>
          <w:rFonts w:ascii="Times New Roman" w:hAnsi="Times New Roman" w:cs="Times New Roman"/>
          <w:sz w:val="20"/>
        </w:rPr>
        <w:t>typhimurium</w:t>
      </w:r>
      <w:proofErr w:type="spellEnd"/>
      <w:r w:rsidRPr="00F062EC">
        <w:rPr>
          <w:rFonts w:ascii="Times New Roman" w:hAnsi="Times New Roman" w:cs="Times New Roman"/>
          <w:sz w:val="20"/>
        </w:rPr>
        <w:t xml:space="preserve"> using Boolean modeling. Gut </w:t>
      </w:r>
      <w:proofErr w:type="spellStart"/>
      <w:r w:rsidRPr="00F062EC">
        <w:rPr>
          <w:rFonts w:ascii="Times New Roman" w:hAnsi="Times New Roman" w:cs="Times New Roman"/>
          <w:sz w:val="20"/>
        </w:rPr>
        <w:t>Pathog</w:t>
      </w:r>
      <w:proofErr w:type="spellEnd"/>
      <w:r w:rsidRPr="00F062EC">
        <w:rPr>
          <w:rFonts w:ascii="Times New Roman" w:hAnsi="Times New Roman" w:cs="Times New Roman"/>
          <w:sz w:val="20"/>
        </w:rPr>
        <w:t>. 2013</w:t>
      </w:r>
      <w:proofErr w:type="gramStart"/>
      <w:r w:rsidRPr="00F062EC">
        <w:rPr>
          <w:rFonts w:ascii="Times New Roman" w:hAnsi="Times New Roman" w:cs="Times New Roman"/>
          <w:sz w:val="20"/>
        </w:rPr>
        <w:t>;5:28</w:t>
      </w:r>
      <w:proofErr w:type="gramEnd"/>
      <w:r w:rsidRPr="00F062EC">
        <w:rPr>
          <w:rFonts w:ascii="Times New Roman" w:hAnsi="Times New Roman" w:cs="Times New Roman"/>
          <w:sz w:val="20"/>
        </w:rPr>
        <w:t xml:space="preserve">.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18. </w:t>
      </w:r>
      <w:proofErr w:type="spellStart"/>
      <w:r w:rsidRPr="00F062EC">
        <w:rPr>
          <w:rFonts w:ascii="Times New Roman" w:hAnsi="Times New Roman" w:cs="Times New Roman"/>
          <w:sz w:val="20"/>
        </w:rPr>
        <w:t>Hegde</w:t>
      </w:r>
      <w:proofErr w:type="spellEnd"/>
      <w:r w:rsidRPr="00F062EC">
        <w:rPr>
          <w:rFonts w:ascii="Times New Roman" w:hAnsi="Times New Roman" w:cs="Times New Roman"/>
          <w:sz w:val="20"/>
        </w:rPr>
        <w:t xml:space="preserve"> SR, </w:t>
      </w:r>
      <w:proofErr w:type="spellStart"/>
      <w:r w:rsidRPr="00F062EC">
        <w:rPr>
          <w:rFonts w:ascii="Times New Roman" w:hAnsi="Times New Roman" w:cs="Times New Roman"/>
          <w:sz w:val="20"/>
        </w:rPr>
        <w:t>Rajasingh</w:t>
      </w:r>
      <w:proofErr w:type="spellEnd"/>
      <w:r w:rsidRPr="00F062EC">
        <w:rPr>
          <w:rFonts w:ascii="Times New Roman" w:hAnsi="Times New Roman" w:cs="Times New Roman"/>
          <w:sz w:val="20"/>
        </w:rPr>
        <w:t xml:space="preserve"> H, Das C, </w:t>
      </w:r>
      <w:proofErr w:type="spellStart"/>
      <w:r w:rsidRPr="00F062EC">
        <w:rPr>
          <w:rFonts w:ascii="Times New Roman" w:hAnsi="Times New Roman" w:cs="Times New Roman"/>
          <w:sz w:val="20"/>
        </w:rPr>
        <w:t>Mande</w:t>
      </w:r>
      <w:proofErr w:type="spellEnd"/>
      <w:r w:rsidRPr="00F062EC">
        <w:rPr>
          <w:rFonts w:ascii="Times New Roman" w:hAnsi="Times New Roman" w:cs="Times New Roman"/>
          <w:sz w:val="20"/>
        </w:rPr>
        <w:t xml:space="preserve"> SS, </w:t>
      </w:r>
      <w:proofErr w:type="spellStart"/>
      <w:r w:rsidRPr="00F062EC">
        <w:rPr>
          <w:rFonts w:ascii="Times New Roman" w:hAnsi="Times New Roman" w:cs="Times New Roman"/>
          <w:sz w:val="20"/>
        </w:rPr>
        <w:t>Mande</w:t>
      </w:r>
      <w:proofErr w:type="spellEnd"/>
      <w:r w:rsidRPr="00F062EC">
        <w:rPr>
          <w:rFonts w:ascii="Times New Roman" w:hAnsi="Times New Roman" w:cs="Times New Roman"/>
          <w:sz w:val="20"/>
        </w:rPr>
        <w:t xml:space="preserve"> SC. Understanding Communication Signals during </w:t>
      </w:r>
      <w:proofErr w:type="spellStart"/>
      <w:r w:rsidRPr="00F062EC">
        <w:rPr>
          <w:rFonts w:ascii="Times New Roman" w:hAnsi="Times New Roman" w:cs="Times New Roman"/>
          <w:sz w:val="20"/>
        </w:rPr>
        <w:t>Mycobacterial</w:t>
      </w:r>
      <w:proofErr w:type="spellEnd"/>
      <w:r w:rsidRPr="00F062EC">
        <w:rPr>
          <w:rFonts w:ascii="Times New Roman" w:hAnsi="Times New Roman" w:cs="Times New Roman"/>
          <w:sz w:val="20"/>
        </w:rPr>
        <w:t xml:space="preserve"> Latency through Predicted Genome-Wide Protein Interactions and Boolean Modeling. </w:t>
      </w:r>
      <w:proofErr w:type="gramStart"/>
      <w:r w:rsidRPr="00F062EC">
        <w:rPr>
          <w:rFonts w:ascii="Times New Roman" w:hAnsi="Times New Roman" w:cs="Times New Roman"/>
          <w:sz w:val="20"/>
        </w:rPr>
        <w:t>PLOS ONE.</w:t>
      </w:r>
      <w:proofErr w:type="gramEnd"/>
      <w:r w:rsidRPr="00F062EC">
        <w:rPr>
          <w:rFonts w:ascii="Times New Roman" w:hAnsi="Times New Roman" w:cs="Times New Roman"/>
          <w:sz w:val="20"/>
        </w:rPr>
        <w:t xml:space="preserve"> 2012</w:t>
      </w:r>
      <w:proofErr w:type="gramStart"/>
      <w:r w:rsidRPr="00F062EC">
        <w:rPr>
          <w:rFonts w:ascii="Times New Roman" w:hAnsi="Times New Roman" w:cs="Times New Roman"/>
          <w:sz w:val="20"/>
        </w:rPr>
        <w:t>;7:e33893</w:t>
      </w:r>
      <w:proofErr w:type="gramEnd"/>
      <w:r w:rsidRPr="00F062EC">
        <w:rPr>
          <w:rFonts w:ascii="Times New Roman" w:hAnsi="Times New Roman" w:cs="Times New Roman"/>
          <w:sz w:val="20"/>
        </w:rPr>
        <w:t xml:space="preserve">.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19. </w:t>
      </w:r>
      <w:proofErr w:type="spellStart"/>
      <w:r w:rsidRPr="00F062EC">
        <w:rPr>
          <w:rFonts w:ascii="Times New Roman" w:hAnsi="Times New Roman" w:cs="Times New Roman"/>
          <w:sz w:val="20"/>
        </w:rPr>
        <w:t>Karim</w:t>
      </w:r>
      <w:proofErr w:type="spellEnd"/>
      <w:r w:rsidRPr="00F062EC">
        <w:rPr>
          <w:rFonts w:ascii="Times New Roman" w:hAnsi="Times New Roman" w:cs="Times New Roman"/>
          <w:sz w:val="20"/>
        </w:rPr>
        <w:t xml:space="preserve"> AF, Chandra P, Chopra A, </w:t>
      </w:r>
      <w:proofErr w:type="spellStart"/>
      <w:r w:rsidRPr="00F062EC">
        <w:rPr>
          <w:rFonts w:ascii="Times New Roman" w:hAnsi="Times New Roman" w:cs="Times New Roman"/>
          <w:sz w:val="20"/>
        </w:rPr>
        <w:t>Siddiqui</w:t>
      </w:r>
      <w:proofErr w:type="spellEnd"/>
      <w:r w:rsidRPr="00F062EC">
        <w:rPr>
          <w:rFonts w:ascii="Times New Roman" w:hAnsi="Times New Roman" w:cs="Times New Roman"/>
          <w:sz w:val="20"/>
        </w:rPr>
        <w:t xml:space="preserve"> Z, </w:t>
      </w:r>
      <w:proofErr w:type="spellStart"/>
      <w:r w:rsidRPr="00F062EC">
        <w:rPr>
          <w:rFonts w:ascii="Times New Roman" w:hAnsi="Times New Roman" w:cs="Times New Roman"/>
          <w:sz w:val="20"/>
        </w:rPr>
        <w:t>Bhaskar</w:t>
      </w:r>
      <w:proofErr w:type="spellEnd"/>
      <w:r w:rsidRPr="00F062EC">
        <w:rPr>
          <w:rFonts w:ascii="Times New Roman" w:hAnsi="Times New Roman" w:cs="Times New Roman"/>
          <w:sz w:val="20"/>
        </w:rPr>
        <w:t xml:space="preserve"> A, Singh A, et al. Express path analysis identifies a tyrosine </w:t>
      </w:r>
      <w:proofErr w:type="spellStart"/>
      <w:r w:rsidRPr="00F062EC">
        <w:rPr>
          <w:rFonts w:ascii="Times New Roman" w:hAnsi="Times New Roman" w:cs="Times New Roman"/>
          <w:sz w:val="20"/>
        </w:rPr>
        <w:t>kinase</w:t>
      </w:r>
      <w:proofErr w:type="spellEnd"/>
      <w:r w:rsidRPr="00F062EC">
        <w:rPr>
          <w:rFonts w:ascii="Times New Roman" w:hAnsi="Times New Roman" w:cs="Times New Roman"/>
          <w:sz w:val="20"/>
        </w:rPr>
        <w:t xml:space="preserve"> </w:t>
      </w:r>
      <w:proofErr w:type="spellStart"/>
      <w:r w:rsidRPr="00F062EC">
        <w:rPr>
          <w:rFonts w:ascii="Times New Roman" w:hAnsi="Times New Roman" w:cs="Times New Roman"/>
          <w:sz w:val="20"/>
        </w:rPr>
        <w:t>Src</w:t>
      </w:r>
      <w:proofErr w:type="spellEnd"/>
      <w:r w:rsidRPr="00F062EC">
        <w:rPr>
          <w:rFonts w:ascii="Times New Roman" w:hAnsi="Times New Roman" w:cs="Times New Roman"/>
          <w:sz w:val="20"/>
        </w:rPr>
        <w:t xml:space="preserve">-centric network regulating divergent host responses to Mycobacterium tuberculosis infection. J </w:t>
      </w:r>
      <w:proofErr w:type="spellStart"/>
      <w:r w:rsidRPr="00F062EC">
        <w:rPr>
          <w:rFonts w:ascii="Times New Roman" w:hAnsi="Times New Roman" w:cs="Times New Roman"/>
          <w:sz w:val="20"/>
        </w:rPr>
        <w:t>Biol</w:t>
      </w:r>
      <w:proofErr w:type="spellEnd"/>
      <w:r w:rsidRPr="00F062EC">
        <w:rPr>
          <w:rFonts w:ascii="Times New Roman" w:hAnsi="Times New Roman" w:cs="Times New Roman"/>
          <w:sz w:val="20"/>
        </w:rPr>
        <w:t xml:space="preserve"> Chem. 2011</w:t>
      </w:r>
      <w:proofErr w:type="gramStart"/>
      <w:r w:rsidRPr="00F062EC">
        <w:rPr>
          <w:rFonts w:ascii="Times New Roman" w:hAnsi="Times New Roman" w:cs="Times New Roman"/>
          <w:sz w:val="20"/>
        </w:rPr>
        <w:t>;286:40307</w:t>
      </w:r>
      <w:proofErr w:type="gramEnd"/>
      <w:r w:rsidRPr="00F062EC">
        <w:rPr>
          <w:rFonts w:ascii="Times New Roman" w:hAnsi="Times New Roman" w:cs="Times New Roman"/>
          <w:sz w:val="20"/>
        </w:rPr>
        <w:t xml:space="preserve">–19.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20. Edgar R, </w:t>
      </w:r>
      <w:proofErr w:type="spellStart"/>
      <w:r w:rsidRPr="00F062EC">
        <w:rPr>
          <w:rFonts w:ascii="Times New Roman" w:hAnsi="Times New Roman" w:cs="Times New Roman"/>
          <w:sz w:val="20"/>
        </w:rPr>
        <w:t>Domrachev</w:t>
      </w:r>
      <w:proofErr w:type="spellEnd"/>
      <w:r w:rsidRPr="00F062EC">
        <w:rPr>
          <w:rFonts w:ascii="Times New Roman" w:hAnsi="Times New Roman" w:cs="Times New Roman"/>
          <w:sz w:val="20"/>
        </w:rPr>
        <w:t xml:space="preserve"> M, Lash AE. Gene Expression Omnibus: NCBI gene expression and hybridization array data repository. Nucleic Acids Res. 2002</w:t>
      </w:r>
      <w:proofErr w:type="gramStart"/>
      <w:r w:rsidRPr="00F062EC">
        <w:rPr>
          <w:rFonts w:ascii="Times New Roman" w:hAnsi="Times New Roman" w:cs="Times New Roman"/>
          <w:sz w:val="20"/>
        </w:rPr>
        <w:t>;30:207</w:t>
      </w:r>
      <w:proofErr w:type="gramEnd"/>
      <w:r w:rsidRPr="00F062EC">
        <w:rPr>
          <w:rFonts w:ascii="Times New Roman" w:hAnsi="Times New Roman" w:cs="Times New Roman"/>
          <w:sz w:val="20"/>
        </w:rPr>
        <w:t xml:space="preserve">–10. </w:t>
      </w:r>
    </w:p>
    <w:p w:rsidR="00F062EC" w:rsidRPr="00F062EC" w:rsidRDefault="00F062EC" w:rsidP="00F062EC">
      <w:pPr>
        <w:pStyle w:val="Bibliography"/>
        <w:rPr>
          <w:rFonts w:ascii="Times New Roman" w:hAnsi="Times New Roman" w:cs="Times New Roman"/>
          <w:sz w:val="20"/>
        </w:rPr>
      </w:pPr>
      <w:r w:rsidRPr="00F062EC">
        <w:rPr>
          <w:rFonts w:ascii="Times New Roman" w:hAnsi="Times New Roman" w:cs="Times New Roman"/>
          <w:sz w:val="20"/>
        </w:rPr>
        <w:t xml:space="preserve">21. </w:t>
      </w:r>
      <w:proofErr w:type="spellStart"/>
      <w:r w:rsidRPr="00F062EC">
        <w:rPr>
          <w:rFonts w:ascii="Times New Roman" w:hAnsi="Times New Roman" w:cs="Times New Roman"/>
          <w:sz w:val="20"/>
        </w:rPr>
        <w:t>Witney</w:t>
      </w:r>
      <w:proofErr w:type="spellEnd"/>
      <w:r w:rsidRPr="00F062EC">
        <w:rPr>
          <w:rFonts w:ascii="Times New Roman" w:hAnsi="Times New Roman" w:cs="Times New Roman"/>
          <w:sz w:val="20"/>
        </w:rPr>
        <w:t xml:space="preserve"> AA, Waldron DE, Brooks LA, Tyler RH, Withers M, Stoker NG, et al. </w:t>
      </w:r>
      <w:proofErr w:type="spellStart"/>
      <w:r w:rsidRPr="00F062EC">
        <w:rPr>
          <w:rFonts w:ascii="Times New Roman" w:hAnsi="Times New Roman" w:cs="Times New Roman"/>
          <w:sz w:val="20"/>
        </w:rPr>
        <w:t>BμG@Sbase</w:t>
      </w:r>
      <w:proofErr w:type="spellEnd"/>
      <w:r w:rsidRPr="00F062EC">
        <w:rPr>
          <w:rFonts w:ascii="Times New Roman" w:hAnsi="Times New Roman" w:cs="Times New Roman"/>
          <w:sz w:val="20"/>
        </w:rPr>
        <w:t>—a microbial gene expression and comparative genomic database. Nucleic Acids Res. 2012</w:t>
      </w:r>
      <w:proofErr w:type="gramStart"/>
      <w:r w:rsidRPr="00F062EC">
        <w:rPr>
          <w:rFonts w:ascii="Times New Roman" w:hAnsi="Times New Roman" w:cs="Times New Roman"/>
          <w:sz w:val="20"/>
        </w:rPr>
        <w:t>;40:D605</w:t>
      </w:r>
      <w:proofErr w:type="gramEnd"/>
      <w:r w:rsidRPr="00F062EC">
        <w:rPr>
          <w:rFonts w:ascii="Times New Roman" w:hAnsi="Times New Roman" w:cs="Times New Roman"/>
          <w:sz w:val="20"/>
        </w:rPr>
        <w:t xml:space="preserve">–9. </w:t>
      </w:r>
    </w:p>
    <w:p w:rsidR="008B607A" w:rsidRPr="00BF264C" w:rsidRDefault="004969C1" w:rsidP="00BF264C">
      <w:pPr>
        <w:pStyle w:val="Bibliography"/>
        <w:spacing w:after="0"/>
        <w:jc w:val="both"/>
        <w:rPr>
          <w:rFonts w:ascii="Times New Roman" w:hAnsi="Times New Roman" w:cs="Times New Roman"/>
          <w:b/>
          <w:sz w:val="20"/>
          <w:szCs w:val="20"/>
        </w:rPr>
      </w:pPr>
      <w:r w:rsidRPr="00BF264C">
        <w:rPr>
          <w:rFonts w:ascii="Times New Roman" w:hAnsi="Times New Roman" w:cs="Times New Roman"/>
          <w:b/>
          <w:sz w:val="20"/>
          <w:szCs w:val="20"/>
        </w:rPr>
        <w:fldChar w:fldCharType="end"/>
      </w:r>
    </w:p>
    <w:sectPr w:rsidR="008B607A" w:rsidRPr="00BF264C" w:rsidSect="00C93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F963C1"/>
    <w:multiLevelType w:val="multilevel"/>
    <w:tmpl w:val="1A36FAA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0EFF"/>
    <w:rsid w:val="0003032D"/>
    <w:rsid w:val="000778B8"/>
    <w:rsid w:val="00087799"/>
    <w:rsid w:val="000B6D68"/>
    <w:rsid w:val="000C7956"/>
    <w:rsid w:val="001379A8"/>
    <w:rsid w:val="00161540"/>
    <w:rsid w:val="001F23D8"/>
    <w:rsid w:val="00224211"/>
    <w:rsid w:val="00317761"/>
    <w:rsid w:val="00365FC8"/>
    <w:rsid w:val="003A3B94"/>
    <w:rsid w:val="003A7058"/>
    <w:rsid w:val="003D1AA8"/>
    <w:rsid w:val="003D2D61"/>
    <w:rsid w:val="003F3CE0"/>
    <w:rsid w:val="00414EB4"/>
    <w:rsid w:val="0046078A"/>
    <w:rsid w:val="0047122E"/>
    <w:rsid w:val="004969C1"/>
    <w:rsid w:val="00600A99"/>
    <w:rsid w:val="00626424"/>
    <w:rsid w:val="00667A0D"/>
    <w:rsid w:val="00736BDA"/>
    <w:rsid w:val="00745BFA"/>
    <w:rsid w:val="007D0A2A"/>
    <w:rsid w:val="008B607A"/>
    <w:rsid w:val="00962647"/>
    <w:rsid w:val="009946E0"/>
    <w:rsid w:val="009D1A6C"/>
    <w:rsid w:val="00AE07FC"/>
    <w:rsid w:val="00B908A2"/>
    <w:rsid w:val="00BB0EFF"/>
    <w:rsid w:val="00BE41EF"/>
    <w:rsid w:val="00BF264C"/>
    <w:rsid w:val="00C93008"/>
    <w:rsid w:val="00D14780"/>
    <w:rsid w:val="00E55C3C"/>
    <w:rsid w:val="00F062EC"/>
    <w:rsid w:val="00F92DA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00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7A0D"/>
    <w:rPr>
      <w:sz w:val="16"/>
      <w:szCs w:val="16"/>
    </w:rPr>
  </w:style>
  <w:style w:type="paragraph" w:styleId="CommentText">
    <w:name w:val="annotation text"/>
    <w:basedOn w:val="Normal"/>
    <w:link w:val="CommentTextChar1"/>
    <w:uiPriority w:val="99"/>
    <w:semiHidden/>
    <w:unhideWhenUsed/>
    <w:rsid w:val="00667A0D"/>
    <w:pPr>
      <w:widowControl w:val="0"/>
      <w:suppressAutoHyphens/>
      <w:spacing w:line="240" w:lineRule="auto"/>
    </w:pPr>
    <w:rPr>
      <w:rFonts w:ascii="Liberation Serif" w:eastAsia="Droid Sans Fallback" w:hAnsi="Liberation Serif" w:cs="Mangal"/>
      <w:sz w:val="20"/>
      <w:szCs w:val="18"/>
      <w:lang w:val="en-IN" w:eastAsia="zh-CN" w:bidi="hi-IN"/>
    </w:rPr>
  </w:style>
  <w:style w:type="character" w:customStyle="1" w:styleId="CommentTextChar">
    <w:name w:val="Comment Text Char"/>
    <w:basedOn w:val="DefaultParagraphFont"/>
    <w:link w:val="CommentText"/>
    <w:uiPriority w:val="99"/>
    <w:semiHidden/>
    <w:rsid w:val="00667A0D"/>
    <w:rPr>
      <w:sz w:val="20"/>
      <w:szCs w:val="20"/>
    </w:rPr>
  </w:style>
  <w:style w:type="character" w:customStyle="1" w:styleId="CommentTextChar1">
    <w:name w:val="Comment Text Char1"/>
    <w:basedOn w:val="DefaultParagraphFont"/>
    <w:link w:val="CommentText"/>
    <w:uiPriority w:val="99"/>
    <w:semiHidden/>
    <w:rsid w:val="00667A0D"/>
    <w:rPr>
      <w:rFonts w:ascii="Liberation Serif" w:eastAsia="Droid Sans Fallback" w:hAnsi="Liberation Serif" w:cs="Mangal"/>
      <w:sz w:val="20"/>
      <w:szCs w:val="18"/>
      <w:lang w:val="en-IN" w:eastAsia="zh-CN" w:bidi="hi-IN"/>
    </w:rPr>
  </w:style>
  <w:style w:type="paragraph" w:styleId="BalloonText">
    <w:name w:val="Balloon Text"/>
    <w:basedOn w:val="Normal"/>
    <w:link w:val="BalloonTextChar"/>
    <w:uiPriority w:val="99"/>
    <w:semiHidden/>
    <w:unhideWhenUsed/>
    <w:rsid w:val="00667A0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A0D"/>
    <w:rPr>
      <w:rFonts w:ascii="Tahoma" w:hAnsi="Tahoma" w:cs="Tahoma"/>
      <w:sz w:val="16"/>
      <w:szCs w:val="16"/>
    </w:rPr>
  </w:style>
  <w:style w:type="paragraph" w:styleId="Caption">
    <w:name w:val="caption"/>
    <w:basedOn w:val="Normal"/>
    <w:next w:val="Normal"/>
    <w:uiPriority w:val="35"/>
    <w:unhideWhenUsed/>
    <w:qFormat/>
    <w:rsid w:val="003D2D61"/>
    <w:pPr>
      <w:spacing w:after="200" w:line="240" w:lineRule="auto"/>
    </w:pPr>
    <w:rPr>
      <w:rFonts w:eastAsiaTheme="minorEastAsia"/>
      <w:b/>
      <w:bCs/>
      <w:color w:val="4F81BD" w:themeColor="accent1"/>
      <w:sz w:val="18"/>
      <w:szCs w:val="18"/>
    </w:rPr>
  </w:style>
  <w:style w:type="character" w:customStyle="1" w:styleId="InternetLink">
    <w:name w:val="Internet Link"/>
    <w:rsid w:val="0003032D"/>
    <w:rPr>
      <w:color w:val="000080"/>
      <w:u w:val="single"/>
    </w:rPr>
  </w:style>
  <w:style w:type="paragraph" w:styleId="Bibliography">
    <w:name w:val="Bibliography"/>
    <w:basedOn w:val="Normal"/>
    <w:next w:val="Normal"/>
    <w:uiPriority w:val="37"/>
    <w:unhideWhenUsed/>
    <w:rsid w:val="009946E0"/>
    <w:pPr>
      <w:spacing w:after="240" w:line="240" w:lineRule="auto"/>
    </w:pPr>
  </w:style>
</w:styles>
</file>

<file path=word/webSettings.xml><?xml version="1.0" encoding="utf-8"?>
<w:webSettings xmlns:r="http://schemas.openxmlformats.org/officeDocument/2006/relationships" xmlns:w="http://schemas.openxmlformats.org/wordprocessingml/2006/main">
  <w:divs>
    <w:div w:id="96766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prot.org/"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9</Pages>
  <Words>13476</Words>
  <Characters>76819</Characters>
  <Application>Microsoft Office Word</Application>
  <DocSecurity>0</DocSecurity>
  <Lines>640</Lines>
  <Paragraphs>180</Paragraphs>
  <ScaleCrop>false</ScaleCrop>
  <Company>Home</Company>
  <LinksUpToDate>false</LinksUpToDate>
  <CharactersWithSpaces>90115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Chandrani</dc:creator>
  <cp:keywords/>
  <dc:description/>
  <cp:lastModifiedBy>Sharmila</cp:lastModifiedBy>
  <cp:revision>32</cp:revision>
  <dcterms:created xsi:type="dcterms:W3CDTF">2018-03-22T06:02:00Z</dcterms:created>
  <dcterms:modified xsi:type="dcterms:W3CDTF">2018-03-29T16:01:00Z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id="Vw1uW6Su"/&gt;&lt;style id="http://www.zotero.org/styles/bmc-genomics" hasBibliography="1" bibliographyStyleHasBeenSet="1"/&gt;&lt;prefs&gt;&lt;pref name="fieldType" value="Field"/&gt;&lt;pref name="automaticJournalAbbr</vt:lpwstr>
  </property>
  <property fmtid="{D5CDD505-2E9C-101B-9397-08002B2CF9AE}" pid="3" name="ZOTERO_PREF_2">
    <vt:lpwstr>eviations" value="false"/&gt;&lt;pref name="noteType" value="0"/&gt;&lt;/prefs&gt;&lt;/data&gt;</vt:lpwstr>
  </property>
</Properties>
</file>