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22F8C0" w14:textId="77777777" w:rsidR="00B203F6" w:rsidRPr="00462767" w:rsidRDefault="00B203F6" w:rsidP="00B203F6">
      <w:pPr>
        <w:spacing w:line="360" w:lineRule="auto"/>
        <w:rPr>
          <w:rFonts w:ascii="Arial" w:hAnsi="Arial" w:cs="Arial"/>
          <w:b/>
        </w:rPr>
      </w:pPr>
      <w:r w:rsidRPr="00462767">
        <w:rPr>
          <w:rFonts w:ascii="Arial" w:hAnsi="Arial" w:cs="Arial"/>
          <w:b/>
        </w:rPr>
        <w:t>Supplementary Results</w:t>
      </w:r>
    </w:p>
    <w:p w14:paraId="5EADB258" w14:textId="77777777" w:rsidR="00B203F6" w:rsidRPr="00104413" w:rsidRDefault="00B203F6" w:rsidP="00B203F6">
      <w:pPr>
        <w:spacing w:line="360" w:lineRule="auto"/>
        <w:rPr>
          <w:rFonts w:ascii="Arial" w:hAnsi="Arial" w:cs="Arial"/>
          <w:i/>
        </w:rPr>
      </w:pPr>
    </w:p>
    <w:p w14:paraId="489FB694" w14:textId="77777777" w:rsidR="00B203F6" w:rsidRPr="006E464D" w:rsidRDefault="00B203F6" w:rsidP="00B203F6">
      <w:pPr>
        <w:spacing w:line="360" w:lineRule="auto"/>
        <w:rPr>
          <w:rFonts w:ascii="Arial" w:hAnsi="Arial" w:cs="Arial"/>
          <w:i/>
        </w:rPr>
      </w:pPr>
      <w:r>
        <w:rPr>
          <w:rFonts w:ascii="Arial" w:hAnsi="Arial" w:cs="Arial"/>
          <w:i/>
        </w:rPr>
        <w:t>Regions of difference</w:t>
      </w:r>
    </w:p>
    <w:p w14:paraId="322C3916" w14:textId="77777777" w:rsidR="00B203F6" w:rsidRDefault="00B203F6" w:rsidP="00B203F6">
      <w:pPr>
        <w:spacing w:line="360" w:lineRule="auto"/>
        <w:rPr>
          <w:rFonts w:ascii="Arial" w:hAnsi="Arial" w:cs="Arial"/>
        </w:rPr>
      </w:pPr>
    </w:p>
    <w:p w14:paraId="6596DB5B" w14:textId="77777777" w:rsidR="00B203F6" w:rsidRDefault="00B203F6" w:rsidP="00B203F6">
      <w:pPr>
        <w:spacing w:line="360" w:lineRule="auto"/>
        <w:rPr>
          <w:rFonts w:ascii="Arial" w:hAnsi="Arial" w:cs="Arial"/>
        </w:rPr>
      </w:pPr>
      <w:r>
        <w:rPr>
          <w:rFonts w:ascii="Arial" w:hAnsi="Arial" w:cs="Arial"/>
        </w:rPr>
        <w:t xml:space="preserve">In addition to using heterozygous SNPs to detect mixed infections, we also examined the read depth of coverage across selected Regions of Difference (RDs) in the samples to determine whether signals of mixed samples are also present in larger genomic regions, and whether these can be used to calculate the mixture proportions within artificial mixture samples. RDs are considered useful diagnostic markers to differentiate between </w:t>
      </w:r>
      <w:r>
        <w:rPr>
          <w:rFonts w:ascii="Arial" w:hAnsi="Arial" w:cs="Arial"/>
          <w:i/>
        </w:rPr>
        <w:t xml:space="preserve">Mycobacterium </w:t>
      </w:r>
      <w:r>
        <w:rPr>
          <w:rFonts w:ascii="Arial" w:hAnsi="Arial" w:cs="Arial"/>
        </w:rPr>
        <w:t xml:space="preserve">species and </w:t>
      </w:r>
      <w:r>
        <w:rPr>
          <w:rFonts w:ascii="Arial" w:hAnsi="Arial" w:cs="Arial"/>
          <w:i/>
        </w:rPr>
        <w:t>M. tuberculosis</w:t>
      </w:r>
      <w:r>
        <w:rPr>
          <w:rFonts w:ascii="Arial" w:hAnsi="Arial" w:cs="Arial"/>
        </w:rPr>
        <w:t xml:space="preserve"> lineages </w:t>
      </w:r>
      <w:r>
        <w:rPr>
          <w:rFonts w:ascii="Arial" w:hAnsi="Arial" w:cs="Arial"/>
        </w:rPr>
        <w:fldChar w:fldCharType="begin" w:fldLock="1"/>
      </w:r>
      <w:r>
        <w:rPr>
          <w:rFonts w:ascii="Arial" w:hAnsi="Arial" w:cs="Arial"/>
        </w:rPr>
        <w:instrText>ADDIN CSL_CITATION { "citationItems" : [ { "id" : "ITEM-1", "itemData" : { "DOI" : "10.1073/pnas.052548299", "ISBN" : "0027-8424 (Print)\\n0027-8424 (Linking)", "ISSN" : "0027-8424", "PMID" : "15170868", "abstract" : "The distribution of 20 variable regions resulting from insertion-deletion events in the genomes of the tubercle bacilli has been evaluated in a total of 100 strains of Mycobacterium tuberculosis, Mycobacterium africanum, Mycobacterium canettii, Mycobacterium microti, and Mycobacterium bovis. This approach showed that the majority of these polymorphisms did not occur independently in the different strains of the M. tuberculosis complex but, rather, resulted from ancient, irreversible genetic events in common progenitor strains. Based on the presence or absence of an M. tuberculosis specific deletion (TbD1), M. tuberculosis strains can be divided into ancestral and \"modern\" strains, the latter comprising representatives of major epidemics like the Beijing, Haarlem, and African M. tuberculosis clusters. Furthermore, successive loss of DNA, reflected by region of difference 9 and other subsequent deletions, was identified for an evolutionary lineage represented by M. africanum, M. microti, and M. bovis that diverged from the progenitor of the present M. tuberculosis strains before TbD1 occurred. These findings contradict the often-presented hypothesis that M. tuberculosis, the etiological agent of human tuberculosis evolved from M. bovis, the agent of bovine disease. M. canettii and ancestral M. tuberculosis strains lack none of these deleted regions, and, therefore, seem to be direct descendants of tubercle bacilli that existed before the M. africanum--&gt;M. bovis lineage separated from the M. tuberculosis lineage. This observation suggests that the common ancestor of the tubercle bacilli resembled M. tuberculosis or M. canettii and could well have been a human pathogen already.", "author" : [ { "dropping-particle" : "", "family" : "Brosch", "given" : "R.", "non-dropping-particle" : "", "parse-names" : false, "suffix" : "" }, { "dropping-particle" : "V.", "family" : "Gordon", "given" : "S.", "non-dropping-particle" : "", "parse-names" : false, "suffix" : "" }, { "dropping-particle" : "", "family" : "Marmiesse", "given" : "M.", "non-dropping-particle" : "", "parse-names" : false, "suffix" : "" }, { "dropping-particle" : "", "family" : "Brodin", "given" : "P.", "non-dropping-particle" : "", "parse-names" : false, "suffix" : "" }, { "dropping-particle" : "", "family" : "Buchrieser", "given" : "C.", "non-dropping-particle" : "", "parse-names" : false, "suffix" : "" }, { "dropping-particle" : "", "family" : "Eiglmeier", "given" : "K.", "non-dropping-particle" : "", "parse-names" : false, "suffix" : "" }, { "dropping-particle" : "", "family" : "Garnier", "given" : "T.", "non-dropping-particle" : "", "parse-names" : false, "suffix" : "" }, { "dropping-particle" : "", "family" : "Gutierrez", "given" : "C.", "non-dropping-particle" : "", "parse-names" : false, "suffix" : "" }, { "dropping-particle" : "", "family" : "Hewinson", "given" : "G.", "non-dropping-particle" : "", "parse-names" : false, "suffix" : "" }, { "dropping-particle" : "", "family" : "Kremer", "given" : "K.", "non-dropping-particle" : "", "parse-names" : false, "suffix" : "" }, { "dropping-particle" : "", "family" : "Parsons", "given" : "L. M.", "non-dropping-particle" : "", "parse-names" : false, "suffix" : "" }, { "dropping-particle" : "", "family" : "Pym", "given" : "A. S.", "non-dropping-particle" : "", "parse-names" : false, "suffix" : "" }, { "dropping-particle" : "", "family" : "Samper", "given" : "S.", "non-dropping-particle" : "", "parse-names" : false, "suffix" : "" }, { "dropping-particle" : "", "family" : "Soolingen", "given" : "D.", "non-dropping-particle" : "van", "parse-names" : false, "suffix" : "" }, { "dropping-particle" : "", "family" : "Cole", "given" : "S. T.", "non-dropping-particle" : "", "parse-names" : false, "suffix" : "" } ], "container-title" : "Proceedings of the National Academy of Sciences", "id" : "ITEM-1", "issue" : "6", "issued" : { "date-parts" : [ [ "2002", "3", "19" ] ] }, "note" : "NULL", "page" : "3684-3689", "title" : "A new evolutionary scenario for the Mycobacterium tuberculosis complex", "type" : "article-journal", "volume" : "99" }, "uris" : [ "http://www.mendeley.com/documents/?uuid=ed818bd6-375d-4101-af5e-6b4622f80fc3" ] }, { "id" : "ITEM-2", "itemData" : { "DOI" : "10.1073/pnas.0305634101", "ISBN" : "0027-8424 (Print)\\n0027-8424", "ISSN" : "0027-8424", "PMID" : "15024109", "abstract" : "To better understand genome function and evolution in Mycobacterium tuberculosis, the genomes of 100 epidemiologically well characterized clinical isolates were interrogated by DNA microarrays and sequencing. We identified 68 different large-sequence polymorphisms (comprising 186,137 bp, or 4.2% of the genome) that are present in H37Rv, but absent from one or more clinical isolates. A total of 224 genes (5.5%), including genes in all major functional categories, were found to be partially or completely deleted. Deletions are not distributed randomly throughout the genome but instead tend to be aggregated. The distinct deletions in some aggregations appear in closely related isolates, suggesting a genomically disruptive process specific to an individual mycobacterial lineage. Other genomic aggregations include distinct deletions that appear in phylogenetically unrelated isolates, suggesting that a genomic region is vulnerable throughout the species. Although the deletions identified here are evidently inessential to the causation of disease (they are found in active clinical cases), their frequency spectrum suggests that most are weakly deleterious to the pathogen. For some deletions, short-term evolutionary pressure due to the host immune system or antibiotics may favor the elimination of genes, whereas longer-term physiological requirements maintain the genes in the population.", "author" : [ { "dropping-particle" : "", "family" : "Tsolaki", "given" : "Anthony G", "non-dropping-particle" : "", "parse-names" : false, "suffix" : "" }, { "dropping-particle" : "", "family" : "Hirsh", "given" : "Aaron E", "non-dropping-particle" : "", "parse-names" : false, "suffix" : "" }, { "dropping-particle" : "", "family" : "DeRiemer", "given" : "Kathryn", "non-dropping-particle" : "", "parse-names" : false, "suffix" : "" }, { "dropping-particle" : "", "family" : "Enciso", "given" : "Jose Antonio", "non-dropping-particle" : "", "parse-names" : false, "suffix" : "" }, { "dropping-particle" : "", "family" : "Wong", "given" : "Melissa Z", "non-dropping-particle" : "", "parse-names" : false, "suffix" : "" }, { "dropping-particle" : "", "family" : "Hannan", "given" : "Margaret", "non-dropping-particle" : "", "parse-names" : false, "suffix" : "" }, { "dropping-particle" : "", "family" : "Goguet de la Salmoniere", "given" : "Yves-Olivier L", "non-dropping-particle" : "", "parse-names" : false, "suffix" : "" }, { "dropping-particle" : "", "family" : "Aman", "given" : "Kumiko", "non-dropping-particle" : "", "parse-names" : false, "suffix" : "" }, { "dropping-particle" : "", "family" : "Kato-Maeda", "given" : "Midori", "non-dropping-particle" : "", "parse-names" : false, "suffix" : "" }, { "dropping-particle" : "", "family" : "Small", "given" : "Peter M", "non-dropping-particle" : "", "parse-names" : false, "suffix" : "" } ], "container-title" : "Proceedings of the National Academy of Sciences of the United States of America", "id" : "ITEM-2", "issue" : "14", "issued" : { "date-parts" : [ [ "2004" ] ] }, "page" : "4865-4870", "title" : "Functional and evolutionary genomics of Mycobacterium tuberculosis: insights from genomic deletions in 100 strains.", "type" : "article-journal", "volume" : "101" }, "uris" : [ "http://www.mendeley.com/documents/?uuid=99a29577-0840-4dba-9278-0ebd60558036" ] } ], "mendeley" : { "formattedCitation" : "[1, 2]", "manualFormatting" : "(1, 2)", "plainTextFormattedCitation" : "[1, 2]", "previouslyFormattedCitation" : "[1, 2]" }, "properties" : { "noteIndex" : 0 }, "schema" : "https://github.com/citation-style-language/schema/raw/master/csl-citation.json" }</w:instrText>
      </w:r>
      <w:r>
        <w:rPr>
          <w:rFonts w:ascii="Arial" w:hAnsi="Arial" w:cs="Arial"/>
        </w:rPr>
        <w:fldChar w:fldCharType="separate"/>
      </w:r>
      <w:r>
        <w:rPr>
          <w:rFonts w:ascii="Arial" w:hAnsi="Arial" w:cs="Arial"/>
          <w:noProof/>
        </w:rPr>
        <w:t xml:space="preserve">(1, </w:t>
      </w:r>
      <w:bookmarkStart w:id="0" w:name="_GoBack"/>
      <w:bookmarkEnd w:id="0"/>
      <w:r>
        <w:rPr>
          <w:rFonts w:ascii="Arial" w:hAnsi="Arial" w:cs="Arial"/>
          <w:noProof/>
        </w:rPr>
        <w:t>2</w:t>
      </w:r>
      <w:r w:rsidRPr="009B39C5">
        <w:rPr>
          <w:rFonts w:ascii="Arial" w:hAnsi="Arial" w:cs="Arial"/>
          <w:noProof/>
        </w:rPr>
        <w:t>)</w:t>
      </w:r>
      <w:r>
        <w:rPr>
          <w:rFonts w:ascii="Arial" w:hAnsi="Arial" w:cs="Arial"/>
        </w:rPr>
        <w:fldChar w:fldCharType="end"/>
      </w:r>
      <w:r>
        <w:rPr>
          <w:rFonts w:ascii="Arial" w:hAnsi="Arial" w:cs="Arial"/>
        </w:rPr>
        <w:t xml:space="preserve">. Eighteen RDs were considered that have been found to be robust markers for distinguishing between </w:t>
      </w:r>
      <w:r>
        <w:rPr>
          <w:rFonts w:ascii="Arial" w:hAnsi="Arial" w:cs="Arial"/>
          <w:i/>
        </w:rPr>
        <w:t xml:space="preserve">M. tuberculosis </w:t>
      </w:r>
      <w:r>
        <w:rPr>
          <w:rFonts w:ascii="Arial" w:hAnsi="Arial" w:cs="Arial"/>
        </w:rPr>
        <w:t xml:space="preserve">lineages </w:t>
      </w:r>
      <w:r>
        <w:rPr>
          <w:rFonts w:ascii="Arial" w:hAnsi="Arial" w:cs="Arial"/>
        </w:rPr>
        <w:fldChar w:fldCharType="begin" w:fldLock="1"/>
      </w:r>
      <w:r>
        <w:rPr>
          <w:rFonts w:ascii="Arial" w:hAnsi="Arial" w:cs="Arial"/>
        </w:rPr>
        <w:instrText>ADDIN CSL_CITATION { "citationItems" : [ { "id" : "ITEM-1", "itemData" : { "DOI" : "10.1186/s12864-016-3213-1", "ISSN" : "1471-2164", "author" : [ { "dropping-particle" : "", "family" : "Faksri", "given" : "Kiatichai", "non-dropping-particle" : "", "parse-names" : false, "suffix" : "" }, { "dropping-particle" : "", "family" : "Xia", "given" : "Eryu", "non-dropping-particle" : "", "parse-names" : false, "suffix" : "" }, { "dropping-particle" : "", "family" : "Tan", "given" : "Jun Hao", "non-dropping-particle" : "", "parse-names" : false, "suffix" : "" }, { "dropping-particle" : "", "family" : "Teo", "given" : "Yik-Ying", "non-dropping-particle" : "", "parse-names" : false, "suffix" : "" }, { "dropping-particle" : "", "family" : "Ong", "given" : "Rick Twee-Hee", "non-dropping-particle" : "", "parse-names" : false, "suffix" : "" } ], "container-title" : "BMC Genomics", "id" : "ITEM-1", "issue" : "1", "issued" : { "date-parts" : [ [ "2016" ] ] }, "page" : "847", "publisher" : "BMC Genomics", "title" : "In silico region of difference (RD) analysis of Mycobacterium tuberculosis complex from sequence reads using RD-Analyzer", "type" : "article-journal", "volume" : "17" }, "uris" : [ "http://www.mendeley.com/documents/?uuid=367aeedd-287a-48f6-8e04-bfa9bd2cfd37" ] } ], "mendeley" : { "formattedCitation" : "[3]", "manualFormatting" : "(3)", "plainTextFormattedCitation" : "[3]", "previouslyFormattedCitation" : "[3]" }, "properties" : { "noteIndex" : 0 }, "schema" : "https://github.com/citation-style-language/schema/raw/master/csl-citation.json" }</w:instrText>
      </w:r>
      <w:r>
        <w:rPr>
          <w:rFonts w:ascii="Arial" w:hAnsi="Arial" w:cs="Arial"/>
        </w:rPr>
        <w:fldChar w:fldCharType="separate"/>
      </w:r>
      <w:r>
        <w:rPr>
          <w:rFonts w:ascii="Arial" w:hAnsi="Arial" w:cs="Arial"/>
          <w:noProof/>
        </w:rPr>
        <w:t>(3</w:t>
      </w:r>
      <w:r w:rsidRPr="009B39C5">
        <w:rPr>
          <w:rFonts w:ascii="Arial" w:hAnsi="Arial" w:cs="Arial"/>
          <w:noProof/>
        </w:rPr>
        <w:t>)</w:t>
      </w:r>
      <w:r>
        <w:rPr>
          <w:rFonts w:ascii="Arial" w:hAnsi="Arial" w:cs="Arial"/>
        </w:rPr>
        <w:fldChar w:fldCharType="end"/>
      </w:r>
      <w:r>
        <w:rPr>
          <w:rFonts w:ascii="Arial" w:hAnsi="Arial" w:cs="Arial"/>
        </w:rPr>
        <w:t xml:space="preserve">. </w:t>
      </w:r>
      <w:r w:rsidRPr="00DC124D">
        <w:rPr>
          <w:rFonts w:ascii="Arial" w:hAnsi="Arial" w:cs="Arial"/>
        </w:rPr>
        <w:t>For example, RD174, RD239, RD750, and RD105 deletions are used to specifically define isolates belonging to the “LAM”, “Indo-Oceanic,” “East African/Indian,” and “East Asian” (or “W/Beijing”) strain lineages, respectively.</w:t>
      </w:r>
    </w:p>
    <w:p w14:paraId="676A0E25" w14:textId="77777777" w:rsidR="00B203F6" w:rsidRDefault="00B203F6" w:rsidP="00B203F6">
      <w:pPr>
        <w:spacing w:line="360" w:lineRule="auto"/>
        <w:rPr>
          <w:rFonts w:ascii="Arial" w:hAnsi="Arial" w:cs="Arial"/>
        </w:rPr>
      </w:pPr>
      <w:r>
        <w:rPr>
          <w:rFonts w:ascii="Arial" w:hAnsi="Arial" w:cs="Arial"/>
        </w:rPr>
        <w:t xml:space="preserve"> </w:t>
      </w:r>
    </w:p>
    <w:p w14:paraId="6AAD8458" w14:textId="77777777" w:rsidR="00B203F6" w:rsidRPr="003354E9" w:rsidRDefault="00B203F6" w:rsidP="00B203F6">
      <w:pPr>
        <w:spacing w:line="360" w:lineRule="auto"/>
        <w:rPr>
          <w:rFonts w:ascii="Arial" w:hAnsi="Arial" w:cs="Arial"/>
        </w:rPr>
      </w:pPr>
      <w:r>
        <w:rPr>
          <w:rFonts w:ascii="Arial" w:hAnsi="Arial" w:cs="Arial"/>
        </w:rPr>
        <w:t>Mapping the read depth of coverage in the artificial mixtures across selected RDs showed some instances where the signals of mixed infections could be detected in larger portions of the genome. As an example, in sample ERR221643 there were two RDs where the average read depth across two RDs (RD174 and RD750) dropped to levels comparable to the mixture proportion (70.97% and 29.96% respectively) when compared to the average coverage across the genome (</w:t>
      </w:r>
      <w:r>
        <w:rPr>
          <w:rFonts w:ascii="Arial" w:hAnsi="Arial" w:cs="Arial"/>
          <w:b/>
        </w:rPr>
        <w:t>Figure S1a and S1b</w:t>
      </w:r>
      <w:r>
        <w:rPr>
          <w:rFonts w:ascii="Arial" w:hAnsi="Arial" w:cs="Arial"/>
        </w:rPr>
        <w:t>). These patterns were also found in four additional RDs in up to 11 mixture samples</w:t>
      </w:r>
      <w:r w:rsidRPr="00A51988">
        <w:rPr>
          <w:rFonts w:ascii="Arial" w:hAnsi="Arial" w:cs="Arial"/>
        </w:rPr>
        <w:t xml:space="preserve"> </w:t>
      </w:r>
      <w:r>
        <w:rPr>
          <w:rFonts w:ascii="Arial" w:hAnsi="Arial" w:cs="Arial"/>
        </w:rPr>
        <w:t>of varying proportions.</w:t>
      </w:r>
      <w:r>
        <w:rPr>
          <w:rFonts w:ascii="Arial" w:hAnsi="Arial" w:cs="Arial"/>
          <w:b/>
        </w:rPr>
        <w:t xml:space="preserve"> </w:t>
      </w:r>
    </w:p>
    <w:p w14:paraId="1DBB1B2F" w14:textId="77777777" w:rsidR="00B203F6" w:rsidRDefault="00B203F6" w:rsidP="00B203F6">
      <w:pPr>
        <w:spacing w:line="360" w:lineRule="auto"/>
        <w:rPr>
          <w:rFonts w:ascii="Arial" w:hAnsi="Arial" w:cs="Arial"/>
        </w:rPr>
      </w:pPr>
    </w:p>
    <w:p w14:paraId="2E0E8D2D" w14:textId="77777777" w:rsidR="00B203F6" w:rsidRDefault="00B203F6" w:rsidP="00B203F6">
      <w:pPr>
        <w:spacing w:line="360" w:lineRule="auto"/>
        <w:rPr>
          <w:rFonts w:ascii="Arial" w:hAnsi="Arial" w:cs="Arial"/>
        </w:rPr>
      </w:pPr>
      <w:r>
        <w:rPr>
          <w:rFonts w:ascii="Arial" w:hAnsi="Arial" w:cs="Arial"/>
        </w:rPr>
        <w:t xml:space="preserve">These patterns were not seen across all mixed samples, with some showing no mixtures variation in coverage across any of the selected </w:t>
      </w:r>
      <w:proofErr w:type="spellStart"/>
      <w:r>
        <w:rPr>
          <w:rFonts w:ascii="Arial" w:hAnsi="Arial" w:cs="Arial"/>
        </w:rPr>
        <w:t>RDs.</w:t>
      </w:r>
      <w:proofErr w:type="spellEnd"/>
      <w:r>
        <w:rPr>
          <w:rFonts w:ascii="Arial" w:hAnsi="Arial" w:cs="Arial"/>
        </w:rPr>
        <w:t xml:space="preserve"> For instance, there was little variation in read depth of coverage across any RD in sample ERR221627 (majority strain proportion 0.70) (</w:t>
      </w:r>
      <w:r>
        <w:rPr>
          <w:rFonts w:ascii="Arial" w:hAnsi="Arial" w:cs="Arial"/>
          <w:b/>
        </w:rPr>
        <w:t>Figure S1c)</w:t>
      </w:r>
      <w:r>
        <w:rPr>
          <w:rFonts w:ascii="Arial" w:hAnsi="Arial" w:cs="Arial"/>
        </w:rPr>
        <w:t>, despite a relatively high proportion of heterozygous SNPs (43.43%) (</w:t>
      </w:r>
      <w:r w:rsidRPr="009877E7">
        <w:rPr>
          <w:rFonts w:ascii="Arial" w:hAnsi="Arial" w:cs="Arial"/>
          <w:b/>
        </w:rPr>
        <w:t>Table 1</w:t>
      </w:r>
      <w:r>
        <w:rPr>
          <w:rFonts w:ascii="Arial" w:hAnsi="Arial" w:cs="Arial"/>
          <w:b/>
        </w:rPr>
        <w:t xml:space="preserve"> – main text</w:t>
      </w:r>
      <w:r>
        <w:rPr>
          <w:rFonts w:ascii="Arial" w:hAnsi="Arial" w:cs="Arial"/>
        </w:rPr>
        <w:t>), as this was a mixture of two strains within the same lineage (</w:t>
      </w:r>
      <w:proofErr w:type="spellStart"/>
      <w:r>
        <w:rPr>
          <w:rFonts w:ascii="Arial" w:hAnsi="Arial" w:cs="Arial"/>
        </w:rPr>
        <w:t>lineage</w:t>
      </w:r>
      <w:proofErr w:type="spellEnd"/>
      <w:r>
        <w:rPr>
          <w:rFonts w:ascii="Arial" w:hAnsi="Arial" w:cs="Arial"/>
        </w:rPr>
        <w:t xml:space="preserve"> 1) and RDs appear only to distinguish between strains within different lineages.</w:t>
      </w:r>
    </w:p>
    <w:p w14:paraId="7F4ACC8A" w14:textId="77777777" w:rsidR="00B203F6" w:rsidRDefault="00B203F6" w:rsidP="00B203F6">
      <w:pPr>
        <w:spacing w:line="360" w:lineRule="auto"/>
        <w:rPr>
          <w:rFonts w:ascii="Arial" w:hAnsi="Arial" w:cs="Arial"/>
        </w:rPr>
      </w:pPr>
    </w:p>
    <w:p w14:paraId="7395B820" w14:textId="77777777" w:rsidR="00B203F6" w:rsidRPr="00B95739" w:rsidRDefault="00B203F6" w:rsidP="00B203F6">
      <w:pPr>
        <w:spacing w:line="360" w:lineRule="auto"/>
        <w:rPr>
          <w:rFonts w:ascii="Arial" w:hAnsi="Arial" w:cs="Arial"/>
          <w:b/>
        </w:rPr>
      </w:pPr>
      <w:r>
        <w:rPr>
          <w:rFonts w:ascii="Arial" w:hAnsi="Arial" w:cs="Arial"/>
        </w:rPr>
        <w:lastRenderedPageBreak/>
        <w:t>Examining the average read depth across some RDs can result in erroneous positive results. Taking the average coverage at RD207 in sample ERR221628, there appears to be some correlation between the read depth in this region and the proportion of the minor strain in the mix (23.98% and 0.30). Mapping this coverage though shows that the read depth across the RD is highly variable, and similar patterns can be observed in samples with a lower mixture proportion or single strain (</w:t>
      </w:r>
      <w:r>
        <w:rPr>
          <w:rFonts w:ascii="Arial" w:hAnsi="Arial" w:cs="Arial"/>
          <w:b/>
        </w:rPr>
        <w:t>Figure S1d).</w:t>
      </w:r>
    </w:p>
    <w:p w14:paraId="51C59657" w14:textId="77777777" w:rsidR="00B203F6" w:rsidRDefault="00B203F6" w:rsidP="00B203F6">
      <w:pPr>
        <w:spacing w:line="360" w:lineRule="auto"/>
        <w:rPr>
          <w:rFonts w:ascii="Arial" w:hAnsi="Arial" w:cs="Arial"/>
        </w:rPr>
      </w:pPr>
    </w:p>
    <w:p w14:paraId="2425650B" w14:textId="77777777" w:rsidR="00B203F6" w:rsidRDefault="00B203F6" w:rsidP="00B203F6">
      <w:pPr>
        <w:spacing w:line="360" w:lineRule="auto"/>
        <w:outlineLvl w:val="0"/>
        <w:rPr>
          <w:rFonts w:ascii="Arial" w:hAnsi="Arial" w:cs="Arial"/>
        </w:rPr>
      </w:pPr>
      <w:r>
        <w:rPr>
          <w:rFonts w:ascii="Arial" w:hAnsi="Arial" w:cs="Arial"/>
        </w:rPr>
        <w:t>Additionally, the read depth of coverage was highly variable between samples at the same RD, thus making it difficult to discern true mixed samples, particularly when minor strain proportions are very low, from standing coverage variation across the genome. Therefore, mapping read depth of coverage across RDs can help to validate some instances where samples may be considered mixtures, though application appears likely to be limited to mixtures between lineages and lacks sensitivity in detecting mixtures where strains are in highly different proportions.</w:t>
      </w:r>
    </w:p>
    <w:p w14:paraId="49A21DE1" w14:textId="77777777" w:rsidR="00B203F6" w:rsidRDefault="00B203F6" w:rsidP="00B203F6">
      <w:pPr>
        <w:spacing w:line="360" w:lineRule="auto"/>
        <w:rPr>
          <w:rFonts w:ascii="Arial" w:hAnsi="Arial" w:cs="Arial"/>
        </w:rPr>
      </w:pPr>
    </w:p>
    <w:p w14:paraId="6B611422" w14:textId="77777777" w:rsidR="00B203F6" w:rsidRDefault="00B203F6" w:rsidP="00B203F6">
      <w:pPr>
        <w:spacing w:line="360" w:lineRule="auto"/>
        <w:rPr>
          <w:rFonts w:ascii="Arial" w:hAnsi="Arial" w:cs="Arial"/>
        </w:rPr>
      </w:pPr>
    </w:p>
    <w:p w14:paraId="064E3C90" w14:textId="77777777" w:rsidR="00B203F6" w:rsidRDefault="00B203F6" w:rsidP="00B203F6">
      <w:pPr>
        <w:widowControl w:val="0"/>
        <w:autoSpaceDE w:val="0"/>
        <w:autoSpaceDN w:val="0"/>
        <w:adjustRightInd w:val="0"/>
        <w:spacing w:line="360" w:lineRule="auto"/>
        <w:ind w:left="640" w:hanging="640"/>
        <w:rPr>
          <w:rFonts w:ascii="Arial" w:hAnsi="Arial" w:cs="Arial"/>
          <w:b/>
        </w:rPr>
      </w:pPr>
      <w:r w:rsidRPr="00613290">
        <w:rPr>
          <w:rFonts w:ascii="Arial" w:hAnsi="Arial" w:cs="Arial"/>
          <w:b/>
        </w:rPr>
        <w:t xml:space="preserve">Supplementary references </w:t>
      </w:r>
    </w:p>
    <w:p w14:paraId="02761C7C" w14:textId="77777777" w:rsidR="00B203F6" w:rsidRPr="00B203F6" w:rsidRDefault="00B203F6" w:rsidP="00B203F6">
      <w:pPr>
        <w:widowControl w:val="0"/>
        <w:autoSpaceDE w:val="0"/>
        <w:autoSpaceDN w:val="0"/>
        <w:adjustRightInd w:val="0"/>
        <w:spacing w:line="360" w:lineRule="auto"/>
        <w:rPr>
          <w:rFonts w:ascii="Arial" w:eastAsia="Times New Roman" w:hAnsi="Arial" w:cs="Arial"/>
          <w:noProof/>
        </w:rPr>
      </w:pPr>
      <w:r>
        <w:rPr>
          <w:rFonts w:ascii="Arial" w:hAnsi="Arial" w:cs="Arial"/>
        </w:rPr>
        <w:fldChar w:fldCharType="begin" w:fldLock="1"/>
      </w:r>
      <w:r>
        <w:rPr>
          <w:rFonts w:ascii="Arial" w:hAnsi="Arial" w:cs="Arial"/>
        </w:rPr>
        <w:instrText xml:space="preserve">ADDIN Mendeley Bibliography CSL_BIBLIOGRAPHY </w:instrText>
      </w:r>
      <w:r>
        <w:rPr>
          <w:rFonts w:ascii="Arial" w:hAnsi="Arial" w:cs="Arial"/>
        </w:rPr>
        <w:fldChar w:fldCharType="separate"/>
      </w:r>
      <w:r w:rsidRPr="00B203F6">
        <w:rPr>
          <w:rFonts w:ascii="Arial" w:eastAsia="Times New Roman" w:hAnsi="Arial" w:cs="Arial"/>
          <w:noProof/>
        </w:rPr>
        <w:t>1. Brosch R, Gordon S V., Marmiesse M, Brodin P, Buchrieser C, Eiglmeier K, et al. A new evolutionary scenario for the Mycobacterium tuberculosis complex. Proceedings of the National Academy of Sciences. 2002;99:3684–9. doi:10.1073/pnas.052548299.</w:t>
      </w:r>
    </w:p>
    <w:p w14:paraId="082F6F0E" w14:textId="77777777" w:rsidR="00B203F6" w:rsidRPr="00B203F6" w:rsidRDefault="00B203F6" w:rsidP="00B203F6">
      <w:pPr>
        <w:widowControl w:val="0"/>
        <w:autoSpaceDE w:val="0"/>
        <w:autoSpaceDN w:val="0"/>
        <w:adjustRightInd w:val="0"/>
        <w:spacing w:line="360" w:lineRule="auto"/>
        <w:rPr>
          <w:rFonts w:ascii="Arial" w:eastAsia="Times New Roman" w:hAnsi="Arial" w:cs="Arial"/>
          <w:noProof/>
        </w:rPr>
      </w:pPr>
      <w:r w:rsidRPr="00B203F6">
        <w:rPr>
          <w:rFonts w:ascii="Arial" w:eastAsia="Times New Roman" w:hAnsi="Arial" w:cs="Arial"/>
          <w:noProof/>
        </w:rPr>
        <w:t>2. Tsolaki AG, Hirsh AE, DeRiemer K, Enciso JA, Wong MZ, Hannan M, et al. Functional and evolutionary genomics of Mycobacterium tuberculosis: insights from genomic deletions in 100 strains. Proceedings of the National Academy of Sciences of the United States of America. 2004;101:4865–70.</w:t>
      </w:r>
    </w:p>
    <w:p w14:paraId="1EC433CC" w14:textId="77777777" w:rsidR="00B203F6" w:rsidRPr="00B203F6" w:rsidRDefault="00B203F6" w:rsidP="00B203F6">
      <w:pPr>
        <w:widowControl w:val="0"/>
        <w:autoSpaceDE w:val="0"/>
        <w:autoSpaceDN w:val="0"/>
        <w:adjustRightInd w:val="0"/>
        <w:spacing w:line="360" w:lineRule="auto"/>
        <w:rPr>
          <w:rFonts w:ascii="Arial" w:hAnsi="Arial" w:cs="Arial"/>
          <w:noProof/>
        </w:rPr>
      </w:pPr>
      <w:r w:rsidRPr="00B203F6">
        <w:rPr>
          <w:rFonts w:ascii="Arial" w:eastAsia="Times New Roman" w:hAnsi="Arial" w:cs="Arial"/>
          <w:noProof/>
        </w:rPr>
        <w:t>3. Faksri K, Xia E, Tan JH, Teo Y-Y, Ong RT-H. In silico region of difference (RD) analysis of Mycobacterium tuberculosis complex from sequence reads using RD-Analyzer. BMC Genomics. 2016;17:847. doi:10.1186/s12864-016-3213-1.</w:t>
      </w:r>
    </w:p>
    <w:p w14:paraId="6803DD0F" w14:textId="77777777" w:rsidR="00B203F6" w:rsidRPr="00AB5C88" w:rsidRDefault="00B203F6" w:rsidP="00B203F6">
      <w:pPr>
        <w:widowControl w:val="0"/>
        <w:autoSpaceDE w:val="0"/>
        <w:autoSpaceDN w:val="0"/>
        <w:adjustRightInd w:val="0"/>
        <w:spacing w:line="360" w:lineRule="auto"/>
        <w:rPr>
          <w:rFonts w:ascii="Arial" w:hAnsi="Arial" w:cs="Arial"/>
        </w:rPr>
      </w:pPr>
      <w:r>
        <w:rPr>
          <w:rFonts w:ascii="Arial" w:hAnsi="Arial" w:cs="Arial"/>
        </w:rPr>
        <w:fldChar w:fldCharType="end"/>
      </w:r>
    </w:p>
    <w:p w14:paraId="77446FBC" w14:textId="77777777" w:rsidR="00B203F6" w:rsidRPr="001D6534" w:rsidRDefault="00B203F6" w:rsidP="00B203F6">
      <w:pPr>
        <w:spacing w:line="276" w:lineRule="auto"/>
        <w:rPr>
          <w:rFonts w:ascii="Arial" w:hAnsi="Arial" w:cs="Arial"/>
        </w:rPr>
      </w:pPr>
    </w:p>
    <w:p w14:paraId="177F7B62" w14:textId="77777777" w:rsidR="00BD52F7" w:rsidRDefault="00B203F6"/>
    <w:sectPr w:rsidR="00BD52F7" w:rsidSect="00E6579B">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03F6"/>
    <w:rsid w:val="001950B3"/>
    <w:rsid w:val="0062103B"/>
    <w:rsid w:val="006E5E4A"/>
    <w:rsid w:val="007F7713"/>
    <w:rsid w:val="00B203F6"/>
    <w:rsid w:val="00E6579B"/>
    <w:rsid w:val="00EF5323"/>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7BD1FE9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203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2041</Words>
  <Characters>11637</Characters>
  <Application>Microsoft Macintosh Word</Application>
  <DocSecurity>0</DocSecurity>
  <Lines>96</Lines>
  <Paragraphs>27</Paragraphs>
  <ScaleCrop>false</ScaleCrop>
  <LinksUpToDate>false</LinksUpToDate>
  <CharactersWithSpaces>13651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Sobkowiak</dc:creator>
  <cp:keywords/>
  <dc:description/>
  <cp:lastModifiedBy>Ben Sobkowiak</cp:lastModifiedBy>
  <cp:revision>1</cp:revision>
  <dcterms:created xsi:type="dcterms:W3CDTF">2017-10-19T11:19:00Z</dcterms:created>
  <dcterms:modified xsi:type="dcterms:W3CDTF">2017-10-19T11:20:00Z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http://www.zotero.org/styles/biomed-central</vt:lpwstr>
  </property>
  <property fmtid="{D5CDD505-2E9C-101B-9397-08002B2CF9AE}" pid="4" name="Mendeley Unique User Id_1">
    <vt:lpwstr>575049fa-2890-3972-9b55-f6a26b3e6def</vt:lpwstr>
  </property>
</Properties>
</file>