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E35" w:rsidRPr="00616E26" w:rsidRDefault="008A1D9D" w:rsidP="00616E26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SUPPLEMENTAL METHODS</w:t>
      </w:r>
    </w:p>
    <w:p w:rsidR="00646117" w:rsidRPr="00646117" w:rsidRDefault="00646117" w:rsidP="00646117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Zero-Inflated Exponential density</w:t>
      </w:r>
      <w:r w:rsidR="00C96D01">
        <w:rPr>
          <w:rFonts w:ascii="Arial" w:hAnsi="Arial" w:cs="Arial"/>
          <w:b/>
          <w:sz w:val="20"/>
          <w:szCs w:val="20"/>
        </w:rPr>
        <w:t xml:space="preserve"> for RPKM</w:t>
      </w:r>
      <m:oMath>
        <m:r>
          <m:rPr>
            <m:sty m:val="bi"/>
          </m:rPr>
          <w:rPr>
            <w:rFonts w:ascii="Cambria Math" w:hAnsi="Cambria Math" w:cs="Arial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</m:oMath>
    </w:p>
    <w:p w:rsidR="005A0322" w:rsidRDefault="005A0322" w:rsidP="00646117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the multiplicative error model specified in equation (3), if</w:t>
      </w:r>
      <w:r w:rsidR="000F71B6" w:rsidRPr="00646117">
        <w:rPr>
          <w:rFonts w:ascii="Arial" w:hAnsi="Arial" w:cs="Arial"/>
          <w:sz w:val="20"/>
          <w:szCs w:val="20"/>
        </w:rPr>
        <w:t xml:space="preserve"> the positive random error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ϵ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|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&gt;0 </m:t>
        </m:r>
      </m:oMath>
      <w:r w:rsidR="000F71B6" w:rsidRPr="00646117">
        <w:rPr>
          <w:rFonts w:ascii="Arial" w:hAnsi="Arial" w:cs="Arial"/>
          <w:sz w:val="20"/>
          <w:szCs w:val="20"/>
        </w:rPr>
        <w:t xml:space="preserve">follows a distribution </w:t>
      </w:r>
      <w:r w:rsidR="00C96D01">
        <w:rPr>
          <w:rFonts w:ascii="Arial" w:hAnsi="Arial" w:cs="Arial"/>
          <w:sz w:val="20"/>
          <w:szCs w:val="20"/>
        </w:rPr>
        <w:t xml:space="preserve">described by an Exponential </w:t>
      </w:r>
      <w:r>
        <w:rPr>
          <w:rFonts w:ascii="Arial" w:hAnsi="Arial" w:cs="Arial"/>
          <w:sz w:val="20"/>
          <w:szCs w:val="20"/>
        </w:rPr>
        <w:t>density function</w:t>
      </w:r>
      <m:oMath>
        <m:r>
          <w:rPr>
            <w:rFonts w:ascii="Cambria Math" w:hAnsi="Cambria Math" w:cs="Arial"/>
            <w:sz w:val="20"/>
            <w:szCs w:val="20"/>
          </w:rPr>
          <m:t xml:space="preserve"> h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ϵ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|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&gt;0</m:t>
            </m:r>
            <m:ctrlPr>
              <w:rPr>
                <w:rFonts w:ascii="Cambria Math" w:hAnsi="Cambria Math" w:cs="Arial"/>
                <w:sz w:val="20"/>
                <w:szCs w:val="20"/>
              </w:rPr>
            </m:ctrlPr>
          </m:e>
        </m:d>
        <m:r>
          <w:rPr>
            <w:rFonts w:ascii="Cambria Math" w:hAnsi="Cambria Math" w:cs="Arial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den>
        </m:f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ϵ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γ</m:t>
                </m:r>
              </m:den>
            </m:f>
          </m:sup>
        </m:sSup>
      </m:oMath>
      <w:r w:rsidR="00646117" w:rsidRPr="0064611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then</w:t>
      </w:r>
      <w:r w:rsidR="00646117" w:rsidRPr="0064611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the distribution of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ϵ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</m:oMath>
      <w:r>
        <w:rPr>
          <w:rFonts w:ascii="Arial" w:hAnsi="Arial" w:cs="Arial"/>
          <w:sz w:val="20"/>
          <w:szCs w:val="20"/>
        </w:rPr>
        <w:t xml:space="preserve"> including zero occurrence is </w:t>
      </w:r>
    </w:p>
    <w:p w:rsidR="005A0322" w:rsidRDefault="000F71B6" w:rsidP="005A032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g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ϵ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ij</m:t>
                  </m:r>
                </m:sub>
              </m:sSub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e>
          </m:d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1-π</m:t>
                  </m:r>
                </m:e>
              </m:d>
            </m:e>
            <m:sup>
              <m:sSub>
                <m:sSubP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</m:t>
                  </m:r>
                </m:e>
                <m:sub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ϵ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ij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=0</m:t>
                      </m:r>
                    </m:e>
                  </m:d>
                </m:sub>
              </m:sSub>
            </m:sup>
          </m:sSup>
          <m:sSup>
            <m:s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γ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ij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γ</m:t>
                          </m:r>
                        </m:den>
                      </m:f>
                    </m:sup>
                  </m:sSup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e>
              </m:d>
            </m:e>
            <m:sup>
              <m:sSub>
                <m:sSubP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</m:t>
                  </m:r>
                </m:e>
                <m:sub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ϵ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ij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&gt;0</m:t>
                      </m:r>
                    </m:e>
                  </m:d>
                </m:sub>
              </m:sSub>
            </m:sup>
          </m:sSup>
        </m:oMath>
      </m:oMathPara>
      <w:bookmarkStart w:id="0" w:name="_GoBack"/>
      <w:bookmarkEnd w:id="0"/>
    </w:p>
    <w:p w:rsidR="000F71B6" w:rsidRPr="00646117" w:rsidRDefault="000F71B6" w:rsidP="00646117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646117">
        <w:rPr>
          <w:rFonts w:ascii="Arial" w:hAnsi="Arial" w:cs="Arial"/>
          <w:sz w:val="20"/>
          <w:szCs w:val="20"/>
        </w:rPr>
        <w:t>with</w:t>
      </w:r>
      <w:proofErr w:type="gramEnd"/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E(ϵ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)=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πγ</m:t>
        </m:r>
      </m:oMath>
      <w:r w:rsidRPr="00646117">
        <w:rPr>
          <w:rFonts w:ascii="Arial" w:hAnsi="Arial" w:cs="Arial"/>
          <w:sz w:val="20"/>
          <w:szCs w:val="20"/>
        </w:rPr>
        <w:t xml:space="preserve">. According to the unit mean assumption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E(ϵ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)=1</m:t>
        </m:r>
      </m:oMath>
      <w:r w:rsidR="005A0322" w:rsidRPr="00126A1F">
        <w:rPr>
          <w:rFonts w:ascii="Arial" w:hAnsi="Arial" w:cs="Arial"/>
          <w:sz w:val="20"/>
          <w:szCs w:val="20"/>
        </w:rPr>
        <w:t xml:space="preserve"> </w:t>
      </w:r>
      <w:r w:rsidRPr="00646117">
        <w:rPr>
          <w:rFonts w:ascii="Arial" w:hAnsi="Arial" w:cs="Arial"/>
          <w:sz w:val="20"/>
          <w:szCs w:val="20"/>
        </w:rPr>
        <w:t>in equation (3),</w:t>
      </w:r>
      <w:r w:rsidR="005A0322">
        <w:rPr>
          <w:rFonts w:ascii="Arial" w:hAnsi="Arial" w:cs="Arial"/>
          <w:sz w:val="20"/>
          <w:szCs w:val="20"/>
        </w:rPr>
        <w:t xml:space="preserve"> we have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 xml:space="preserve"> γ=</m:t>
        </m:r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</m:t>
        </m:r>
      </m:oMath>
      <w:r w:rsidRPr="00646117">
        <w:rPr>
          <w:rFonts w:ascii="Arial" w:hAnsi="Arial" w:cs="Arial"/>
          <w:sz w:val="20"/>
          <w:szCs w:val="20"/>
        </w:rPr>
        <w:t xml:space="preserve">. That is, </w:t>
      </w:r>
    </w:p>
    <w:p w:rsidR="000F71B6" w:rsidRDefault="000F71B6" w:rsidP="000F71B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g(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ϵ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)=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(1-π)</m:t>
            </m:r>
          </m:e>
          <m:sup>
            <m:sSub>
              <m:sSub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ϵ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>=0)</m:t>
                </m:r>
              </m:sub>
            </m:sSub>
          </m:sup>
        </m:sSup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ϵ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>)</m:t>
            </m:r>
          </m:e>
          <m:sup>
            <m:sSub>
              <m:sSub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ϵ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>&gt;0)</m:t>
                </m:r>
              </m:sub>
            </m:sSub>
          </m:sup>
        </m:sSup>
      </m:oMath>
      <w:r w:rsidR="005A0322">
        <w:rPr>
          <w:rFonts w:ascii="Arial" w:hAnsi="Arial" w:cs="Arial"/>
          <w:sz w:val="20"/>
          <w:szCs w:val="20"/>
        </w:rPr>
        <w:t xml:space="preserve">  </w:t>
      </w:r>
    </w:p>
    <w:p w:rsidR="005A0322" w:rsidRPr="00C96D01" w:rsidRDefault="005A0322" w:rsidP="005A0322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Since </w:t>
      </w:r>
      <w:proofErr w:type="gramEnd"/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ϵ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/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</m:oMath>
      <w:r>
        <w:rPr>
          <w:rFonts w:ascii="Arial" w:hAnsi="Arial" w:cs="Arial"/>
          <w:sz w:val="20"/>
          <w:szCs w:val="20"/>
        </w:rPr>
        <w:t xml:space="preserve">, the semi-continuous distribution for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</m:oMath>
      <w:r>
        <w:rPr>
          <w:rFonts w:ascii="Arial" w:hAnsi="Arial" w:cs="Arial"/>
          <w:sz w:val="20"/>
          <w:szCs w:val="20"/>
        </w:rPr>
        <w:t xml:space="preserve"> can be de</w:t>
      </w:r>
      <w:r w:rsidR="00C96D01">
        <w:rPr>
          <w:rFonts w:ascii="Arial" w:hAnsi="Arial" w:cs="Arial"/>
          <w:sz w:val="20"/>
          <w:szCs w:val="20"/>
        </w:rPr>
        <w:t>rived by</w:t>
      </w:r>
      <w:r w:rsidR="00C96D01">
        <w:rPr>
          <w:rFonts w:ascii="Arial" w:hAnsi="Arial" w:cs="Arial"/>
          <w:sz w:val="20"/>
          <w:szCs w:val="20"/>
        </w:rPr>
        <w:br/>
      </w:r>
      <m:oMathPara>
        <m:oMath>
          <m:r>
            <w:rPr>
              <w:rFonts w:ascii="Cambria Math" w:hAnsi="Cambria Math" w:cs="Arial"/>
              <w:sz w:val="20"/>
              <w:szCs w:val="20"/>
            </w:rPr>
            <m:t>f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ij</m:t>
                  </m:r>
                </m:sub>
              </m:sSub>
            </m:e>
          </m:d>
          <m:r>
            <w:rPr>
              <w:rFonts w:ascii="Cambria Math" w:hAnsi="Cambria Math" w:cs="Arial"/>
              <w:sz w:val="20"/>
              <w:szCs w:val="20"/>
            </w:rPr>
            <m:t>= g(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Y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ij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/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λ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ij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)∙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d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ϵ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ij</m:t>
                  </m:r>
                </m:sub>
              </m:sSub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d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ij</m:t>
                  </m:r>
                </m:sub>
              </m:sSub>
            </m:den>
          </m:f>
        </m:oMath>
      </m:oMathPara>
    </w:p>
    <w:p w:rsidR="00C96D01" w:rsidRDefault="00BD45B2" w:rsidP="005A0322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That </w:t>
      </w:r>
      <w:proofErr w:type="gramStart"/>
      <w:r>
        <w:rPr>
          <w:rFonts w:ascii="Arial" w:hAnsi="Arial" w:cs="Arial"/>
          <w:sz w:val="20"/>
          <w:szCs w:val="20"/>
        </w:rPr>
        <w:t>is,</w:t>
      </w:r>
      <m:oMath>
        <m:r>
          <w:rPr>
            <w:rFonts w:ascii="Cambria Math" w:hAnsi="Cambria Math" w:cs="Arial"/>
            <w:sz w:val="20"/>
            <w:szCs w:val="20"/>
          </w:rPr>
          <m:t xml:space="preserve"> f(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)=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(1-π)</m:t>
            </m:r>
          </m:e>
          <m:sup>
            <m:sSub>
              <m:sSub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>=0)</m:t>
                </m:r>
              </m:sub>
            </m:sSub>
          </m:sup>
        </m:sSup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(</m:t>
            </m:r>
            <m:f>
              <m:f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π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</m:den>
            </m:f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>/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>)</m:t>
            </m:r>
          </m:e>
          <m:sup>
            <m:sSub>
              <m:sSub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>&gt;0)</m:t>
                </m:r>
              </m:sub>
            </m:sSub>
          </m:sup>
        </m:sSup>
      </m:oMath>
      <w:r w:rsidR="00C96D01">
        <w:rPr>
          <w:rFonts w:ascii="Arial" w:hAnsi="Arial" w:cs="Arial"/>
          <w:sz w:val="20"/>
          <w:szCs w:val="20"/>
        </w:rPr>
        <w:t>.</w:t>
      </w:r>
      <w:proofErr w:type="gramEnd"/>
    </w:p>
    <w:p w:rsidR="000F71B6" w:rsidRDefault="000F71B6" w:rsidP="00616E26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333E35" w:rsidRPr="00646117" w:rsidRDefault="00550C09" w:rsidP="00646117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646117">
        <w:rPr>
          <w:rFonts w:ascii="Arial" w:hAnsi="Arial" w:cs="Arial"/>
          <w:b/>
          <w:sz w:val="20"/>
          <w:szCs w:val="20"/>
        </w:rPr>
        <w:t>ZI-QML estimate</w:t>
      </w:r>
      <w:r w:rsidR="000F71B6" w:rsidRPr="00646117">
        <w:rPr>
          <w:rFonts w:ascii="Arial" w:hAnsi="Arial" w:cs="Arial"/>
          <w:b/>
          <w:sz w:val="20"/>
          <w:szCs w:val="20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sz w:val="20"/>
            <w:szCs w:val="20"/>
          </w:rPr>
          <m:t>(</m:t>
        </m:r>
        <m:acc>
          <m:accPr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</m:acc>
        <m:r>
          <m:rPr>
            <m:sty m:val="bi"/>
          </m:rPr>
          <w:rPr>
            <w:rFonts w:ascii="Cambria Math" w:hAnsi="Cambria Math" w:cs="Arial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sSubPr>
          <m:e>
            <m:sSub>
              <m:sSubPr>
                <m:ctrlPr>
                  <w:rPr>
                    <w:rFonts w:ascii="Cambria Math" w:hAnsi="Cambria Math" w:cs="Arial"/>
                    <w:b/>
                    <w:i/>
                    <w:sz w:val="20"/>
                    <w:szCs w:val="20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β</m:t>
                    </m:r>
                  </m:e>
                </m:acc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,</m:t>
            </m:r>
            <m:acc>
              <m:accPr>
                <m:ctrlPr>
                  <w:rPr>
                    <w:rFonts w:ascii="Cambria Math" w:hAnsi="Cambria Math" w:cs="Arial"/>
                    <w:b/>
                    <w:i/>
                    <w:sz w:val="20"/>
                    <w:szCs w:val="20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γ</m:t>
                </m:r>
              </m:e>
            </m:acc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)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ZI-QML</m:t>
            </m:r>
          </m:sub>
        </m:sSub>
      </m:oMath>
      <w:r w:rsidR="00333E35" w:rsidRPr="00646117">
        <w:rPr>
          <w:rFonts w:ascii="Arial" w:hAnsi="Arial" w:cs="Arial"/>
          <w:b/>
          <w:sz w:val="20"/>
          <w:szCs w:val="20"/>
        </w:rPr>
        <w:t xml:space="preserve"> </w:t>
      </w:r>
      <w:r w:rsidR="000F71B6" w:rsidRPr="00646117">
        <w:rPr>
          <w:rFonts w:ascii="Arial" w:hAnsi="Arial" w:cs="Arial"/>
          <w:b/>
          <w:sz w:val="20"/>
          <w:szCs w:val="20"/>
        </w:rPr>
        <w:t>is asymptotically unbiased.</w:t>
      </w:r>
    </w:p>
    <w:p w:rsidR="00333E35" w:rsidRPr="00616E26" w:rsidRDefault="00646117" w:rsidP="00616E26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Proof: </w:t>
      </w:r>
      <w:r w:rsidR="00333E35" w:rsidRPr="00616E26">
        <w:rPr>
          <w:rFonts w:ascii="Arial" w:hAnsi="Arial" w:cs="Arial"/>
          <w:sz w:val="20"/>
          <w:szCs w:val="20"/>
        </w:rPr>
        <w:t>According to</w:t>
      </w:r>
      <w:r w:rsidR="00333E35" w:rsidRPr="00616E26">
        <w:rPr>
          <w:rFonts w:ascii="Arial" w:hAnsi="Arial" w:cs="Arial"/>
          <w:color w:val="FF0000"/>
          <w:sz w:val="20"/>
          <w:szCs w:val="20"/>
        </w:rPr>
        <w:t xml:space="preserve"> </w:t>
      </w:r>
      <w:r w:rsidR="00333E35" w:rsidRPr="00616E26">
        <w:rPr>
          <w:rFonts w:ascii="Arial" w:hAnsi="Arial" w:cs="Arial"/>
          <w:color w:val="000000" w:themeColor="text1"/>
          <w:sz w:val="20"/>
          <w:szCs w:val="20"/>
        </w:rPr>
        <w:fldChar w:fldCharType="begin"/>
      </w:r>
      <w:r w:rsidR="006E0BDD">
        <w:rPr>
          <w:rFonts w:ascii="Arial" w:hAnsi="Arial" w:cs="Arial"/>
          <w:color w:val="000000" w:themeColor="text1"/>
          <w:sz w:val="20"/>
          <w:szCs w:val="20"/>
        </w:rPr>
        <w:instrText xml:space="preserve"> ADDIN EN.CITE &lt;EndNote&gt;&lt;Cite&gt;&lt;Author&gt;Amemiya&lt;/Author&gt;&lt;Year&gt;1985&lt;/Year&gt;&lt;RecNum&gt;10&lt;/RecNum&gt;&lt;DisplayText&gt;[1, 2]&lt;/DisplayText&gt;&lt;record&gt;&lt;rec-number&gt;10&lt;/rec-number&gt;&lt;foreign-keys&gt;&lt;key app="EN" db-id="550arpev7vrx5me5faxvxpv0vta2vxtee5x9" timestamp="1531939310"&gt;10&lt;/key&gt;&lt;/foreign-keys&gt;&lt;ref-type name="Book"&gt;6&lt;/ref-type&gt;&lt;contributors&gt;&lt;authors&gt;&lt;author&gt;Amemiya, T.&lt;/author&gt;&lt;author&gt;Harvard University Press&lt;/author&gt;&lt;/authors&gt;&lt;/contributors&gt;&lt;titles&gt;&lt;title&gt;Advanced Econometrics&lt;/title&gt;&lt;/titles&gt;&lt;dates&gt;&lt;year&gt;1985&lt;/year&gt;&lt;/dates&gt;&lt;publisher&gt;Harvard University Press&lt;/publisher&gt;&lt;isbn&gt;9780674005600&lt;/isbn&gt;&lt;urls&gt;&lt;related-urls&gt;&lt;url&gt;https://books.google.com/books?id=0bzGQE14CwEC&lt;/url&gt;&lt;/related-urls&gt;&lt;/urls&gt;&lt;/record&gt;&lt;/Cite&gt;&lt;Cite&gt;&lt;Author&gt;Gourieroux&lt;/Author&gt;&lt;Year&gt;1984&lt;/Year&gt;&lt;RecNum&gt;11&lt;/RecNum&gt;&lt;record&gt;&lt;rec-number&gt;11&lt;/rec-number&gt;&lt;foreign-keys&gt;&lt;key app="EN" db-id="550arpev7vrx5me5faxvxpv0vta2vxtee5x9" timestamp="1531940454"&gt;11&lt;/key&gt;&lt;/foreign-keys&gt;&lt;ref-type name="Journal Article"&gt;17&lt;/ref-type&gt;&lt;contributors&gt;&lt;authors&gt;&lt;author&gt;Gourieroux, C.&lt;/author&gt;&lt;author&gt;Monfort, A.&lt;/author&gt;&lt;author&gt;Trognon, A.&lt;/author&gt;&lt;/authors&gt;&lt;/contributors&gt;&lt;titles&gt;&lt;title&gt;Pseudo Maximum Likelihood Methods: Theory&lt;/title&gt;&lt;secondary-title&gt;Econometrica&lt;/secondary-title&gt;&lt;/titles&gt;&lt;periodical&gt;&lt;full-title&gt;Econometrica&lt;/full-title&gt;&lt;/periodical&gt;&lt;pages&gt;681-700&lt;/pages&gt;&lt;volume&gt;52&lt;/volume&gt;&lt;number&gt;3&lt;/number&gt;&lt;dates&gt;&lt;year&gt;1984&lt;/year&gt;&lt;/dates&gt;&lt;publisher&gt;[Wiley, Econometric Society]&lt;/publisher&gt;&lt;isbn&gt;00129682, 14680262&lt;/isbn&gt;&lt;urls&gt;&lt;related-urls&gt;&lt;url&gt;http://www.jstor.org/stable/1913471&lt;/url&gt;&lt;/related-urls&gt;&lt;/urls&gt;&lt;custom1&gt;Full publication date: May, 1984&lt;/custom1&gt;&lt;electronic-resource-num&gt;10.2307/1913471&lt;/electronic-resource-num&gt;&lt;/record&gt;&lt;/Cite&gt;&lt;/EndNote&gt;</w:instrText>
      </w:r>
      <w:r w:rsidR="00333E35" w:rsidRPr="00616E26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="006E0BDD">
        <w:rPr>
          <w:rFonts w:ascii="Arial" w:hAnsi="Arial" w:cs="Arial"/>
          <w:noProof/>
          <w:color w:val="000000" w:themeColor="text1"/>
          <w:sz w:val="20"/>
          <w:szCs w:val="20"/>
        </w:rPr>
        <w:t>[1, 2]</w:t>
      </w:r>
      <w:r w:rsidR="00333E35" w:rsidRPr="00616E26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="00333E35" w:rsidRPr="00616E26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acc>
          <m:accPr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</m:acc>
        <m:r>
          <m:rPr>
            <m:sty m:val="bi"/>
          </m:rPr>
          <w:rPr>
            <w:rFonts w:ascii="Cambria Math" w:hAnsi="Cambria Math" w:cs="Arial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 w:cs="Arial"/>
                <w:b/>
                <w:i/>
                <w:sz w:val="20"/>
                <w:szCs w:val="20"/>
              </w:rPr>
            </m:ctrlPr>
          </m:sSubPr>
          <m:e>
            <m:sSub>
              <m:sSubPr>
                <m:ctrlPr>
                  <w:rPr>
                    <w:rFonts w:ascii="Cambria Math" w:hAnsi="Cambria Math" w:cs="Arial"/>
                    <w:b/>
                    <w:i/>
                    <w:sz w:val="20"/>
                    <w:szCs w:val="20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 w:cs="Arial"/>
                        <w:b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β</m:t>
                    </m:r>
                  </m:e>
                </m:acc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,</m:t>
            </m:r>
            <m:acc>
              <m:accPr>
                <m:ctrlPr>
                  <w:rPr>
                    <w:rFonts w:ascii="Cambria Math" w:hAnsi="Cambria Math" w:cs="Arial"/>
                    <w:b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γ</m:t>
                </m:r>
              </m:e>
            </m:acc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)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ZI-QML</m:t>
            </m:r>
          </m:sub>
        </m:sSub>
      </m:oMath>
      <w:r w:rsidR="00333E35" w:rsidRPr="00616E26">
        <w:rPr>
          <w:rFonts w:ascii="Arial" w:hAnsi="Arial" w:cs="Arial"/>
          <w:b/>
          <w:sz w:val="20"/>
          <w:szCs w:val="20"/>
        </w:rPr>
        <w:t xml:space="preserve"> </w:t>
      </w:r>
      <w:r w:rsidR="00333E35" w:rsidRPr="00616E26">
        <w:rPr>
          <w:rFonts w:ascii="Arial" w:hAnsi="Arial" w:cs="Arial"/>
          <w:sz w:val="20"/>
          <w:szCs w:val="20"/>
        </w:rPr>
        <w:t xml:space="preserve">is a consistent estimator if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</m:oMath>
      <w:r w:rsidR="00333E35" w:rsidRPr="00616E26">
        <w:rPr>
          <w:rFonts w:ascii="Arial" w:hAnsi="Arial" w:cs="Arial"/>
          <w:sz w:val="20"/>
          <w:szCs w:val="20"/>
        </w:rPr>
        <w:t>converges almost surely to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π,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="00333E35" w:rsidRPr="00616E26">
        <w:rPr>
          <w:rFonts w:ascii="Arial" w:hAnsi="Arial" w:cs="Arial"/>
          <w:sz w:val="20"/>
          <w:szCs w:val="20"/>
        </w:rPr>
        <w:t xml:space="preserve"> and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="00333E35" w:rsidRPr="00616E26">
        <w:rPr>
          <w:rFonts w:ascii="Arial" w:hAnsi="Arial" w:cs="Arial"/>
          <w:sz w:val="20"/>
          <w:szCs w:val="20"/>
        </w:rPr>
        <w:t xml:space="preserve"> is uniquely maximized at the true mean of RPKM, i.e.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</m:oMath>
      <w:r w:rsidR="00333E35" w:rsidRPr="00616E26">
        <w:rPr>
          <w:rFonts w:ascii="Arial" w:hAnsi="Arial" w:cs="Arial"/>
          <w:sz w:val="20"/>
          <w:szCs w:val="20"/>
        </w:rPr>
        <w:t>. Suppose the true value of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sub>
        </m:sSub>
      </m:oMath>
      <w:r w:rsidR="00333E35" w:rsidRPr="00616E26">
        <w:rPr>
          <w:rFonts w:ascii="Arial" w:hAnsi="Arial" w:cs="Arial"/>
          <w:sz w:val="20"/>
          <w:szCs w:val="20"/>
        </w:rPr>
        <w:t>,</w:t>
      </w:r>
      <m:oMath>
        <m:r>
          <w:rPr>
            <w:rFonts w:ascii="Cambria Math" w:hAnsi="Cambria Math" w:cs="Arial"/>
            <w:sz w:val="20"/>
            <w:szCs w:val="20"/>
          </w:rPr>
          <m:t xml:space="preserve"> γ</m:t>
        </m:r>
      </m:oMath>
      <w:r w:rsidR="00333E35" w:rsidRPr="00616E26">
        <w:rPr>
          <w:rFonts w:ascii="Arial" w:hAnsi="Arial" w:cs="Arial"/>
          <w:sz w:val="20"/>
          <w:szCs w:val="20"/>
        </w:rPr>
        <w:t xml:space="preserve"> are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i1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 xml:space="preserve">,…, 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iK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</m:e>
        </m:d>
        <m:r>
          <w:rPr>
            <w:rFonts w:ascii="Cambria Math" w:hAnsi="Cambria Math" w:cs="Arial"/>
            <w:sz w:val="20"/>
            <w:szCs w:val="20"/>
          </w:rPr>
          <m:t>,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=(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  <m:r>
              <w:rPr>
                <w:rFonts w:ascii="Cambria Math" w:hAnsi="Cambria Math" w:cs="Arial"/>
                <w:sz w:val="20"/>
                <w:szCs w:val="20"/>
              </w:rPr>
              <m:t>,…,</m:t>
            </m:r>
          </m:sub>
        </m:sSub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)</m:t>
        </m:r>
      </m:oMath>
      <w:r w:rsidR="00333E35" w:rsidRPr="00616E26">
        <w:rPr>
          <w:rFonts w:ascii="Arial" w:hAnsi="Arial" w:cs="Arial"/>
          <w:sz w:val="20"/>
          <w:szCs w:val="20"/>
        </w:rPr>
        <w:t xml:space="preserve"> and the true value of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</m:oMath>
      <w:r w:rsidR="00333E35" w:rsidRPr="00616E2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33E35" w:rsidRPr="00616E26">
        <w:rPr>
          <w:rFonts w:ascii="Arial" w:hAnsi="Arial" w:cs="Arial"/>
          <w:sz w:val="20"/>
          <w:szCs w:val="20"/>
        </w:rPr>
        <w:t xml:space="preserve">is </w:t>
      </w:r>
      <w:proofErr w:type="gramEnd"/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</m:oMath>
      <w:r w:rsidR="00333E35" w:rsidRPr="00616E26">
        <w:rPr>
          <w:rFonts w:ascii="Arial" w:hAnsi="Arial" w:cs="Arial"/>
          <w:sz w:val="20"/>
          <w:szCs w:val="20"/>
        </w:rPr>
        <w:t xml:space="preserve">. </w:t>
      </w:r>
    </w:p>
    <w:p w:rsidR="00333E35" w:rsidRPr="00646117" w:rsidRDefault="00333E35" w:rsidP="0064611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0"/>
          <w:szCs w:val="20"/>
        </w:rPr>
      </w:pPr>
      <w:r w:rsidRPr="00646117">
        <w:rPr>
          <w:rFonts w:ascii="Arial" w:hAnsi="Arial" w:cs="Arial"/>
          <w:sz w:val="20"/>
          <w:szCs w:val="20"/>
        </w:rPr>
        <w:t>Identity link function</w:t>
      </w:r>
      <w:proofErr w:type="gramStart"/>
      <w:r w:rsidRPr="00646117">
        <w:rPr>
          <w:rFonts w:ascii="Arial" w:hAnsi="Arial" w:cs="Arial"/>
          <w:sz w:val="20"/>
          <w:szCs w:val="20"/>
        </w:rPr>
        <w:t xml:space="preserve">: </w:t>
      </w:r>
      <w:proofErr w:type="gramEnd"/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20"/>
              </w:rPr>
              <m:t>k=1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sup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ik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w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jk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m=1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m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jm</m:t>
                    </m:r>
                  </m:sub>
                </m:sSub>
              </m:e>
            </m:nary>
          </m:e>
        </m:nary>
      </m:oMath>
      <w:r w:rsidRPr="00646117">
        <w:rPr>
          <w:rFonts w:ascii="Arial" w:hAnsi="Arial" w:cs="Arial"/>
          <w:sz w:val="20"/>
          <w:szCs w:val="20"/>
        </w:rPr>
        <w:t xml:space="preserve">. </w:t>
      </w:r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r w:rsidRPr="00616E26">
        <w:rPr>
          <w:rFonts w:ascii="Arial" w:hAnsi="Arial" w:cs="Arial"/>
          <w:sz w:val="20"/>
          <w:szCs w:val="20"/>
        </w:rPr>
        <w:t xml:space="preserve">The true expectation of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</m:oMath>
      <w:r w:rsidRPr="00616E26">
        <w:rPr>
          <w:rFonts w:ascii="Arial" w:hAnsi="Arial" w:cs="Arial"/>
          <w:sz w:val="20"/>
          <w:szCs w:val="20"/>
        </w:rPr>
        <w:t xml:space="preserve"> is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20"/>
              </w:rPr>
              <m:t>k=1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sup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ik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w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jk</m:t>
                </m:r>
              </m:sub>
            </m:sSub>
          </m:e>
        </m:nary>
        <m:r>
          <w:rPr>
            <w:rFonts w:ascii="Cambria Math" w:hAnsi="Cambria Math" w:cs="Arial"/>
            <w:sz w:val="20"/>
            <w:szCs w:val="20"/>
          </w:rPr>
          <m:t>+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20"/>
              </w:rPr>
              <m:t>m=1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γ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m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jm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</m:e>
        </m:nary>
      </m:oMath>
      <w:r w:rsidRPr="00616E26">
        <w:rPr>
          <w:rFonts w:ascii="Arial" w:hAnsi="Arial" w:cs="Arial"/>
          <w:sz w:val="20"/>
          <w:szCs w:val="20"/>
        </w:rPr>
        <w:t xml:space="preserve">. Since </w:t>
      </w:r>
      <m:oMath>
        <m:r>
          <w:rPr>
            <w:rFonts w:ascii="Cambria Math" w:hAnsi="Cambria Math" w:cs="Arial"/>
            <w:sz w:val="20"/>
            <w:szCs w:val="20"/>
          </w:rPr>
          <m:t>E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|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&gt;0</m:t>
            </m:r>
          </m:e>
        </m:d>
        <m:r>
          <w:rPr>
            <w:rFonts w:ascii="Cambria Math" w:hAnsi="Cambria Math" w:cs="Arial"/>
            <w:sz w:val="20"/>
            <w:szCs w:val="20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/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</m:oMath>
      <w:r w:rsidRPr="00616E26">
        <w:rPr>
          <w:rFonts w:ascii="Arial" w:hAnsi="Arial" w:cs="Arial"/>
          <w:sz w:val="20"/>
          <w:szCs w:val="20"/>
        </w:rPr>
        <w:t>with true value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/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</m:oMath>
      <w:r w:rsidRPr="00616E26">
        <w:rPr>
          <w:rFonts w:ascii="Arial" w:hAnsi="Arial" w:cs="Arial"/>
          <w:sz w:val="20"/>
          <w:szCs w:val="20"/>
        </w:rPr>
        <w:t xml:space="preserve">, it is not hard to show that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Pr="00616E26">
        <w:rPr>
          <w:rFonts w:ascii="Arial" w:hAnsi="Arial" w:cs="Arial"/>
          <w:sz w:val="20"/>
          <w:szCs w:val="20"/>
        </w:rPr>
        <w:t xml:space="preserve"> is</w:t>
      </w:r>
    </w:p>
    <w:p w:rsidR="00333E35" w:rsidRPr="00616E26" w:rsidRDefault="008A1D9D" w:rsidP="00616E2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>]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</m:e>
        </m:d>
        <m:r>
          <w:rPr>
            <w:rFonts w:ascii="Cambria Math" w:hAnsi="Cambria Math" w:cs="Arial"/>
            <w:sz w:val="20"/>
            <w:szCs w:val="20"/>
          </w:rPr>
          <m:t>]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=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1-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ctrlPr>
              <w:rPr>
                <w:rFonts w:ascii="Cambria Math" w:hAnsi="Cambria Math" w:cs="Arial"/>
                <w:sz w:val="20"/>
                <w:szCs w:val="20"/>
              </w:rPr>
            </m:ctrlPr>
          </m:e>
        </m:d>
        <m:func>
          <m:funcPr>
            <m:ctrlPr>
              <w:rPr>
                <w:rFonts w:ascii="Cambria Math" w:hAnsi="Cambria Math" w:cs="Arial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1-π</m:t>
                </m: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e>
            </m:d>
          </m:e>
        </m:func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+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func>
          <m:funcPr>
            <m:ctrlPr>
              <w:rPr>
                <w:rFonts w:ascii="Cambria Math" w:hAnsi="Cambria Math" w:cs="Arial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(2∙log</m:t>
            </m:r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e>
            </m:d>
          </m:e>
        </m:func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</m:den>
        </m:f>
        <m:r>
          <w:rPr>
            <w:rFonts w:ascii="Cambria Math" w:hAnsi="Cambria Math" w:cs="Arial"/>
            <w:sz w:val="20"/>
            <w:szCs w:val="20"/>
          </w:rPr>
          <m:t>-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log⁡</m:t>
        </m:r>
        <m:r>
          <w:rPr>
            <w:rFonts w:ascii="Cambria Math" w:hAnsi="Cambria Math" w:cs="Arial"/>
            <w:sz w:val="20"/>
            <w:szCs w:val="20"/>
          </w:rPr>
          <m:t>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))          (7)</m:t>
        </m:r>
      </m:oMath>
      <w:r w:rsidR="00333E35" w:rsidRPr="00616E26">
        <w:rPr>
          <w:rFonts w:ascii="Arial" w:hAnsi="Arial" w:cs="Arial"/>
          <w:sz w:val="20"/>
          <w:szCs w:val="20"/>
        </w:rPr>
        <w:t xml:space="preserve">   </w:t>
      </w:r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616E26">
        <w:rPr>
          <w:rFonts w:ascii="Arial" w:hAnsi="Arial" w:cs="Arial"/>
          <w:sz w:val="20"/>
          <w:szCs w:val="20"/>
        </w:rPr>
        <w:t>which</w:t>
      </w:r>
      <w:proofErr w:type="gramEnd"/>
      <w:r w:rsidRPr="00616E26">
        <w:rPr>
          <w:rFonts w:ascii="Arial" w:hAnsi="Arial" w:cs="Arial"/>
          <w:sz w:val="20"/>
          <w:szCs w:val="20"/>
        </w:rPr>
        <w:t xml:space="preserve"> is a finite function. By law of large numbers,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</m:oMath>
      <w:r w:rsidRPr="00616E26">
        <w:rPr>
          <w:rFonts w:ascii="Arial" w:hAnsi="Arial" w:cs="Arial"/>
          <w:sz w:val="20"/>
          <w:szCs w:val="20"/>
        </w:rPr>
        <w:t xml:space="preserve">-the sample mean of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</m:oMath>
      <w:r w:rsidRPr="00616E26">
        <w:rPr>
          <w:rFonts w:ascii="Arial" w:hAnsi="Arial" w:cs="Arial"/>
          <w:sz w:val="20"/>
          <w:szCs w:val="20"/>
        </w:rPr>
        <w:t xml:space="preserve">-converges almost surely </w:t>
      </w:r>
      <w:proofErr w:type="gramStart"/>
      <w:r w:rsidRPr="00616E26">
        <w:rPr>
          <w:rFonts w:ascii="Arial" w:hAnsi="Arial" w:cs="Arial"/>
          <w:sz w:val="20"/>
          <w:szCs w:val="20"/>
        </w:rPr>
        <w:t xml:space="preserve">to </w:t>
      </w:r>
      <w:proofErr w:type="gramEnd"/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Pr="00616E26">
        <w:rPr>
          <w:rFonts w:ascii="Arial" w:hAnsi="Arial" w:cs="Arial"/>
          <w:sz w:val="20"/>
          <w:szCs w:val="20"/>
        </w:rPr>
        <w:t xml:space="preserve">. Next, we need to demonstrate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Pr="00616E26">
        <w:rPr>
          <w:rFonts w:ascii="Arial" w:hAnsi="Arial" w:cs="Arial"/>
          <w:sz w:val="20"/>
          <w:szCs w:val="20"/>
        </w:rPr>
        <w:t xml:space="preserve"> being uniquely maximized </w:t>
      </w:r>
      <w:proofErr w:type="gramStart"/>
      <w:r w:rsidRPr="00616E26">
        <w:rPr>
          <w:rFonts w:ascii="Arial" w:hAnsi="Arial" w:cs="Arial"/>
          <w:sz w:val="20"/>
          <w:szCs w:val="20"/>
        </w:rPr>
        <w:t xml:space="preserve">at </w:t>
      </w:r>
      <w:proofErr w:type="gramEnd"/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(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,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)</m:t>
        </m:r>
      </m:oMath>
      <w:r w:rsidRPr="00616E26">
        <w:rPr>
          <w:rFonts w:ascii="Arial" w:hAnsi="Arial" w:cs="Arial"/>
          <w:sz w:val="20"/>
          <w:szCs w:val="20"/>
        </w:rPr>
        <w:t xml:space="preserve">. </w:t>
      </w:r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r w:rsidRPr="00616E26">
        <w:rPr>
          <w:rFonts w:ascii="Arial" w:hAnsi="Arial" w:cs="Arial"/>
          <w:sz w:val="20"/>
          <w:szCs w:val="20"/>
        </w:rPr>
        <w:t xml:space="preserve">We consider the maximizer of </w:t>
      </w:r>
      <m:oMath>
        <m:r>
          <w:rPr>
            <w:rFonts w:ascii="Cambria Math" w:hAnsi="Cambria Math" w:cs="Arial"/>
            <w:sz w:val="20"/>
            <w:szCs w:val="20"/>
          </w:rPr>
          <m:t>A(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π,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)=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>]+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log⁡</m:t>
        </m:r>
        <m:r>
          <w:rPr>
            <w:rFonts w:ascii="Cambria Math" w:hAnsi="Cambria Math" w:cs="Arial"/>
            <w:sz w:val="20"/>
            <w:szCs w:val="20"/>
          </w:rPr>
          <m:t>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)</m:t>
        </m:r>
      </m:oMath>
      <w:r w:rsidRPr="00616E2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16E26">
        <w:rPr>
          <w:rFonts w:ascii="Arial" w:hAnsi="Arial" w:cs="Arial"/>
          <w:sz w:val="20"/>
          <w:szCs w:val="20"/>
        </w:rPr>
        <w:t>instead of</w:t>
      </w:r>
      <w:proofErr w:type="gramEnd"/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Pr="00616E26">
        <w:rPr>
          <w:rFonts w:ascii="Arial" w:hAnsi="Arial" w:cs="Arial"/>
          <w:sz w:val="20"/>
          <w:szCs w:val="20"/>
        </w:rPr>
        <w:t xml:space="preserve">. </w:t>
      </w:r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r w:rsidRPr="00616E26">
        <w:rPr>
          <w:rFonts w:ascii="Arial" w:hAnsi="Arial" w:cs="Arial"/>
          <w:sz w:val="20"/>
          <w:szCs w:val="20"/>
        </w:rPr>
        <w:lastRenderedPageBreak/>
        <w:t>That is</w:t>
      </w:r>
    </w:p>
    <w:p w:rsidR="00333E35" w:rsidRPr="00616E26" w:rsidRDefault="008A1D9D" w:rsidP="00616E2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m:oMathPara>
        <m:oMath>
          <m:sSup>
            <m:s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A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π,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ij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>=E[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j</m:t>
                  </m:r>
                </m:sub>
              </m:sSub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*</m:t>
              </m:r>
            </m:sup>
          </m:sSup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π,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ij</m:t>
                  </m:r>
                </m:sub>
              </m:sSub>
            </m:e>
          </m:d>
          <m:r>
            <w:rPr>
              <w:rFonts w:ascii="Cambria Math" w:hAnsi="Cambria Math" w:cs="Arial"/>
              <w:sz w:val="20"/>
              <w:szCs w:val="20"/>
            </w:rPr>
            <m:t>]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1-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e>
          </m:d>
          <m:func>
            <m:func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1-π</m:t>
                  </m: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e>
              </m:d>
            </m:e>
          </m:func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π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0</m:t>
              </m:r>
            </m:sub>
          </m:sSub>
          <m:func>
            <m:func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(2∙log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e>
              </m:d>
            </m:e>
          </m:func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-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π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ij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ij</m:t>
                  </m:r>
                </m:sub>
              </m:sSub>
            </m:den>
          </m:f>
          <m:r>
            <w:rPr>
              <w:rFonts w:ascii="Cambria Math" w:hAnsi="Cambria Math" w:cs="Arial"/>
              <w:sz w:val="20"/>
              <w:szCs w:val="20"/>
            </w:rPr>
            <m:t>-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log⁡</m:t>
          </m:r>
          <m:r>
            <w:rPr>
              <w:rFonts w:ascii="Cambria Math" w:hAnsi="Cambria Math" w:cs="Arial"/>
              <w:sz w:val="20"/>
              <w:szCs w:val="20"/>
            </w:rPr>
            <m:t>(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ij</m:t>
                  </m:r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Arial"/>
              <w:sz w:val="20"/>
              <w:szCs w:val="20"/>
            </w:rPr>
            <m:t xml:space="preserve">))          </m:t>
          </m:r>
        </m:oMath>
      </m:oMathPara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r w:rsidRPr="00616E26">
        <w:rPr>
          <w:rFonts w:ascii="Arial" w:hAnsi="Arial" w:cs="Arial"/>
          <w:sz w:val="20"/>
          <w:szCs w:val="20"/>
        </w:rPr>
        <w:t>Let</w:t>
      </w:r>
      <m:oMath>
        <m:r>
          <w:rPr>
            <w:rFonts w:ascii="Cambria Math" w:hAnsi="Cambria Math" w:cs="Arial"/>
            <w:sz w:val="20"/>
            <w:szCs w:val="20"/>
          </w:rPr>
          <m:t xml:space="preserve"> x=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</m:den>
        </m:f>
      </m:oMath>
      <w:r w:rsidRPr="00616E26">
        <w:rPr>
          <w:rFonts w:ascii="Arial" w:hAnsi="Arial" w:cs="Arial"/>
          <w:sz w:val="20"/>
          <w:szCs w:val="20"/>
        </w:rPr>
        <w:t>, then</w:t>
      </w:r>
    </w:p>
    <w:p w:rsidR="00333E35" w:rsidRPr="00616E26" w:rsidRDefault="00333E35" w:rsidP="00616E2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A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π,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e>
          </m:d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=</m:t>
          </m:r>
          <m:r>
            <w:rPr>
              <w:rFonts w:ascii="Cambria Math" w:hAnsi="Cambria Math" w:cs="Arial"/>
              <w:sz w:val="20"/>
              <w:szCs w:val="20"/>
            </w:rPr>
            <m:t>A(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π,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λ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ij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)=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1-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e>
          </m:d>
          <m:func>
            <m:func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1-π</m:t>
                  </m: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e>
              </m:d>
            </m:e>
          </m:func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+</m:t>
          </m:r>
          <m:func>
            <m:func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2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e>
              </m:d>
            </m:e>
          </m:func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-(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π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+</m:t>
          </m:r>
          <m:func>
            <m:func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funcPr>
            <m:fName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log</m:t>
              </m: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)</m:t>
          </m:r>
        </m:oMath>
      </m:oMathPara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r w:rsidRPr="00616E26">
        <w:rPr>
          <w:rFonts w:ascii="Arial" w:hAnsi="Arial" w:cs="Arial"/>
          <w:sz w:val="20"/>
          <w:szCs w:val="20"/>
        </w:rPr>
        <w:t>The first gradient of</w:t>
      </w:r>
      <m:oMath>
        <m:r>
          <w:rPr>
            <w:rFonts w:ascii="Cambria Math" w:hAnsi="Cambria Math" w:cs="Arial"/>
            <w:sz w:val="20"/>
            <w:szCs w:val="20"/>
          </w:rPr>
          <m:t xml:space="preserve"> A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ctrlPr>
              <w:rPr>
                <w:rFonts w:ascii="Cambria Math" w:hAnsi="Cambria Math" w:cs="Arial"/>
                <w:sz w:val="20"/>
                <w:szCs w:val="20"/>
              </w:rPr>
            </m:ctrlPr>
          </m:e>
        </m:d>
      </m:oMath>
      <w:r w:rsidRPr="00616E26">
        <w:rPr>
          <w:rFonts w:ascii="Arial" w:hAnsi="Arial" w:cs="Arial"/>
          <w:sz w:val="20"/>
          <w:szCs w:val="20"/>
        </w:rPr>
        <w:t xml:space="preserve"> is</w:t>
      </w:r>
    </w:p>
    <w:p w:rsidR="00333E35" w:rsidRPr="00616E26" w:rsidRDefault="008A1D9D" w:rsidP="00616E2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∂A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π,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 xml:space="preserve"> 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∂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π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=-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1-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1-π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+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2π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π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-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=0          (8)</m:t>
          </m:r>
        </m:oMath>
      </m:oMathPara>
    </w:p>
    <w:p w:rsidR="00333E35" w:rsidRPr="00616E26" w:rsidRDefault="008A1D9D" w:rsidP="00616E2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∂A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π,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  <m:ctrlPr>
                    <w:rPr>
                      <w:rFonts w:ascii="Cambria Math" w:hAnsi="Cambria Math" w:cs="Arial"/>
                      <w:sz w:val="20"/>
                      <w:szCs w:val="20"/>
                    </w:rPr>
                  </m:ctrlPr>
                </m:e>
              </m:d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∂x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π</m:t>
              </m:r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sz w:val="20"/>
              <w:szCs w:val="20"/>
            </w:rPr>
            <m:t>-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=0          (9)</m:t>
          </m:r>
        </m:oMath>
      </m:oMathPara>
    </w:p>
    <w:p w:rsidR="00333E35" w:rsidRPr="00616E26" w:rsidRDefault="00656B06" w:rsidP="00616E26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solution to equations (8) and (9)</w:t>
      </w:r>
      <w:r w:rsidR="00333E35" w:rsidRPr="00616E2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33E35" w:rsidRPr="00616E26">
        <w:rPr>
          <w:rFonts w:ascii="Arial" w:hAnsi="Arial" w:cs="Arial"/>
          <w:sz w:val="20"/>
          <w:szCs w:val="20"/>
        </w:rPr>
        <w:t xml:space="preserve">is </w:t>
      </w:r>
      <w:proofErr w:type="gramEnd"/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  <m:r>
              <w:rPr>
                <w:rFonts w:ascii="Cambria Math" w:hAnsi="Cambria Math" w:cs="Arial"/>
                <w:sz w:val="20"/>
                <w:szCs w:val="20"/>
              </w:rPr>
              <m:t>,x</m:t>
            </m:r>
          </m:e>
        </m:d>
        <m:r>
          <w:rPr>
            <w:rFonts w:ascii="Cambria Math" w:hAnsi="Cambria Math" w:cs="Arial"/>
            <w:sz w:val="20"/>
            <w:szCs w:val="20"/>
          </w:rPr>
          <m:t>=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,1</m:t>
            </m:r>
          </m:e>
        </m:d>
      </m:oMath>
      <w:r w:rsidR="00333E35" w:rsidRPr="00616E26">
        <w:rPr>
          <w:rFonts w:ascii="Arial" w:hAnsi="Arial" w:cs="Arial"/>
          <w:sz w:val="20"/>
          <w:szCs w:val="20"/>
        </w:rPr>
        <w:t xml:space="preserve">. The second gradient gives the Hessian matrix </w:t>
      </w:r>
    </w:p>
    <w:p w:rsidR="00333E35" w:rsidRPr="00616E26" w:rsidRDefault="00333E35" w:rsidP="00616E2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H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∂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A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π,</m:t>
                                </m:r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x</m:t>
                                </m:r>
                                <m:ctrl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</m:ctrlP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∂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π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∂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A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π,</m:t>
                                </m:r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x</m:t>
                                </m:r>
                                <m:ctrl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</m:ctrlP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∂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π</m:t>
                            </m:r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∂x</m:t>
                            </m:r>
                          </m:den>
                        </m:f>
                      </m:e>
                    </m:mr>
                    <m:m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∂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A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π,</m:t>
                                </m:r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x</m:t>
                                </m:r>
                                <m:ctrl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</m:ctrlP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∂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π</m:t>
                            </m:r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∂x</m:t>
                            </m:r>
                          </m:den>
                        </m:f>
                      </m:e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∂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A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π,</m:t>
                                </m:r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x</m:t>
                                </m:r>
                                <m:ctrl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</m:ctrlP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∂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mr>
                  </m:m>
                </m:e>
              </m:d>
            </m:e>
            <m:sub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,1</m:t>
                  </m:r>
                </m:e>
              </m:d>
            </m:sub>
          </m:sSub>
          <m:r>
            <w:rPr>
              <w:rFonts w:ascii="Cambria Math" w:hAnsi="Cambria Math" w:cs="Arial"/>
              <w:sz w:val="20"/>
              <w:szCs w:val="20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π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0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π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0</m:t>
                            </m:r>
                          </m:sub>
                        </m:sSub>
                      </m:den>
                    </m:f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π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0</m:t>
                        </m:r>
                      </m:sub>
                    </m:sSub>
                  </m:e>
                </m:mr>
              </m:m>
            </m:e>
          </m:d>
        </m:oMath>
      </m:oMathPara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r w:rsidRPr="00616E26">
        <w:rPr>
          <w:rFonts w:ascii="Arial" w:hAnsi="Arial" w:cs="Arial"/>
          <w:sz w:val="20"/>
          <w:szCs w:val="20"/>
        </w:rPr>
        <w:t xml:space="preserve">Since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</m:d>
        <m:r>
          <w:rPr>
            <w:rFonts w:ascii="Cambria Math" w:hAnsi="Cambria Math" w:cs="Arial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1+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</m:den>
        </m:f>
        <m:r>
          <w:rPr>
            <w:rFonts w:ascii="Cambria Math" w:hAnsi="Cambria Math" w:cs="Arial"/>
            <w:sz w:val="20"/>
            <w:szCs w:val="20"/>
          </w:rPr>
          <m:t>&gt;0,</m:t>
        </m:r>
      </m:oMath>
      <w:r w:rsidRPr="00616E26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,1</m:t>
            </m:r>
          </m:e>
        </m:d>
      </m:oMath>
      <w:r w:rsidRPr="00616E26">
        <w:rPr>
          <w:rFonts w:ascii="Arial" w:hAnsi="Arial" w:cs="Arial"/>
          <w:sz w:val="20"/>
          <w:szCs w:val="20"/>
        </w:rPr>
        <w:t xml:space="preserve"> is the unique maximizer </w:t>
      </w:r>
      <w:proofErr w:type="gramStart"/>
      <w:r w:rsidRPr="00616E26">
        <w:rPr>
          <w:rFonts w:ascii="Arial" w:hAnsi="Arial" w:cs="Arial"/>
          <w:sz w:val="20"/>
          <w:szCs w:val="20"/>
        </w:rPr>
        <w:t>of</w:t>
      </w:r>
      <w:proofErr w:type="gramEnd"/>
      <m:oMath>
        <m:r>
          <w:rPr>
            <w:rFonts w:ascii="Cambria Math" w:hAnsi="Cambria Math" w:cs="Arial"/>
            <w:sz w:val="20"/>
            <w:szCs w:val="20"/>
          </w:rPr>
          <m:t xml:space="preserve"> A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ctrlPr>
              <w:rPr>
                <w:rFonts w:ascii="Cambria Math" w:hAnsi="Cambria Math" w:cs="Arial"/>
                <w:sz w:val="20"/>
                <w:szCs w:val="20"/>
              </w:rPr>
            </m:ctrlPr>
          </m:e>
        </m:d>
      </m:oMath>
      <w:r w:rsidRPr="00616E26">
        <w:rPr>
          <w:rFonts w:ascii="Arial" w:hAnsi="Arial" w:cs="Arial"/>
          <w:sz w:val="20"/>
          <w:szCs w:val="20"/>
        </w:rPr>
        <w:t xml:space="preserve">. Hence,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</m:e>
        </m:d>
      </m:oMath>
      <w:r w:rsidRPr="00616E26">
        <w:rPr>
          <w:rFonts w:ascii="Arial" w:hAnsi="Arial" w:cs="Arial"/>
          <w:sz w:val="20"/>
          <w:szCs w:val="20"/>
        </w:rPr>
        <w:t xml:space="preserve"> is the unique solution maximizing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Pr="00616E26">
        <w:rPr>
          <w:rFonts w:ascii="Arial" w:hAnsi="Arial" w:cs="Arial"/>
          <w:sz w:val="20"/>
          <w:szCs w:val="20"/>
        </w:rPr>
        <w:t xml:space="preserve">. </w:t>
      </w:r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r w:rsidRPr="00616E26">
        <w:rPr>
          <w:rFonts w:ascii="Arial" w:hAnsi="Arial" w:cs="Arial"/>
          <w:sz w:val="20"/>
          <w:szCs w:val="20"/>
        </w:rPr>
        <w:t xml:space="preserve">Lastly, we need to validate that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</m:oMath>
      <w:r w:rsidRPr="00616E2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16E26">
        <w:rPr>
          <w:rFonts w:ascii="Arial" w:hAnsi="Arial" w:cs="Arial"/>
          <w:sz w:val="20"/>
          <w:szCs w:val="20"/>
        </w:rPr>
        <w:t xml:space="preserve">implies </w:t>
      </w:r>
      <w:proofErr w:type="gramEnd"/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(β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sub>
        </m:sSub>
        <m:r>
          <w:rPr>
            <w:rFonts w:ascii="Cambria Math" w:hAnsi="Cambria Math" w:cs="Arial"/>
            <w:sz w:val="20"/>
            <w:szCs w:val="20"/>
          </w:rPr>
          <m:t>,γ)=(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)</m:t>
        </m:r>
      </m:oMath>
      <w:r w:rsidRPr="00616E26">
        <w:rPr>
          <w:rFonts w:ascii="Arial" w:hAnsi="Arial" w:cs="Arial"/>
          <w:sz w:val="20"/>
          <w:szCs w:val="20"/>
        </w:rPr>
        <w:t xml:space="preserve">. According to definitions, the design matrix,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(β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sub>
        </m:sSub>
        <m:r>
          <w:rPr>
            <w:rFonts w:ascii="Cambria Math" w:hAnsi="Cambria Math" w:cs="Arial"/>
            <w:sz w:val="20"/>
            <w:szCs w:val="20"/>
          </w:rPr>
          <m:t>,γ)</m:t>
        </m:r>
      </m:oMath>
      <w:r w:rsidRPr="00616E26">
        <w:rPr>
          <w:rFonts w:ascii="Arial" w:hAnsi="Arial" w:cs="Arial"/>
          <w:sz w:val="20"/>
          <w:szCs w:val="20"/>
        </w:rPr>
        <w:t xml:space="preserve"> and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</m:t>
        </m:r>
      </m:oMath>
      <w:r w:rsidRPr="00616E26">
        <w:rPr>
          <w:rFonts w:ascii="Arial" w:hAnsi="Arial" w:cs="Arial"/>
          <w:sz w:val="20"/>
          <w:szCs w:val="20"/>
        </w:rPr>
        <w:t xml:space="preserve">can be written as </w:t>
      </w:r>
    </w:p>
    <w:p w:rsidR="00333E35" w:rsidRPr="00616E26" w:rsidRDefault="008A1D9D" w:rsidP="00616E26">
      <w:pPr>
        <w:spacing w:line="360" w:lineRule="auto"/>
        <w:rPr>
          <w:rFonts w:ascii="Arial" w:hAnsi="Arial" w:cs="Arial"/>
          <w:sz w:val="20"/>
          <w:szCs w:val="20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m>
                <m:mPr>
                  <m:mcs>
                    <m:mc>
                      <m:mcPr>
                        <m:count m:val="6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1K</m:t>
                        </m:r>
                      </m:sub>
                    </m:sSub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11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1M</m:t>
                        </m:r>
                      </m:sub>
                    </m:sSub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Arial"/>
                        <w:sz w:val="20"/>
                        <w:szCs w:val="20"/>
                      </w:rPr>
                      <m:t>⋮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⋮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Arial"/>
                        <w:sz w:val="20"/>
                        <w:szCs w:val="20"/>
                      </w:rPr>
                      <m:t>⋮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Arial"/>
                        <w:sz w:val="20"/>
                        <w:szCs w:val="20"/>
                      </w:rPr>
                      <m:t>⋮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N1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NK</m:t>
                        </m:r>
                      </m:sub>
                    </m:sSub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N1</m:t>
                        </m:r>
                      </m:sub>
                    </m:sSub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Arial"/>
                        <w:sz w:val="20"/>
                        <w:szCs w:val="20"/>
                      </w:rPr>
                      <m:t>⋯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NM</m:t>
                        </m:r>
                      </m:sub>
                    </m:sSub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β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γ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 w:cs="Arial"/>
              <w:sz w:val="20"/>
              <w:szCs w:val="20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i1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⋮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iN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Arial"/>
              <w:sz w:val="20"/>
              <w:szCs w:val="20"/>
            </w:rPr>
            <m:t xml:space="preserve">          (10)</m:t>
          </m:r>
        </m:oMath>
      </m:oMathPara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616E26">
        <w:rPr>
          <w:rFonts w:ascii="Arial" w:hAnsi="Arial" w:cs="Arial"/>
          <w:sz w:val="20"/>
          <w:szCs w:val="20"/>
        </w:rPr>
        <w:t xml:space="preserve">When </w:t>
      </w:r>
      <w:proofErr w:type="gramEnd"/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</m:oMath>
      <w:r w:rsidRPr="00616E26">
        <w:rPr>
          <w:rFonts w:ascii="Arial" w:hAnsi="Arial" w:cs="Arial"/>
          <w:sz w:val="20"/>
          <w:szCs w:val="20"/>
        </w:rPr>
        <w:t>, equation (</w:t>
      </w:r>
      <w:r w:rsidR="00656B06">
        <w:rPr>
          <w:rFonts w:ascii="Arial" w:hAnsi="Arial" w:cs="Arial"/>
          <w:sz w:val="20"/>
          <w:szCs w:val="20"/>
        </w:rPr>
        <w:t>10</w:t>
      </w:r>
      <w:r w:rsidRPr="00616E26">
        <w:rPr>
          <w:rFonts w:ascii="Arial" w:hAnsi="Arial" w:cs="Arial"/>
          <w:sz w:val="20"/>
          <w:szCs w:val="20"/>
        </w:rPr>
        <w:t xml:space="preserve">) becomes </w:t>
      </w:r>
    </w:p>
    <w:p w:rsidR="00333E35" w:rsidRPr="00616E26" w:rsidRDefault="008A1D9D" w:rsidP="00616E26">
      <w:pPr>
        <w:spacing w:line="360" w:lineRule="auto"/>
        <w:rPr>
          <w:rFonts w:ascii="Arial" w:hAnsi="Arial" w:cs="Arial"/>
          <w:sz w:val="20"/>
          <w:szCs w:val="20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m>
                <m:mPr>
                  <m:mcs>
                    <m:mc>
                      <m:mcPr>
                        <m:count m:val="6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1K</m:t>
                        </m:r>
                      </m:sub>
                    </m:sSub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11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1M</m:t>
                        </m:r>
                      </m:sub>
                    </m:sSub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Arial"/>
                        <w:sz w:val="20"/>
                        <w:szCs w:val="20"/>
                      </w:rPr>
                      <m:t>⋮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⋮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Arial"/>
                        <w:sz w:val="20"/>
                        <w:szCs w:val="20"/>
                      </w:rPr>
                      <m:t>⋮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Arial"/>
                        <w:sz w:val="20"/>
                        <w:szCs w:val="20"/>
                      </w:rPr>
                      <m:t>⋮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N1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⋯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NK</m:t>
                        </m:r>
                      </m:sub>
                    </m:sSub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N1</m:t>
                        </m:r>
                      </m:sub>
                    </m:sSub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Arial"/>
                        <w:sz w:val="20"/>
                        <w:szCs w:val="20"/>
                      </w:rPr>
                      <m:t>⋯</m:t>
                    </m:r>
                    <m:ctrlPr>
                      <w:rPr>
                        <w:rFonts w:ascii="Cambria Math" w:eastAsia="Cambria Math" w:hAnsi="Cambria Math" w:cs="Arial"/>
                        <w:i/>
                        <w:sz w:val="20"/>
                        <w:szCs w:val="20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Arial"/>
                            <w:sz w:val="20"/>
                            <w:szCs w:val="20"/>
                          </w:rPr>
                          <m:t>NM</m:t>
                        </m:r>
                      </m:sub>
                    </m:sSub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β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i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γ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 w:cs="Arial"/>
              <w:sz w:val="20"/>
              <w:szCs w:val="20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i1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0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⋮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iN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0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Arial"/>
              <w:sz w:val="20"/>
              <w:szCs w:val="20"/>
            </w:rPr>
            <m:t xml:space="preserve">          (11)</m:t>
          </m:r>
        </m:oMath>
      </m:oMathPara>
    </w:p>
    <w:p w:rsidR="00333E35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616E26">
        <w:rPr>
          <w:rFonts w:ascii="Arial" w:hAnsi="Arial" w:cs="Arial"/>
          <w:sz w:val="20"/>
          <w:szCs w:val="20"/>
        </w:rPr>
        <w:t>and</w:t>
      </w:r>
      <w:proofErr w:type="gramEnd"/>
      <w:r w:rsidRPr="00616E26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(β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)</m:t>
        </m:r>
      </m:oMath>
      <w:r w:rsidRPr="00616E26">
        <w:rPr>
          <w:rFonts w:ascii="Arial" w:hAnsi="Arial" w:cs="Arial"/>
          <w:sz w:val="20"/>
          <w:szCs w:val="20"/>
        </w:rPr>
        <w:t xml:space="preserve"> is a solution to equation (</w:t>
      </w:r>
      <w:r w:rsidR="00656B06">
        <w:rPr>
          <w:rFonts w:ascii="Arial" w:hAnsi="Arial" w:cs="Arial"/>
          <w:sz w:val="20"/>
          <w:szCs w:val="20"/>
        </w:rPr>
        <w:t>11</w:t>
      </w:r>
      <w:r w:rsidRPr="00616E26">
        <w:rPr>
          <w:rFonts w:ascii="Arial" w:hAnsi="Arial" w:cs="Arial"/>
          <w:sz w:val="20"/>
          <w:szCs w:val="20"/>
        </w:rPr>
        <w:t>). Since the design matrix is of full r</w:t>
      </w:r>
      <w:r w:rsidR="00E4499F">
        <w:rPr>
          <w:rFonts w:ascii="Arial" w:hAnsi="Arial" w:cs="Arial"/>
          <w:sz w:val="20"/>
          <w:szCs w:val="20"/>
        </w:rPr>
        <w:t>ank, the solution to equation (11</w:t>
      </w:r>
      <w:r w:rsidRPr="00616E26">
        <w:rPr>
          <w:rFonts w:ascii="Arial" w:hAnsi="Arial" w:cs="Arial"/>
          <w:sz w:val="20"/>
          <w:szCs w:val="20"/>
        </w:rPr>
        <w:t xml:space="preserve">) is unique. Therefore,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</m:oMath>
      <w:r w:rsidRPr="00616E2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16E26">
        <w:rPr>
          <w:rFonts w:ascii="Arial" w:hAnsi="Arial" w:cs="Arial"/>
          <w:sz w:val="20"/>
          <w:szCs w:val="20"/>
        </w:rPr>
        <w:t xml:space="preserve">implies </w:t>
      </w:r>
      <w:proofErr w:type="gramEnd"/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(β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sub>
        </m:sSub>
        <m:r>
          <w:rPr>
            <w:rFonts w:ascii="Cambria Math" w:hAnsi="Cambria Math" w:cs="Arial"/>
            <w:sz w:val="20"/>
            <w:szCs w:val="20"/>
          </w:rPr>
          <m:t>,γ)=(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)</m:t>
        </m:r>
      </m:oMath>
      <w:r w:rsidRPr="00616E26">
        <w:rPr>
          <w:rFonts w:ascii="Arial" w:hAnsi="Arial" w:cs="Arial"/>
          <w:sz w:val="20"/>
          <w:szCs w:val="20"/>
        </w:rPr>
        <w:t xml:space="preserve">, and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,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)</m:t>
        </m:r>
      </m:oMath>
      <w:r w:rsidRPr="00616E26">
        <w:rPr>
          <w:rFonts w:ascii="Arial" w:hAnsi="Arial" w:cs="Arial"/>
          <w:sz w:val="20"/>
          <w:szCs w:val="20"/>
        </w:rPr>
        <w:t xml:space="preserve"> is the unique maximizer of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Pr="00616E26">
        <w:rPr>
          <w:rFonts w:ascii="Arial" w:hAnsi="Arial" w:cs="Arial"/>
          <w:sz w:val="20"/>
          <w:szCs w:val="20"/>
        </w:rPr>
        <w:t xml:space="preserve">. The estimator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acc>
          <m:acc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β</m:t>
                    </m:r>
                  </m:e>
                </m:acc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</m:t>
            </m:r>
            <m:acc>
              <m:acc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γ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>)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ZI-QML</m:t>
            </m:r>
          </m:sub>
        </m:sSub>
      </m:oMath>
      <w:r w:rsidRPr="00616E26">
        <w:rPr>
          <w:rFonts w:ascii="Arial" w:hAnsi="Arial" w:cs="Arial"/>
          <w:sz w:val="20"/>
          <w:szCs w:val="20"/>
        </w:rPr>
        <w:t xml:space="preserve"> derived from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</m:oMath>
      <w:r w:rsidRPr="00616E26">
        <w:rPr>
          <w:rFonts w:ascii="Arial" w:hAnsi="Arial" w:cs="Arial"/>
          <w:sz w:val="20"/>
          <w:szCs w:val="20"/>
        </w:rPr>
        <w:t xml:space="preserve"> is asymptotically consistent. </w:t>
      </w:r>
    </w:p>
    <w:p w:rsidR="00646117" w:rsidRPr="00616E26" w:rsidRDefault="00646117" w:rsidP="00616E26">
      <w:pPr>
        <w:spacing w:line="360" w:lineRule="auto"/>
        <w:rPr>
          <w:rFonts w:ascii="Arial" w:hAnsi="Arial" w:cs="Arial"/>
          <w:sz w:val="20"/>
          <w:szCs w:val="20"/>
        </w:rPr>
      </w:pPr>
    </w:p>
    <w:p w:rsidR="00333E35" w:rsidRPr="00646117" w:rsidRDefault="00333E35" w:rsidP="0064611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0"/>
          <w:szCs w:val="20"/>
        </w:rPr>
      </w:pPr>
      <w:r w:rsidRPr="00646117">
        <w:rPr>
          <w:rFonts w:ascii="Arial" w:hAnsi="Arial" w:cs="Arial"/>
          <w:sz w:val="20"/>
          <w:szCs w:val="20"/>
        </w:rPr>
        <w:lastRenderedPageBreak/>
        <w:t>Logarithmic link function</w:t>
      </w:r>
      <w:proofErr w:type="gramStart"/>
      <w:r w:rsidRPr="00646117">
        <w:rPr>
          <w:rFonts w:ascii="Arial" w:hAnsi="Arial" w:cs="Arial"/>
          <w:sz w:val="20"/>
          <w:szCs w:val="20"/>
        </w:rPr>
        <w:t>: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log⁡</m:t>
        </m:r>
        <m:r>
          <w:rPr>
            <w:rFonts w:ascii="Cambria Math" w:hAnsi="Cambria Math" w:cs="Arial"/>
            <w:sz w:val="20"/>
            <w:szCs w:val="20"/>
          </w:rPr>
          <m:t>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  <m:r>
          <w:rPr>
            <w:rFonts w:ascii="Cambria Math" w:hAnsi="Cambria Math" w:cs="Arial"/>
            <w:sz w:val="20"/>
            <w:szCs w:val="20"/>
          </w:rPr>
          <m:t>)=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20"/>
              </w:rPr>
              <m:t>k=1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sup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ik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w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jk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m=1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m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jm</m:t>
                    </m:r>
                  </m:sub>
                </m:sSub>
              </m:e>
            </m:nary>
          </m:e>
        </m:nary>
      </m:oMath>
      <w:r w:rsidRPr="00646117">
        <w:rPr>
          <w:rFonts w:ascii="Arial" w:hAnsi="Arial" w:cs="Arial"/>
          <w:sz w:val="20"/>
          <w:szCs w:val="20"/>
        </w:rPr>
        <w:t>.</w:t>
      </w:r>
      <w:proofErr w:type="gramEnd"/>
      <w:r w:rsidRPr="00646117">
        <w:rPr>
          <w:rFonts w:ascii="Arial" w:hAnsi="Arial" w:cs="Arial"/>
          <w:sz w:val="20"/>
          <w:szCs w:val="20"/>
        </w:rPr>
        <w:t xml:space="preserve"> </w:t>
      </w:r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  <w:r w:rsidRPr="00616E26">
        <w:rPr>
          <w:rFonts w:ascii="Arial" w:hAnsi="Arial" w:cs="Arial"/>
          <w:sz w:val="20"/>
          <w:szCs w:val="20"/>
        </w:rPr>
        <w:t xml:space="preserve">The true expectation of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</m:sub>
        </m:sSub>
      </m:oMath>
      <w:r w:rsidRPr="00616E26">
        <w:rPr>
          <w:rFonts w:ascii="Arial" w:hAnsi="Arial" w:cs="Arial"/>
          <w:sz w:val="20"/>
          <w:szCs w:val="20"/>
        </w:rPr>
        <w:t xml:space="preserve"> is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λ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ij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k=1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K</m:t>
                </m:r>
              </m:sup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ik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jk</m:t>
                    </m:r>
                  </m:sub>
                </m:sSub>
              </m:e>
            </m:nary>
            <m:r>
              <w:rPr>
                <w:rFonts w:ascii="Cambria Math" w:hAnsi="Cambria Math" w:cs="Arial"/>
                <w:sz w:val="20"/>
                <w:szCs w:val="20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m=1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m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jm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0</m:t>
                    </m:r>
                  </m:sub>
                </m:sSub>
              </m:e>
            </m:nary>
          </m:sup>
        </m:sSup>
      </m:oMath>
      <w:r w:rsidRPr="00616E26">
        <w:rPr>
          <w:rFonts w:ascii="Arial" w:hAnsi="Arial" w:cs="Arial"/>
          <w:sz w:val="20"/>
          <w:szCs w:val="20"/>
        </w:rPr>
        <w:t xml:space="preserve">. Similarly, we can derive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Pr="00616E26">
        <w:rPr>
          <w:rFonts w:ascii="Arial" w:hAnsi="Arial" w:cs="Arial"/>
          <w:sz w:val="20"/>
          <w:szCs w:val="20"/>
        </w:rPr>
        <w:t xml:space="preserve"> as equation (</w:t>
      </w:r>
      <w:r w:rsidR="00656B06">
        <w:rPr>
          <w:rFonts w:ascii="Arial" w:hAnsi="Arial" w:cs="Arial"/>
          <w:sz w:val="20"/>
          <w:szCs w:val="20"/>
        </w:rPr>
        <w:t>7</w:t>
      </w:r>
      <w:r w:rsidRPr="00616E26">
        <w:rPr>
          <w:rFonts w:ascii="Arial" w:hAnsi="Arial" w:cs="Arial"/>
          <w:sz w:val="20"/>
          <w:szCs w:val="20"/>
        </w:rPr>
        <w:t xml:space="preserve">) and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</m:sub>
            </m:sSub>
          </m:e>
        </m:d>
      </m:oMath>
      <w:r w:rsidRPr="00616E26">
        <w:rPr>
          <w:rFonts w:ascii="Arial" w:hAnsi="Arial" w:cs="Arial"/>
          <w:sz w:val="20"/>
          <w:szCs w:val="20"/>
        </w:rPr>
        <w:t xml:space="preserve"> converges almost surely to</w:t>
      </w:r>
      <m:oMath>
        <m:r>
          <w:rPr>
            <w:rFonts w:ascii="Cambria Math" w:hAnsi="Cambria Math" w:cs="Arial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</m:sub>
            </m:sSub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Pr="00616E26">
        <w:rPr>
          <w:rFonts w:ascii="Arial" w:hAnsi="Arial" w:cs="Arial"/>
          <w:sz w:val="20"/>
          <w:szCs w:val="20"/>
        </w:rPr>
        <w:t xml:space="preserve">, which is uniquely maximized </w:t>
      </w:r>
      <w:proofErr w:type="gramStart"/>
      <w:r w:rsidRPr="00616E26">
        <w:rPr>
          <w:rFonts w:ascii="Arial" w:hAnsi="Arial" w:cs="Arial"/>
          <w:sz w:val="20"/>
          <w:szCs w:val="20"/>
        </w:rPr>
        <w:t xml:space="preserve">at </w:t>
      </w:r>
      <w:proofErr w:type="gramEnd"/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ij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sub>
            </m:sSub>
          </m:e>
        </m:d>
      </m:oMath>
      <w:r w:rsidRPr="00616E26">
        <w:rPr>
          <w:rFonts w:ascii="Arial" w:hAnsi="Arial" w:cs="Arial"/>
          <w:sz w:val="20"/>
          <w:szCs w:val="20"/>
        </w:rPr>
        <w:t xml:space="preserve">. Similar to the above proof,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E[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j</m:t>
                </m:r>
              </m:sub>
            </m:sSub>
          </m:e>
          <m:sup>
            <m:r>
              <w:rPr>
                <w:rFonts w:ascii="Cambria Math" w:hAnsi="Cambria Math" w:cs="Arial"/>
                <w:sz w:val="20"/>
                <w:szCs w:val="20"/>
              </w:rPr>
              <m:t>*</m:t>
            </m:r>
          </m:sup>
        </m:sSup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π,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'</m:t>
                    </m:r>
                  </m:sup>
                </m:sSup>
              </m:sub>
            </m:sSub>
            <m:r>
              <w:rPr>
                <w:rFonts w:ascii="Cambria Math" w:hAnsi="Cambria Math" w:cs="Arial"/>
                <w:sz w:val="20"/>
                <w:szCs w:val="20"/>
              </w:rPr>
              <m:t>,γ</m:t>
            </m:r>
          </m:e>
        </m:d>
        <m:r>
          <w:rPr>
            <w:rFonts w:ascii="Cambria Math" w:hAnsi="Cambria Math" w:cs="Arial"/>
            <w:sz w:val="20"/>
            <w:szCs w:val="20"/>
          </w:rPr>
          <m:t>]</m:t>
        </m:r>
      </m:oMath>
      <w:r w:rsidRPr="00616E2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16E26">
        <w:rPr>
          <w:rFonts w:ascii="Arial" w:hAnsi="Arial" w:cs="Arial"/>
          <w:sz w:val="20"/>
          <w:szCs w:val="20"/>
        </w:rPr>
        <w:t>is uniquely maximized</w:t>
      </w:r>
      <w:proofErr w:type="gramEnd"/>
      <w:r w:rsidRPr="00616E26">
        <w:rPr>
          <w:rFonts w:ascii="Arial" w:hAnsi="Arial" w:cs="Arial"/>
          <w:sz w:val="20"/>
          <w:szCs w:val="20"/>
        </w:rPr>
        <w:t xml:space="preserve"> at</w:t>
      </w:r>
      <m:oMath>
        <m:r>
          <w:rPr>
            <w:rFonts w:ascii="Cambria Math" w:hAnsi="Cambria Math" w:cs="Arial"/>
            <w:sz w:val="20"/>
            <w:szCs w:val="20"/>
          </w:rPr>
          <m:t xml:space="preserve"> 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,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>)</m:t>
        </m:r>
      </m:oMath>
      <w:r w:rsidRPr="00616E26">
        <w:rPr>
          <w:rFonts w:ascii="Arial" w:hAnsi="Arial" w:cs="Arial"/>
          <w:sz w:val="20"/>
          <w:szCs w:val="20"/>
        </w:rPr>
        <w:t>. Hence, consistency still holds for log link function.</w:t>
      </w:r>
    </w:p>
    <w:p w:rsidR="00333E35" w:rsidRPr="00616E26" w:rsidRDefault="00333E35" w:rsidP="00616E26">
      <w:pPr>
        <w:spacing w:line="360" w:lineRule="auto"/>
        <w:rPr>
          <w:rFonts w:ascii="Arial" w:hAnsi="Arial" w:cs="Arial"/>
          <w:sz w:val="20"/>
          <w:szCs w:val="20"/>
        </w:rPr>
      </w:pPr>
    </w:p>
    <w:p w:rsidR="006E0BDD" w:rsidRDefault="006E0BDD" w:rsidP="00616E26">
      <w:pPr>
        <w:spacing w:line="360" w:lineRule="auto"/>
        <w:rPr>
          <w:rFonts w:ascii="Arial" w:hAnsi="Arial" w:cs="Arial"/>
          <w:sz w:val="20"/>
          <w:szCs w:val="20"/>
        </w:rPr>
      </w:pPr>
    </w:p>
    <w:p w:rsidR="006E0BDD" w:rsidRPr="00646117" w:rsidRDefault="00646117" w:rsidP="00616E26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646117">
        <w:rPr>
          <w:rFonts w:ascii="Arial" w:hAnsi="Arial" w:cs="Arial"/>
          <w:b/>
          <w:sz w:val="20"/>
          <w:szCs w:val="20"/>
        </w:rPr>
        <w:t>Reference</w:t>
      </w:r>
    </w:p>
    <w:p w:rsidR="006E0BDD" w:rsidRPr="006E0BDD" w:rsidRDefault="006E0BDD" w:rsidP="006E0BDD">
      <w:pPr>
        <w:pStyle w:val="EndNoteBibliography"/>
        <w:spacing w:after="0"/>
        <w:ind w:left="720" w:hanging="720"/>
      </w:pP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ADDIN EN.REFLIST </w:instrText>
      </w:r>
      <w:r>
        <w:rPr>
          <w:rFonts w:ascii="Arial" w:hAnsi="Arial" w:cs="Arial"/>
          <w:sz w:val="20"/>
          <w:szCs w:val="20"/>
        </w:rPr>
        <w:fldChar w:fldCharType="separate"/>
      </w:r>
      <w:r w:rsidRPr="006E0BDD">
        <w:t>1.</w:t>
      </w:r>
      <w:r w:rsidRPr="006E0BDD">
        <w:tab/>
        <w:t xml:space="preserve">Amemiya, T. and H.U. Press, </w:t>
      </w:r>
      <w:r w:rsidRPr="006E0BDD">
        <w:rPr>
          <w:i/>
        </w:rPr>
        <w:t>Advanced Econometrics</w:t>
      </w:r>
      <w:r w:rsidRPr="006E0BDD">
        <w:t>. 1985: Harvard University Press.</w:t>
      </w:r>
    </w:p>
    <w:p w:rsidR="006E0BDD" w:rsidRPr="006E0BDD" w:rsidRDefault="006E0BDD" w:rsidP="006E0BDD">
      <w:pPr>
        <w:pStyle w:val="EndNoteBibliography"/>
        <w:ind w:left="720" w:hanging="720"/>
      </w:pPr>
      <w:r w:rsidRPr="006E0BDD">
        <w:t>2.</w:t>
      </w:r>
      <w:r w:rsidRPr="006E0BDD">
        <w:tab/>
        <w:t xml:space="preserve">Gourieroux, C., A. Monfort, and A. Trognon, </w:t>
      </w:r>
      <w:r w:rsidRPr="006E0BDD">
        <w:rPr>
          <w:i/>
        </w:rPr>
        <w:t>Pseudo Maximum Likelihood Methods: Theory.</w:t>
      </w:r>
      <w:r w:rsidRPr="006E0BDD">
        <w:t xml:space="preserve"> Econometrica, 1984. </w:t>
      </w:r>
      <w:r w:rsidRPr="006E0BDD">
        <w:rPr>
          <w:b/>
        </w:rPr>
        <w:t>52</w:t>
      </w:r>
      <w:r w:rsidRPr="006E0BDD">
        <w:t>(3): p. 681-700.</w:t>
      </w:r>
    </w:p>
    <w:p w:rsidR="00823A98" w:rsidRPr="00616E26" w:rsidRDefault="006E0BDD" w:rsidP="00616E26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</w:p>
    <w:sectPr w:rsidR="00823A98" w:rsidRPr="00616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MS PMincho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MS PMincho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D5E54"/>
    <w:multiLevelType w:val="hybridMultilevel"/>
    <w:tmpl w:val="F54C1262"/>
    <w:lvl w:ilvl="0" w:tplc="94E6D2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9A58F1"/>
    <w:multiLevelType w:val="hybridMultilevel"/>
    <w:tmpl w:val="33C8CA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E21E52"/>
    <w:multiLevelType w:val="hybridMultilevel"/>
    <w:tmpl w:val="E08ABFEC"/>
    <w:lvl w:ilvl="0" w:tplc="BF3E29AA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667F38"/>
    <w:multiLevelType w:val="hybridMultilevel"/>
    <w:tmpl w:val="D9AE626E"/>
    <w:lvl w:ilvl="0" w:tplc="9BC2FAFA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C067531"/>
    <w:multiLevelType w:val="hybridMultilevel"/>
    <w:tmpl w:val="B600D60C"/>
    <w:lvl w:ilvl="0" w:tplc="21E6DFA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5B2829"/>
    <w:multiLevelType w:val="hybridMultilevel"/>
    <w:tmpl w:val="627248C2"/>
    <w:lvl w:ilvl="0" w:tplc="E816599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0arpev7vrx5me5faxvxpv0vta2vxtee5x9&quot;&gt;library&lt;record-ids&gt;&lt;item&gt;10&lt;/item&gt;&lt;item&gt;11&lt;/item&gt;&lt;/record-ids&gt;&lt;/item&gt;&lt;/Libraries&gt;"/>
  </w:docVars>
  <w:rsids>
    <w:rsidRoot w:val="00333E35"/>
    <w:rsid w:val="00061BEC"/>
    <w:rsid w:val="000F71B6"/>
    <w:rsid w:val="00333E35"/>
    <w:rsid w:val="00550C09"/>
    <w:rsid w:val="0058144B"/>
    <w:rsid w:val="005A0322"/>
    <w:rsid w:val="00616E26"/>
    <w:rsid w:val="00646117"/>
    <w:rsid w:val="00656B06"/>
    <w:rsid w:val="006E0BDD"/>
    <w:rsid w:val="00823A98"/>
    <w:rsid w:val="008A1D9D"/>
    <w:rsid w:val="00BD45B2"/>
    <w:rsid w:val="00C96D01"/>
    <w:rsid w:val="00E4499F"/>
    <w:rsid w:val="00F5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374F9"/>
  <w15:chartTrackingRefBased/>
  <w15:docId w15:val="{256FDF39-ECC6-4D62-AE08-F0D0D8E0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E35"/>
  </w:style>
  <w:style w:type="paragraph" w:styleId="Heading4">
    <w:name w:val="heading 4"/>
    <w:basedOn w:val="Normal"/>
    <w:link w:val="Heading4Char"/>
    <w:uiPriority w:val="9"/>
    <w:qFormat/>
    <w:rsid w:val="00333E3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33E3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333E3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33E3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33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E35"/>
  </w:style>
  <w:style w:type="paragraph" w:styleId="Footer">
    <w:name w:val="footer"/>
    <w:basedOn w:val="Normal"/>
    <w:link w:val="FooterChar"/>
    <w:uiPriority w:val="99"/>
    <w:unhideWhenUsed/>
    <w:rsid w:val="00333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E35"/>
  </w:style>
  <w:style w:type="paragraph" w:customStyle="1" w:styleId="EndNoteBibliographyTitle">
    <w:name w:val="EndNote Bibliography Title"/>
    <w:basedOn w:val="Normal"/>
    <w:link w:val="EndNoteBibliographyTitleChar"/>
    <w:rsid w:val="00333E3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3E3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33E3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33E35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E35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33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3E35"/>
    <w:rPr>
      <w:rFonts w:ascii="Courier New" w:eastAsia="Times New Roman" w:hAnsi="Courier New" w:cs="Courier New"/>
      <w:sz w:val="20"/>
      <w:szCs w:val="20"/>
    </w:rPr>
  </w:style>
  <w:style w:type="character" w:customStyle="1" w:styleId="gnkrckgcgsb">
    <w:name w:val="gnkrckgcgsb"/>
    <w:basedOn w:val="DefaultParagraphFont"/>
    <w:rsid w:val="00333E35"/>
  </w:style>
  <w:style w:type="character" w:styleId="Hyperlink">
    <w:name w:val="Hyperlink"/>
    <w:basedOn w:val="DefaultParagraphFont"/>
    <w:uiPriority w:val="99"/>
    <w:unhideWhenUsed/>
    <w:rsid w:val="00333E35"/>
    <w:rPr>
      <w:color w:val="0563C1" w:themeColor="hyperlink"/>
      <w:u w:val="single"/>
    </w:rPr>
  </w:style>
  <w:style w:type="paragraph" w:customStyle="1" w:styleId="AbstractText">
    <w:name w:val="Abstract Text"/>
    <w:rsid w:val="00333E35"/>
    <w:pPr>
      <w:spacing w:after="0" w:line="220" w:lineRule="exact"/>
      <w:jc w:val="both"/>
    </w:pPr>
    <w:rPr>
      <w:rFonts w:ascii="Helvetica" w:eastAsia="SimSun" w:hAnsi="Helvetica" w:cs="Times New Roman"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995</Words>
  <Characters>5775</Characters>
  <Application>Microsoft Office Word</Application>
  <DocSecurity>0</DocSecurity>
  <Lines>137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 Li</dc:creator>
  <cp:keywords/>
  <dc:description/>
  <cp:lastModifiedBy>Qian Li</cp:lastModifiedBy>
  <cp:revision>9</cp:revision>
  <dcterms:created xsi:type="dcterms:W3CDTF">2018-09-09T04:24:00Z</dcterms:created>
  <dcterms:modified xsi:type="dcterms:W3CDTF">2018-12-03T20:47:00Z</dcterms:modified>
</cp:coreProperties>
</file>