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spacing w:before="480" w:lineRule="auto"/>
        <w:rPr>
          <w:sz w:val="24"/>
          <w:szCs w:val="24"/>
        </w:rPr>
      </w:pPr>
      <w:r w:rsidDel="00000000" w:rsidR="00000000" w:rsidRPr="00000000">
        <w:rPr>
          <w:b w:val="1"/>
          <w:sz w:val="24"/>
          <w:szCs w:val="24"/>
          <w:rtl w:val="0"/>
        </w:rPr>
        <w:t xml:space="preserve">Additional File 1. Supplementary text for </w:t>
      </w:r>
      <w:r w:rsidDel="00000000" w:rsidR="00000000" w:rsidRPr="00000000">
        <w:rPr>
          <w:b w:val="1"/>
          <w:i w:val="1"/>
          <w:sz w:val="24"/>
          <w:szCs w:val="24"/>
          <w:rtl w:val="0"/>
        </w:rPr>
        <w:t xml:space="preserve">L.</w:t>
      </w:r>
      <w:r w:rsidDel="00000000" w:rsidR="00000000" w:rsidRPr="00000000">
        <w:rPr>
          <w:b w:val="1"/>
          <w:sz w:val="24"/>
          <w:szCs w:val="24"/>
          <w:rtl w:val="0"/>
        </w:rPr>
        <w:t xml:space="preserve"> </w:t>
      </w:r>
      <w:r w:rsidDel="00000000" w:rsidR="00000000" w:rsidRPr="00000000">
        <w:rPr>
          <w:b w:val="1"/>
          <w:i w:val="1"/>
          <w:sz w:val="24"/>
          <w:szCs w:val="24"/>
          <w:rtl w:val="0"/>
        </w:rPr>
        <w:t xml:space="preserve">monocytogenes</w:t>
      </w:r>
      <w:r w:rsidDel="00000000" w:rsidR="00000000" w:rsidRPr="00000000">
        <w:rPr>
          <w:b w:val="1"/>
          <w:sz w:val="24"/>
          <w:szCs w:val="24"/>
          <w:rtl w:val="0"/>
        </w:rPr>
        <w:t xml:space="preserve"> selection process</w:t>
      </w:r>
      <w:r w:rsidDel="00000000" w:rsidR="00000000" w:rsidRPr="00000000">
        <w:rPr>
          <w:rtl w:val="0"/>
        </w:rPr>
      </w:r>
    </w:p>
    <w:p w:rsidR="00000000" w:rsidDel="00000000" w:rsidP="00000000" w:rsidRDefault="00000000" w:rsidRPr="00000000" w14:paraId="00000002">
      <w:pPr>
        <w:keepNext w:val="0"/>
        <w:keepLines w:val="0"/>
        <w:spacing w:before="480" w:lineRule="auto"/>
        <w:rPr>
          <w:b w:val="1"/>
          <w:sz w:val="24"/>
          <w:szCs w:val="24"/>
        </w:rPr>
      </w:pPr>
      <w:r w:rsidDel="00000000" w:rsidR="00000000" w:rsidRPr="00000000">
        <w:rPr>
          <w:b w:val="1"/>
          <w:sz w:val="24"/>
          <w:szCs w:val="24"/>
          <w:rtl w:val="0"/>
        </w:rPr>
        <w:t xml:space="preserve">Additional File 1-1 Supplemental Materials and Methods </w:t>
        <w:tab/>
      </w:r>
    </w:p>
    <w:p w:rsidR="00000000" w:rsidDel="00000000" w:rsidP="00000000" w:rsidRDefault="00000000" w:rsidRPr="00000000" w14:paraId="00000003">
      <w:pPr>
        <w:spacing w:before="240" w:line="240" w:lineRule="auto"/>
        <w:rPr>
          <w:sz w:val="24"/>
          <w:szCs w:val="24"/>
        </w:rPr>
      </w:pPr>
      <w:r w:rsidDel="00000000" w:rsidR="00000000" w:rsidRPr="00000000">
        <w:rPr>
          <w:sz w:val="24"/>
          <w:szCs w:val="24"/>
          <w:rtl w:val="0"/>
        </w:rPr>
        <w:t xml:space="preserve">Ten strains of </w:t>
      </w:r>
      <w:r w:rsidDel="00000000" w:rsidR="00000000" w:rsidRPr="00000000">
        <w:rPr>
          <w:i w:val="1"/>
          <w:sz w:val="24"/>
          <w:szCs w:val="24"/>
          <w:rtl w:val="0"/>
        </w:rPr>
        <w:t xml:space="preserve">Listeria monocytogenes</w:t>
      </w:r>
      <w:r w:rsidDel="00000000" w:rsidR="00000000" w:rsidRPr="00000000">
        <w:rPr>
          <w:sz w:val="24"/>
          <w:szCs w:val="24"/>
          <w:rtl w:val="0"/>
        </w:rPr>
        <w:t xml:space="preserve"> from UGAL Collection were reactivated to participate to barotolerance tests having in view to find a strain resistant to high pressures used in High Pressure Processing (HPP). These ten strains were chosen to represent isolates from food, isolates from meat processing environments and different serotypes (Table S1). Reactivation of the cells took place by streaking stock cultures on Brain Heart Infusion with Agar (BHIA) and incubation of the culture medium at 37°C for 48 h. Two colonies of each strain have been transferred on liquid culture medium and cultivated at 37°C for 12 h, to obtain suspensions with the density of 10</w:t>
      </w:r>
      <w:r w:rsidDel="00000000" w:rsidR="00000000" w:rsidRPr="00000000">
        <w:rPr>
          <w:sz w:val="24"/>
          <w:szCs w:val="24"/>
          <w:vertAlign w:val="superscript"/>
          <w:rtl w:val="0"/>
        </w:rPr>
        <w:t xml:space="preserve">8 </w:t>
      </w:r>
      <w:r w:rsidDel="00000000" w:rsidR="00000000" w:rsidRPr="00000000">
        <w:rPr>
          <w:sz w:val="24"/>
          <w:szCs w:val="24"/>
          <w:rtl w:val="0"/>
        </w:rPr>
        <w:t xml:space="preserve">cells/mL. Suspended cells were submitted to a treatment at 400 MPa for 1 min. The treatment was performed in a HPP machine (RESATO; machine characteristics: maximum working pressure 10000 bar, 4 working vessels of 100 cc each, temperature range -20 ÷ 120°C). After treatment, cells were inoculated on BHIA and incubated for 24 h at 37°C to determine the cell number reduction. </w:t>
      </w:r>
    </w:p>
    <w:p w:rsidR="00000000" w:rsidDel="00000000" w:rsidP="00000000" w:rsidRDefault="00000000" w:rsidRPr="00000000" w14:paraId="00000004">
      <w:pPr>
        <w:spacing w:before="240" w:line="240" w:lineRule="auto"/>
        <w:rPr>
          <w:sz w:val="24"/>
          <w:szCs w:val="24"/>
        </w:rPr>
      </w:pPr>
      <w:r w:rsidDel="00000000" w:rsidR="00000000" w:rsidRPr="00000000">
        <w:rPr>
          <w:rtl w:val="0"/>
        </w:rPr>
      </w:r>
    </w:p>
    <w:tbl>
      <w:tblPr>
        <w:tblStyle w:val="Table1"/>
        <w:tblW w:w="9135.0" w:type="dxa"/>
        <w:jc w:val="left"/>
        <w:tblInd w:w="40.0" w:type="pct"/>
        <w:tblBorders>
          <w:top w:color="000000" w:space="0" w:sz="6" w:val="single"/>
          <w:left w:color="000000" w:space="0" w:sz="6" w:val="single"/>
          <w:bottom w:color="000000" w:space="0" w:sz="6" w:val="single"/>
          <w:right w:color="000000" w:space="0" w:sz="6" w:val="single"/>
          <w:insideH w:color="000000" w:space="0" w:sz="6" w:val="single"/>
          <w:insideV w:color="000000" w:space="0" w:sz="6" w:val="single"/>
        </w:tblBorders>
        <w:tblLayout w:type="fixed"/>
        <w:tblLook w:val="0600"/>
      </w:tblPr>
      <w:tblGrid>
        <w:gridCol w:w="2160"/>
        <w:gridCol w:w="5130"/>
        <w:gridCol w:w="1845"/>
        <w:tblGridChange w:id="0">
          <w:tblGrid>
            <w:gridCol w:w="2160"/>
            <w:gridCol w:w="5130"/>
            <w:gridCol w:w="1845"/>
          </w:tblGrid>
        </w:tblGridChange>
      </w:tblGrid>
      <w:tr>
        <w:trPr>
          <w:trHeight w:val="920" w:hRule="atLeast"/>
        </w:trPr>
        <w:tc>
          <w:tcPr>
            <w:tcBorders>
              <w:top w:color="000000" w:space="0" w:sz="6" w:val="single"/>
              <w:bottom w:color="000000" w:space="0" w:sz="6" w:val="single"/>
            </w:tcBorders>
            <w:tcMar>
              <w:top w:w="40.0" w:type="dxa"/>
              <w:left w:w="40.0" w:type="dxa"/>
              <w:bottom w:w="40.0" w:type="dxa"/>
              <w:right w:w="40.0" w:type="dxa"/>
            </w:tcMar>
            <w:vAlign w:val="top"/>
          </w:tcPr>
          <w:p w:rsidR="00000000" w:rsidDel="00000000" w:rsidP="00000000" w:rsidRDefault="00000000" w:rsidRPr="00000000" w14:paraId="00000005">
            <w:pPr>
              <w:widowControl w:val="0"/>
              <w:rPr>
                <w:sz w:val="24"/>
                <w:szCs w:val="24"/>
              </w:rPr>
            </w:pPr>
            <w:r w:rsidDel="00000000" w:rsidR="00000000" w:rsidRPr="00000000">
              <w:rPr>
                <w:sz w:val="24"/>
                <w:szCs w:val="24"/>
                <w:rtl w:val="0"/>
              </w:rPr>
              <w:t xml:space="preserve">Strain</w:t>
            </w:r>
          </w:p>
          <w:p w:rsidR="00000000" w:rsidDel="00000000" w:rsidP="00000000" w:rsidRDefault="00000000" w:rsidRPr="00000000" w14:paraId="00000006">
            <w:pPr>
              <w:widowControl w:val="0"/>
              <w:rPr>
                <w:i w:val="1"/>
                <w:sz w:val="24"/>
                <w:szCs w:val="24"/>
              </w:rPr>
            </w:pPr>
            <w:r w:rsidDel="00000000" w:rsidR="00000000" w:rsidRPr="00000000">
              <w:rPr>
                <w:i w:val="1"/>
                <w:sz w:val="24"/>
                <w:szCs w:val="24"/>
                <w:rtl w:val="0"/>
              </w:rPr>
              <w:t xml:space="preserve">L.</w:t>
            </w:r>
            <w:r w:rsidDel="00000000" w:rsidR="00000000" w:rsidRPr="00000000">
              <w:rPr>
                <w:sz w:val="24"/>
                <w:szCs w:val="24"/>
                <w:rtl w:val="0"/>
              </w:rPr>
              <w:t xml:space="preserve"> </w:t>
            </w:r>
            <w:r w:rsidDel="00000000" w:rsidR="00000000" w:rsidRPr="00000000">
              <w:rPr>
                <w:i w:val="1"/>
                <w:sz w:val="24"/>
                <w:szCs w:val="24"/>
                <w:rtl w:val="0"/>
              </w:rPr>
              <w:t xml:space="preserve">monocytogenes</w:t>
            </w:r>
          </w:p>
        </w:tc>
        <w:tc>
          <w:tcPr>
            <w:tcBorders>
              <w:top w:color="000000" w:space="0" w:sz="6" w:val="single"/>
              <w:bottom w:color="000000" w:space="0" w:sz="6" w:val="single"/>
            </w:tcBorders>
            <w:tcMar>
              <w:top w:w="40.0" w:type="dxa"/>
              <w:left w:w="40.0" w:type="dxa"/>
              <w:bottom w:w="40.0" w:type="dxa"/>
              <w:right w:w="40.0" w:type="dxa"/>
            </w:tcMar>
            <w:vAlign w:val="top"/>
          </w:tcPr>
          <w:p w:rsidR="00000000" w:rsidDel="00000000" w:rsidP="00000000" w:rsidRDefault="00000000" w:rsidRPr="00000000" w14:paraId="00000007">
            <w:pPr>
              <w:widowControl w:val="0"/>
              <w:rPr>
                <w:sz w:val="24"/>
                <w:szCs w:val="24"/>
              </w:rPr>
            </w:pPr>
            <w:r w:rsidDel="00000000" w:rsidR="00000000" w:rsidRPr="00000000">
              <w:rPr>
                <w:sz w:val="24"/>
                <w:szCs w:val="24"/>
                <w:rtl w:val="0"/>
              </w:rPr>
              <w:t xml:space="preserve">Isolation source</w:t>
            </w:r>
          </w:p>
        </w:tc>
        <w:tc>
          <w:tcPr>
            <w:tcBorders>
              <w:top w:color="000000" w:space="0" w:sz="6" w:val="single"/>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8">
            <w:pPr>
              <w:widowControl w:val="0"/>
              <w:rPr>
                <w:sz w:val="24"/>
                <w:szCs w:val="24"/>
              </w:rPr>
            </w:pPr>
            <w:r w:rsidDel="00000000" w:rsidR="00000000" w:rsidRPr="00000000">
              <w:rPr>
                <w:sz w:val="24"/>
                <w:szCs w:val="24"/>
                <w:rtl w:val="0"/>
              </w:rPr>
              <w:t xml:space="preserve">Serotype</w:t>
            </w:r>
          </w:p>
        </w:tc>
      </w:tr>
      <w:tr>
        <w:trPr>
          <w:trHeight w:val="360" w:hRule="atLeast"/>
        </w:trPr>
        <w:tc>
          <w:tcPr>
            <w:tcMar>
              <w:top w:w="40.0" w:type="dxa"/>
              <w:left w:w="40.0" w:type="dxa"/>
              <w:bottom w:w="40.0" w:type="dxa"/>
              <w:right w:w="40.0" w:type="dxa"/>
            </w:tcMar>
            <w:vAlign w:val="top"/>
          </w:tcPr>
          <w:p w:rsidR="00000000" w:rsidDel="00000000" w:rsidP="00000000" w:rsidRDefault="00000000" w:rsidRPr="00000000" w14:paraId="00000009">
            <w:pPr>
              <w:widowControl w:val="0"/>
              <w:rPr>
                <w:sz w:val="24"/>
                <w:szCs w:val="24"/>
              </w:rPr>
            </w:pPr>
            <w:r w:rsidDel="00000000" w:rsidR="00000000" w:rsidRPr="00000000">
              <w:rPr>
                <w:sz w:val="24"/>
                <w:szCs w:val="24"/>
                <w:rtl w:val="0"/>
              </w:rPr>
              <w:t xml:space="preserve">AB100</w:t>
            </w:r>
          </w:p>
        </w:tc>
        <w:tc>
          <w:tcPr>
            <w:tcMar>
              <w:top w:w="40.0" w:type="dxa"/>
              <w:left w:w="40.0" w:type="dxa"/>
              <w:bottom w:w="40.0" w:type="dxa"/>
              <w:right w:w="40.0" w:type="dxa"/>
            </w:tcMar>
            <w:vAlign w:val="top"/>
          </w:tcPr>
          <w:p w:rsidR="00000000" w:rsidDel="00000000" w:rsidP="00000000" w:rsidRDefault="00000000" w:rsidRPr="00000000" w14:paraId="0000000A">
            <w:pPr>
              <w:widowControl w:val="0"/>
              <w:rPr>
                <w:sz w:val="24"/>
                <w:szCs w:val="24"/>
              </w:rPr>
            </w:pPr>
            <w:r w:rsidDel="00000000" w:rsidR="00000000" w:rsidRPr="00000000">
              <w:rPr>
                <w:sz w:val="24"/>
                <w:szCs w:val="24"/>
                <w:rtl w:val="0"/>
              </w:rPr>
              <w:t xml:space="preserve">Food Salami</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B">
            <w:pPr>
              <w:widowControl w:val="0"/>
              <w:rPr>
                <w:sz w:val="24"/>
                <w:szCs w:val="24"/>
              </w:rPr>
            </w:pPr>
            <w:r w:rsidDel="00000000" w:rsidR="00000000" w:rsidRPr="00000000">
              <w:rPr>
                <w:sz w:val="24"/>
                <w:szCs w:val="24"/>
                <w:rtl w:val="0"/>
              </w:rPr>
              <w:t xml:space="preserve">1/2a (3a)</w:t>
            </w:r>
          </w:p>
        </w:tc>
      </w:tr>
      <w:tr>
        <w:trPr>
          <w:trHeight w:val="360" w:hRule="atLeast"/>
        </w:trPr>
        <w:tc>
          <w:tcPr>
            <w:tcMar>
              <w:top w:w="40.0" w:type="dxa"/>
              <w:left w:w="40.0" w:type="dxa"/>
              <w:bottom w:w="40.0" w:type="dxa"/>
              <w:right w:w="40.0" w:type="dxa"/>
            </w:tcMar>
            <w:vAlign w:val="top"/>
          </w:tcPr>
          <w:p w:rsidR="00000000" w:rsidDel="00000000" w:rsidP="00000000" w:rsidRDefault="00000000" w:rsidRPr="00000000" w14:paraId="0000000C">
            <w:pPr>
              <w:widowControl w:val="0"/>
              <w:rPr>
                <w:sz w:val="24"/>
                <w:szCs w:val="24"/>
              </w:rPr>
            </w:pPr>
            <w:r w:rsidDel="00000000" w:rsidR="00000000" w:rsidRPr="00000000">
              <w:rPr>
                <w:b w:val="1"/>
                <w:sz w:val="24"/>
                <w:szCs w:val="24"/>
                <w:rtl w:val="0"/>
              </w:rPr>
              <w:t xml:space="preserve">RO4</w:t>
            </w:r>
            <w:r w:rsidDel="00000000" w:rsidR="00000000" w:rsidRPr="00000000">
              <w:rPr>
                <w:rtl w:val="0"/>
              </w:rPr>
            </w:r>
          </w:p>
        </w:tc>
        <w:tc>
          <w:tcPr>
            <w:tcMar>
              <w:top w:w="40.0" w:type="dxa"/>
              <w:left w:w="40.0" w:type="dxa"/>
              <w:bottom w:w="40.0" w:type="dxa"/>
              <w:right w:w="40.0" w:type="dxa"/>
            </w:tcMar>
            <w:vAlign w:val="top"/>
          </w:tcPr>
          <w:p w:rsidR="00000000" w:rsidDel="00000000" w:rsidP="00000000" w:rsidRDefault="00000000" w:rsidRPr="00000000" w14:paraId="0000000D">
            <w:pPr>
              <w:widowControl w:val="0"/>
              <w:rPr>
                <w:sz w:val="24"/>
                <w:szCs w:val="24"/>
              </w:rPr>
            </w:pPr>
            <w:r w:rsidDel="00000000" w:rsidR="00000000" w:rsidRPr="00000000">
              <w:rPr>
                <w:sz w:val="24"/>
                <w:szCs w:val="24"/>
                <w:rtl w:val="0"/>
              </w:rPr>
              <w:t xml:space="preserve">Dried cured salami</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0E">
            <w:pPr>
              <w:widowControl w:val="0"/>
              <w:rPr>
                <w:sz w:val="24"/>
                <w:szCs w:val="24"/>
              </w:rPr>
            </w:pPr>
            <w:r w:rsidDel="00000000" w:rsidR="00000000" w:rsidRPr="00000000">
              <w:rPr>
                <w:sz w:val="24"/>
                <w:szCs w:val="24"/>
                <w:rtl w:val="0"/>
              </w:rPr>
              <w:t xml:space="preserve">1/2a (3a)</w:t>
            </w:r>
          </w:p>
        </w:tc>
      </w:tr>
      <w:tr>
        <w:trPr>
          <w:trHeight w:val="440" w:hRule="atLeast"/>
        </w:trPr>
        <w:tc>
          <w:tcPr>
            <w:tcMar>
              <w:top w:w="40.0" w:type="dxa"/>
              <w:left w:w="40.0" w:type="dxa"/>
              <w:bottom w:w="40.0" w:type="dxa"/>
              <w:right w:w="40.0" w:type="dxa"/>
            </w:tcMar>
            <w:vAlign w:val="top"/>
          </w:tcPr>
          <w:p w:rsidR="00000000" w:rsidDel="00000000" w:rsidP="00000000" w:rsidRDefault="00000000" w:rsidRPr="00000000" w14:paraId="0000000F">
            <w:pPr>
              <w:widowControl w:val="0"/>
              <w:rPr>
                <w:sz w:val="24"/>
                <w:szCs w:val="24"/>
              </w:rPr>
            </w:pPr>
            <w:r w:rsidDel="00000000" w:rsidR="00000000" w:rsidRPr="00000000">
              <w:rPr>
                <w:b w:val="1"/>
                <w:sz w:val="24"/>
                <w:szCs w:val="24"/>
                <w:rtl w:val="0"/>
              </w:rPr>
              <w:t xml:space="preserve">RO15</w:t>
            </w:r>
            <w:r w:rsidDel="00000000" w:rsidR="00000000" w:rsidRPr="00000000">
              <w:rPr>
                <w:rtl w:val="0"/>
              </w:rPr>
            </w:r>
          </w:p>
        </w:tc>
        <w:tc>
          <w:tcPr>
            <w:tcMar>
              <w:top w:w="40.0" w:type="dxa"/>
              <w:left w:w="40.0" w:type="dxa"/>
              <w:bottom w:w="40.0" w:type="dxa"/>
              <w:right w:w="40.0" w:type="dxa"/>
            </w:tcMar>
            <w:vAlign w:val="top"/>
          </w:tcPr>
          <w:p w:rsidR="00000000" w:rsidDel="00000000" w:rsidP="00000000" w:rsidRDefault="00000000" w:rsidRPr="00000000" w14:paraId="00000010">
            <w:pPr>
              <w:widowControl w:val="0"/>
              <w:rPr>
                <w:sz w:val="24"/>
                <w:szCs w:val="24"/>
              </w:rPr>
            </w:pPr>
            <w:r w:rsidDel="00000000" w:rsidR="00000000" w:rsidRPr="00000000">
              <w:rPr>
                <w:sz w:val="24"/>
                <w:szCs w:val="24"/>
                <w:rtl w:val="0"/>
              </w:rPr>
              <w:t xml:space="preserve">Herring with spices</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11">
            <w:pPr>
              <w:widowControl w:val="0"/>
              <w:rPr>
                <w:sz w:val="24"/>
                <w:szCs w:val="24"/>
              </w:rPr>
            </w:pPr>
            <w:r w:rsidDel="00000000" w:rsidR="00000000" w:rsidRPr="00000000">
              <w:rPr>
                <w:sz w:val="24"/>
                <w:szCs w:val="24"/>
                <w:rtl w:val="0"/>
              </w:rPr>
              <w:t xml:space="preserve">1/2a (3a)</w:t>
            </w:r>
          </w:p>
        </w:tc>
      </w:tr>
      <w:tr>
        <w:trPr>
          <w:trHeight w:val="360" w:hRule="atLeast"/>
        </w:trPr>
        <w:tc>
          <w:tcPr>
            <w:tcMar>
              <w:top w:w="40.0" w:type="dxa"/>
              <w:left w:w="40.0" w:type="dxa"/>
              <w:bottom w:w="40.0" w:type="dxa"/>
              <w:right w:w="40.0" w:type="dxa"/>
            </w:tcMar>
            <w:vAlign w:val="top"/>
          </w:tcPr>
          <w:p w:rsidR="00000000" w:rsidDel="00000000" w:rsidP="00000000" w:rsidRDefault="00000000" w:rsidRPr="00000000" w14:paraId="00000012">
            <w:pPr>
              <w:widowControl w:val="0"/>
              <w:rPr>
                <w:sz w:val="24"/>
                <w:szCs w:val="24"/>
              </w:rPr>
            </w:pPr>
            <w:r w:rsidDel="00000000" w:rsidR="00000000" w:rsidRPr="00000000">
              <w:rPr>
                <w:sz w:val="24"/>
                <w:szCs w:val="24"/>
                <w:rtl w:val="0"/>
              </w:rPr>
              <w:t xml:space="preserve">ABS43</w:t>
            </w:r>
          </w:p>
        </w:tc>
        <w:tc>
          <w:tcPr>
            <w:tcMar>
              <w:top w:w="40.0" w:type="dxa"/>
              <w:left w:w="40.0" w:type="dxa"/>
              <w:bottom w:w="40.0" w:type="dxa"/>
              <w:right w:w="40.0" w:type="dxa"/>
            </w:tcMar>
            <w:vAlign w:val="top"/>
          </w:tcPr>
          <w:p w:rsidR="00000000" w:rsidDel="00000000" w:rsidP="00000000" w:rsidRDefault="00000000" w:rsidRPr="00000000" w14:paraId="00000013">
            <w:pPr>
              <w:widowControl w:val="0"/>
              <w:rPr>
                <w:sz w:val="24"/>
                <w:szCs w:val="24"/>
              </w:rPr>
            </w:pPr>
            <w:r w:rsidDel="00000000" w:rsidR="00000000" w:rsidRPr="00000000">
              <w:rPr>
                <w:sz w:val="24"/>
                <w:szCs w:val="24"/>
                <w:rtl w:val="0"/>
              </w:rPr>
              <w:t xml:space="preserve">Beef meat</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14">
            <w:pPr>
              <w:widowControl w:val="0"/>
              <w:rPr>
                <w:sz w:val="24"/>
                <w:szCs w:val="24"/>
              </w:rPr>
            </w:pPr>
            <w:r w:rsidDel="00000000" w:rsidR="00000000" w:rsidRPr="00000000">
              <w:rPr>
                <w:sz w:val="24"/>
                <w:szCs w:val="24"/>
                <w:rtl w:val="0"/>
              </w:rPr>
              <w:t xml:space="preserve">1/2c (3c)</w:t>
            </w:r>
          </w:p>
        </w:tc>
      </w:tr>
      <w:tr>
        <w:trPr>
          <w:trHeight w:val="640" w:hRule="atLeast"/>
        </w:trPr>
        <w:tc>
          <w:tcPr>
            <w:tcMar>
              <w:top w:w="40.0" w:type="dxa"/>
              <w:left w:w="40.0" w:type="dxa"/>
              <w:bottom w:w="40.0" w:type="dxa"/>
              <w:right w:w="40.0" w:type="dxa"/>
            </w:tcMar>
            <w:vAlign w:val="top"/>
          </w:tcPr>
          <w:p w:rsidR="00000000" w:rsidDel="00000000" w:rsidP="00000000" w:rsidRDefault="00000000" w:rsidRPr="00000000" w14:paraId="00000015">
            <w:pPr>
              <w:widowControl w:val="0"/>
              <w:rPr>
                <w:sz w:val="24"/>
                <w:szCs w:val="24"/>
              </w:rPr>
            </w:pPr>
            <w:r w:rsidDel="00000000" w:rsidR="00000000" w:rsidRPr="00000000">
              <w:rPr>
                <w:sz w:val="24"/>
                <w:szCs w:val="24"/>
                <w:rtl w:val="0"/>
              </w:rPr>
              <w:t xml:space="preserve">AB80</w:t>
            </w:r>
          </w:p>
        </w:tc>
        <w:tc>
          <w:tcPr>
            <w:tcMar>
              <w:top w:w="40.0" w:type="dxa"/>
              <w:left w:w="40.0" w:type="dxa"/>
              <w:bottom w:w="40.0" w:type="dxa"/>
              <w:right w:w="40.0" w:type="dxa"/>
            </w:tcMar>
            <w:vAlign w:val="top"/>
          </w:tcPr>
          <w:p w:rsidR="00000000" w:rsidDel="00000000" w:rsidP="00000000" w:rsidRDefault="00000000" w:rsidRPr="00000000" w14:paraId="00000016">
            <w:pPr>
              <w:widowControl w:val="0"/>
              <w:rPr>
                <w:sz w:val="24"/>
                <w:szCs w:val="24"/>
              </w:rPr>
            </w:pPr>
            <w:r w:rsidDel="00000000" w:rsidR="00000000" w:rsidRPr="00000000">
              <w:rPr>
                <w:sz w:val="24"/>
                <w:szCs w:val="24"/>
                <w:rtl w:val="0"/>
              </w:rPr>
              <w:t xml:space="preserve">Sheep meat</w:t>
            </w:r>
          </w:p>
          <w:p w:rsidR="00000000" w:rsidDel="00000000" w:rsidP="00000000" w:rsidRDefault="00000000" w:rsidRPr="00000000" w14:paraId="00000017">
            <w:pPr>
              <w:widowControl w:val="0"/>
              <w:rPr>
                <w:sz w:val="24"/>
                <w:szCs w:val="24"/>
              </w:rPr>
            </w:pPr>
            <w:r w:rsidDel="00000000" w:rsidR="00000000" w:rsidRPr="00000000">
              <w:rPr>
                <w:sz w:val="24"/>
                <w:szCs w:val="24"/>
                <w:rtl w:val="0"/>
              </w:rPr>
              <w:t xml:space="preserve">Meat processing environments</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18">
            <w:pPr>
              <w:widowControl w:val="0"/>
              <w:rPr>
                <w:sz w:val="24"/>
                <w:szCs w:val="24"/>
              </w:rPr>
            </w:pPr>
            <w:r w:rsidDel="00000000" w:rsidR="00000000" w:rsidRPr="00000000">
              <w:rPr>
                <w:sz w:val="24"/>
                <w:szCs w:val="24"/>
                <w:rtl w:val="0"/>
              </w:rPr>
              <w:t xml:space="preserve">1/2a (3a)</w:t>
            </w:r>
          </w:p>
        </w:tc>
      </w:tr>
      <w:tr>
        <w:trPr>
          <w:trHeight w:val="360" w:hRule="atLeast"/>
        </w:trPr>
        <w:tc>
          <w:tcPr>
            <w:tcMar>
              <w:top w:w="40.0" w:type="dxa"/>
              <w:left w:w="40.0" w:type="dxa"/>
              <w:bottom w:w="40.0" w:type="dxa"/>
              <w:right w:w="40.0" w:type="dxa"/>
            </w:tcMar>
            <w:vAlign w:val="top"/>
          </w:tcPr>
          <w:p w:rsidR="00000000" w:rsidDel="00000000" w:rsidP="00000000" w:rsidRDefault="00000000" w:rsidRPr="00000000" w14:paraId="00000019">
            <w:pPr>
              <w:widowControl w:val="0"/>
              <w:rPr>
                <w:sz w:val="24"/>
                <w:szCs w:val="24"/>
              </w:rPr>
            </w:pPr>
            <w:r w:rsidDel="00000000" w:rsidR="00000000" w:rsidRPr="00000000">
              <w:rPr>
                <w:sz w:val="24"/>
                <w:szCs w:val="24"/>
                <w:rtl w:val="0"/>
              </w:rPr>
              <w:t xml:space="preserve">AB24</w:t>
            </w:r>
          </w:p>
        </w:tc>
        <w:tc>
          <w:tcPr>
            <w:tcMar>
              <w:top w:w="40.0" w:type="dxa"/>
              <w:left w:w="40.0" w:type="dxa"/>
              <w:bottom w:w="40.0" w:type="dxa"/>
              <w:right w:w="40.0" w:type="dxa"/>
            </w:tcMar>
            <w:vAlign w:val="top"/>
          </w:tcPr>
          <w:p w:rsidR="00000000" w:rsidDel="00000000" w:rsidP="00000000" w:rsidRDefault="00000000" w:rsidRPr="00000000" w14:paraId="0000001A">
            <w:pPr>
              <w:widowControl w:val="0"/>
              <w:rPr>
                <w:sz w:val="24"/>
                <w:szCs w:val="24"/>
              </w:rPr>
            </w:pPr>
            <w:r w:rsidDel="00000000" w:rsidR="00000000" w:rsidRPr="00000000">
              <w:rPr>
                <w:sz w:val="24"/>
                <w:szCs w:val="24"/>
                <w:rtl w:val="0"/>
              </w:rPr>
              <w:t xml:space="preserve">Floor in a cold store</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1B">
            <w:pPr>
              <w:widowControl w:val="0"/>
              <w:rPr>
                <w:sz w:val="24"/>
                <w:szCs w:val="24"/>
              </w:rPr>
            </w:pPr>
            <w:r w:rsidDel="00000000" w:rsidR="00000000" w:rsidRPr="00000000">
              <w:rPr>
                <w:sz w:val="24"/>
                <w:szCs w:val="24"/>
                <w:rtl w:val="0"/>
              </w:rPr>
              <w:t xml:space="preserve">1/2a (3a)</w:t>
            </w:r>
          </w:p>
        </w:tc>
      </w:tr>
      <w:tr>
        <w:trPr>
          <w:trHeight w:val="920" w:hRule="atLeast"/>
        </w:trPr>
        <w:tc>
          <w:tcPr>
            <w:tcMar>
              <w:top w:w="40.0" w:type="dxa"/>
              <w:left w:w="40.0" w:type="dxa"/>
              <w:bottom w:w="40.0" w:type="dxa"/>
              <w:right w:w="40.0" w:type="dxa"/>
            </w:tcMar>
            <w:vAlign w:val="top"/>
          </w:tcPr>
          <w:p w:rsidR="00000000" w:rsidDel="00000000" w:rsidP="00000000" w:rsidRDefault="00000000" w:rsidRPr="00000000" w14:paraId="0000001C">
            <w:pPr>
              <w:widowControl w:val="0"/>
              <w:rPr>
                <w:sz w:val="24"/>
                <w:szCs w:val="24"/>
              </w:rPr>
            </w:pPr>
            <w:r w:rsidDel="00000000" w:rsidR="00000000" w:rsidRPr="00000000">
              <w:rPr>
                <w:b w:val="1"/>
                <w:sz w:val="24"/>
                <w:szCs w:val="24"/>
                <w:rtl w:val="0"/>
              </w:rPr>
              <w:t xml:space="preserve">AB120</w:t>
            </w:r>
            <w:r w:rsidDel="00000000" w:rsidR="00000000" w:rsidRPr="00000000">
              <w:rPr>
                <w:rtl w:val="0"/>
              </w:rPr>
            </w:r>
          </w:p>
        </w:tc>
        <w:tc>
          <w:tcPr>
            <w:tcMar>
              <w:top w:w="40.0" w:type="dxa"/>
              <w:left w:w="40.0" w:type="dxa"/>
              <w:bottom w:w="40.0" w:type="dxa"/>
              <w:right w:w="40.0" w:type="dxa"/>
            </w:tcMar>
            <w:vAlign w:val="top"/>
          </w:tcPr>
          <w:p w:rsidR="00000000" w:rsidDel="00000000" w:rsidP="00000000" w:rsidRDefault="00000000" w:rsidRPr="00000000" w14:paraId="0000001D">
            <w:pPr>
              <w:widowControl w:val="0"/>
              <w:rPr>
                <w:sz w:val="24"/>
                <w:szCs w:val="24"/>
              </w:rPr>
            </w:pPr>
            <w:r w:rsidDel="00000000" w:rsidR="00000000" w:rsidRPr="00000000">
              <w:rPr>
                <w:sz w:val="24"/>
                <w:szCs w:val="24"/>
                <w:rtl w:val="0"/>
              </w:rPr>
              <w:t xml:space="preserve">Stainless steel table</w:t>
            </w:r>
          </w:p>
          <w:p w:rsidR="00000000" w:rsidDel="00000000" w:rsidP="00000000" w:rsidRDefault="00000000" w:rsidRPr="00000000" w14:paraId="0000001E">
            <w:pPr>
              <w:widowControl w:val="0"/>
              <w:rPr>
                <w:sz w:val="24"/>
                <w:szCs w:val="24"/>
              </w:rPr>
            </w:pPr>
            <w:r w:rsidDel="00000000" w:rsidR="00000000" w:rsidRPr="00000000">
              <w:rPr>
                <w:sz w:val="24"/>
                <w:szCs w:val="24"/>
                <w:rtl w:val="0"/>
              </w:rPr>
              <w:t xml:space="preserve">associated to a salami/ sausage filler machine</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1F">
            <w:pPr>
              <w:widowControl w:val="0"/>
              <w:rPr>
                <w:sz w:val="24"/>
                <w:szCs w:val="24"/>
              </w:rPr>
            </w:pPr>
            <w:r w:rsidDel="00000000" w:rsidR="00000000" w:rsidRPr="00000000">
              <w:rPr>
                <w:sz w:val="24"/>
                <w:szCs w:val="24"/>
                <w:rtl w:val="0"/>
              </w:rPr>
              <w:t xml:space="preserve">1/2a (3a)</w:t>
            </w:r>
          </w:p>
        </w:tc>
      </w:tr>
      <w:tr>
        <w:trPr>
          <w:trHeight w:val="360" w:hRule="atLeast"/>
        </w:trPr>
        <w:tc>
          <w:tcPr>
            <w:tcMar>
              <w:top w:w="40.0" w:type="dxa"/>
              <w:left w:w="40.0" w:type="dxa"/>
              <w:bottom w:w="40.0" w:type="dxa"/>
              <w:right w:w="40.0" w:type="dxa"/>
            </w:tcMar>
            <w:vAlign w:val="top"/>
          </w:tcPr>
          <w:p w:rsidR="00000000" w:rsidDel="00000000" w:rsidP="00000000" w:rsidRDefault="00000000" w:rsidRPr="00000000" w14:paraId="00000020">
            <w:pPr>
              <w:widowControl w:val="0"/>
              <w:rPr>
                <w:sz w:val="24"/>
                <w:szCs w:val="24"/>
              </w:rPr>
            </w:pPr>
            <w:r w:rsidDel="00000000" w:rsidR="00000000" w:rsidRPr="00000000">
              <w:rPr>
                <w:sz w:val="24"/>
                <w:szCs w:val="24"/>
                <w:rtl w:val="0"/>
              </w:rPr>
              <w:t xml:space="preserve">ABS45</w:t>
            </w:r>
          </w:p>
        </w:tc>
        <w:tc>
          <w:tcPr>
            <w:tcMar>
              <w:top w:w="40.0" w:type="dxa"/>
              <w:left w:w="40.0" w:type="dxa"/>
              <w:bottom w:w="40.0" w:type="dxa"/>
              <w:right w:w="40.0" w:type="dxa"/>
            </w:tcMar>
            <w:vAlign w:val="top"/>
          </w:tcPr>
          <w:p w:rsidR="00000000" w:rsidDel="00000000" w:rsidP="00000000" w:rsidRDefault="00000000" w:rsidRPr="00000000" w14:paraId="00000021">
            <w:pPr>
              <w:widowControl w:val="0"/>
              <w:rPr>
                <w:sz w:val="24"/>
                <w:szCs w:val="24"/>
              </w:rPr>
            </w:pPr>
            <w:r w:rsidDel="00000000" w:rsidR="00000000" w:rsidRPr="00000000">
              <w:rPr>
                <w:sz w:val="24"/>
                <w:szCs w:val="24"/>
                <w:rtl w:val="0"/>
              </w:rPr>
              <w:t xml:space="preserve">Floor drain</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22">
            <w:pPr>
              <w:widowControl w:val="0"/>
              <w:rPr>
                <w:sz w:val="24"/>
                <w:szCs w:val="24"/>
              </w:rPr>
            </w:pPr>
            <w:r w:rsidDel="00000000" w:rsidR="00000000" w:rsidRPr="00000000">
              <w:rPr>
                <w:sz w:val="24"/>
                <w:szCs w:val="24"/>
                <w:rtl w:val="0"/>
              </w:rPr>
              <w:t xml:space="preserve">1/2c (3c)</w:t>
            </w:r>
          </w:p>
        </w:tc>
      </w:tr>
      <w:tr>
        <w:trPr>
          <w:trHeight w:val="360" w:hRule="atLeast"/>
        </w:trPr>
        <w:tc>
          <w:tcPr>
            <w:tcMar>
              <w:top w:w="40.0" w:type="dxa"/>
              <w:left w:w="40.0" w:type="dxa"/>
              <w:bottom w:w="40.0" w:type="dxa"/>
              <w:right w:w="40.0" w:type="dxa"/>
            </w:tcMar>
            <w:vAlign w:val="top"/>
          </w:tcPr>
          <w:p w:rsidR="00000000" w:rsidDel="00000000" w:rsidP="00000000" w:rsidRDefault="00000000" w:rsidRPr="00000000" w14:paraId="00000023">
            <w:pPr>
              <w:widowControl w:val="0"/>
              <w:rPr>
                <w:sz w:val="24"/>
                <w:szCs w:val="24"/>
              </w:rPr>
            </w:pPr>
            <w:r w:rsidDel="00000000" w:rsidR="00000000" w:rsidRPr="00000000">
              <w:rPr>
                <w:b w:val="1"/>
                <w:sz w:val="24"/>
                <w:szCs w:val="24"/>
                <w:rtl w:val="0"/>
              </w:rPr>
              <w:t xml:space="preserve">AB199</w:t>
            </w:r>
            <w:r w:rsidDel="00000000" w:rsidR="00000000" w:rsidRPr="00000000">
              <w:rPr>
                <w:rtl w:val="0"/>
              </w:rPr>
            </w:r>
          </w:p>
        </w:tc>
        <w:tc>
          <w:tcPr>
            <w:tcMar>
              <w:top w:w="40.0" w:type="dxa"/>
              <w:left w:w="40.0" w:type="dxa"/>
              <w:bottom w:w="40.0" w:type="dxa"/>
              <w:right w:w="40.0" w:type="dxa"/>
            </w:tcMar>
            <w:vAlign w:val="top"/>
          </w:tcPr>
          <w:p w:rsidR="00000000" w:rsidDel="00000000" w:rsidP="00000000" w:rsidRDefault="00000000" w:rsidRPr="00000000" w14:paraId="00000024">
            <w:pPr>
              <w:widowControl w:val="0"/>
              <w:rPr>
                <w:sz w:val="24"/>
                <w:szCs w:val="24"/>
              </w:rPr>
            </w:pPr>
            <w:r w:rsidDel="00000000" w:rsidR="00000000" w:rsidRPr="00000000">
              <w:rPr>
                <w:sz w:val="24"/>
                <w:szCs w:val="24"/>
                <w:rtl w:val="0"/>
              </w:rPr>
              <w:t xml:space="preserve">Floor drain</w:t>
            </w:r>
          </w:p>
        </w:tc>
        <w:tc>
          <w:tcPr>
            <w:tcBorders>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25">
            <w:pPr>
              <w:widowControl w:val="0"/>
              <w:rPr>
                <w:sz w:val="24"/>
                <w:szCs w:val="24"/>
              </w:rPr>
            </w:pPr>
            <w:r w:rsidDel="00000000" w:rsidR="00000000" w:rsidRPr="00000000">
              <w:rPr>
                <w:sz w:val="24"/>
                <w:szCs w:val="24"/>
                <w:rtl w:val="0"/>
              </w:rPr>
              <w:t xml:space="preserve">1/2a (3a)</w:t>
            </w:r>
          </w:p>
        </w:tc>
      </w:tr>
      <w:tr>
        <w:trPr>
          <w:trHeight w:val="360" w:hRule="atLeast"/>
        </w:trPr>
        <w:tc>
          <w:tcPr>
            <w:tcBorders>
              <w:bottom w:color="000000" w:space="0" w:sz="6" w:val="single"/>
            </w:tcBorders>
            <w:tcMar>
              <w:top w:w="40.0" w:type="dxa"/>
              <w:left w:w="40.0" w:type="dxa"/>
              <w:bottom w:w="40.0" w:type="dxa"/>
              <w:right w:w="40.0" w:type="dxa"/>
            </w:tcMar>
            <w:vAlign w:val="top"/>
          </w:tcPr>
          <w:p w:rsidR="00000000" w:rsidDel="00000000" w:rsidP="00000000" w:rsidRDefault="00000000" w:rsidRPr="00000000" w14:paraId="00000026">
            <w:pPr>
              <w:widowControl w:val="0"/>
              <w:rPr>
                <w:sz w:val="24"/>
                <w:szCs w:val="24"/>
              </w:rPr>
            </w:pPr>
            <w:r w:rsidDel="00000000" w:rsidR="00000000" w:rsidRPr="00000000">
              <w:rPr>
                <w:sz w:val="24"/>
                <w:szCs w:val="24"/>
                <w:rtl w:val="0"/>
              </w:rPr>
              <w:t xml:space="preserve">AB204</w:t>
            </w:r>
          </w:p>
        </w:tc>
        <w:tc>
          <w:tcPr>
            <w:tcBorders>
              <w:bottom w:color="000000" w:space="0" w:sz="6" w:val="single"/>
            </w:tcBorders>
            <w:tcMar>
              <w:top w:w="40.0" w:type="dxa"/>
              <w:left w:w="40.0" w:type="dxa"/>
              <w:bottom w:w="40.0" w:type="dxa"/>
              <w:right w:w="40.0" w:type="dxa"/>
            </w:tcMar>
            <w:vAlign w:val="top"/>
          </w:tcPr>
          <w:p w:rsidR="00000000" w:rsidDel="00000000" w:rsidP="00000000" w:rsidRDefault="00000000" w:rsidRPr="00000000" w14:paraId="00000027">
            <w:pPr>
              <w:widowControl w:val="0"/>
              <w:rPr>
                <w:sz w:val="24"/>
                <w:szCs w:val="24"/>
              </w:rPr>
            </w:pPr>
            <w:r w:rsidDel="00000000" w:rsidR="00000000" w:rsidRPr="00000000">
              <w:rPr>
                <w:sz w:val="24"/>
                <w:szCs w:val="24"/>
                <w:rtl w:val="0"/>
              </w:rPr>
              <w:t xml:space="preserve">Tap handle of a wash hand basin</w:t>
            </w:r>
          </w:p>
        </w:tc>
        <w:tc>
          <w:tcPr>
            <w:tcBorders>
              <w:bottom w:color="000000" w:space="0" w:sz="6" w:val="single"/>
              <w:right w:color="000000" w:space="0" w:sz="6" w:val="single"/>
            </w:tcBorders>
            <w:tcMar>
              <w:top w:w="40.0" w:type="dxa"/>
              <w:left w:w="40.0" w:type="dxa"/>
              <w:bottom w:w="40.0" w:type="dxa"/>
              <w:right w:w="40.0" w:type="dxa"/>
            </w:tcMar>
            <w:vAlign w:val="top"/>
          </w:tcPr>
          <w:p w:rsidR="00000000" w:rsidDel="00000000" w:rsidP="00000000" w:rsidRDefault="00000000" w:rsidRPr="00000000" w14:paraId="00000028">
            <w:pPr>
              <w:widowControl w:val="0"/>
              <w:rPr>
                <w:sz w:val="24"/>
                <w:szCs w:val="24"/>
              </w:rPr>
            </w:pPr>
            <w:r w:rsidDel="00000000" w:rsidR="00000000" w:rsidRPr="00000000">
              <w:rPr>
                <w:sz w:val="24"/>
                <w:szCs w:val="24"/>
                <w:rtl w:val="0"/>
              </w:rPr>
              <w:t xml:space="preserve">1/2a (3a)</w:t>
            </w:r>
          </w:p>
        </w:tc>
      </w:tr>
    </w:tbl>
    <w:p w:rsidR="00000000" w:rsidDel="00000000" w:rsidP="00000000" w:rsidRDefault="00000000" w:rsidRPr="00000000" w14:paraId="00000029">
      <w:pPr>
        <w:spacing w:before="240" w:line="240" w:lineRule="auto"/>
        <w:rPr>
          <w:sz w:val="24"/>
          <w:szCs w:val="24"/>
        </w:rPr>
      </w:pPr>
      <w:r w:rsidDel="00000000" w:rsidR="00000000" w:rsidRPr="00000000">
        <w:rPr>
          <w:b w:val="1"/>
          <w:sz w:val="24"/>
          <w:szCs w:val="24"/>
          <w:rtl w:val="0"/>
        </w:rPr>
        <w:t xml:space="preserve">Table S1</w:t>
      </w:r>
      <w:r w:rsidDel="00000000" w:rsidR="00000000" w:rsidRPr="00000000">
        <w:rPr>
          <w:sz w:val="24"/>
          <w:szCs w:val="24"/>
          <w:rtl w:val="0"/>
        </w:rPr>
        <w:t xml:space="preserve">. </w:t>
      </w:r>
      <w:r w:rsidDel="00000000" w:rsidR="00000000" w:rsidRPr="00000000">
        <w:rPr>
          <w:b w:val="1"/>
          <w:i w:val="1"/>
          <w:sz w:val="24"/>
          <w:szCs w:val="24"/>
          <w:rtl w:val="0"/>
        </w:rPr>
        <w:t xml:space="preserve">L. monocytogenes</w:t>
      </w:r>
      <w:r w:rsidDel="00000000" w:rsidR="00000000" w:rsidRPr="00000000">
        <w:rPr>
          <w:b w:val="1"/>
          <w:sz w:val="24"/>
          <w:szCs w:val="24"/>
          <w:rtl w:val="0"/>
        </w:rPr>
        <w:t xml:space="preserve"> strains from UGAL Collection submitted to barotolerance test. </w:t>
      </w:r>
      <w:r w:rsidDel="00000000" w:rsidR="00000000" w:rsidRPr="00000000">
        <w:rPr>
          <w:sz w:val="24"/>
          <w:szCs w:val="24"/>
          <w:rtl w:val="0"/>
        </w:rPr>
        <w:t xml:space="preserve">The table shows isolation source and serotype of strains. Strains that written bold are selected for following study.</w:t>
      </w:r>
    </w:p>
    <w:p w:rsidR="00000000" w:rsidDel="00000000" w:rsidP="00000000" w:rsidRDefault="00000000" w:rsidRPr="00000000" w14:paraId="0000002A">
      <w:pPr>
        <w:spacing w:before="480" w:lineRule="auto"/>
        <w:rPr>
          <w:b w:val="1"/>
          <w:sz w:val="24"/>
          <w:szCs w:val="24"/>
        </w:rPr>
      </w:pPr>
      <w:r w:rsidDel="00000000" w:rsidR="00000000" w:rsidRPr="00000000">
        <w:rPr>
          <w:b w:val="1"/>
          <w:sz w:val="24"/>
          <w:szCs w:val="24"/>
          <w:rtl w:val="0"/>
        </w:rPr>
        <w:t xml:space="preserve">Additional File 1-2 Supplemental Results </w:t>
        <w:tab/>
      </w:r>
    </w:p>
    <w:p w:rsidR="00000000" w:rsidDel="00000000" w:rsidP="00000000" w:rsidRDefault="00000000" w:rsidRPr="00000000" w14:paraId="0000002B">
      <w:pPr>
        <w:spacing w:before="240" w:line="240" w:lineRule="auto"/>
        <w:rPr>
          <w:sz w:val="24"/>
          <w:szCs w:val="24"/>
        </w:rPr>
      </w:pPr>
      <w:r w:rsidDel="00000000" w:rsidR="00000000" w:rsidRPr="00000000">
        <w:rPr>
          <w:rFonts w:ascii="Arial Unicode MS" w:cs="Arial Unicode MS" w:eastAsia="Arial Unicode MS" w:hAnsi="Arial Unicode MS"/>
          <w:sz w:val="24"/>
          <w:szCs w:val="24"/>
          <w:rtl w:val="0"/>
        </w:rPr>
        <w:t xml:space="preserve">Four of the strains submitted to the above mentioned treatment (RO15, RO4, AB120 and AB199) have been selected as being more resistant to high pressures than the other strains (log reduction ≤ 1 log) (Figure S1) and sent to Nofima to be compared with strains of </w:t>
      </w:r>
      <w:r w:rsidDel="00000000" w:rsidR="00000000" w:rsidRPr="00000000">
        <w:rPr>
          <w:i w:val="1"/>
          <w:sz w:val="24"/>
          <w:szCs w:val="24"/>
          <w:rtl w:val="0"/>
        </w:rPr>
        <w:t xml:space="preserve">L. monocytogenes</w:t>
      </w:r>
      <w:r w:rsidDel="00000000" w:rsidR="00000000" w:rsidRPr="00000000">
        <w:rPr>
          <w:sz w:val="24"/>
          <w:szCs w:val="24"/>
          <w:rtl w:val="0"/>
        </w:rPr>
        <w:t xml:space="preserve"> from Nofima’s collection and with reference strains.</w:t>
      </w:r>
    </w:p>
    <w:p w:rsidR="00000000" w:rsidDel="00000000" w:rsidP="00000000" w:rsidRDefault="00000000" w:rsidRPr="00000000" w14:paraId="0000002C">
      <w:pPr>
        <w:spacing w:before="240" w:line="240" w:lineRule="auto"/>
        <w:rPr>
          <w:sz w:val="24"/>
          <w:szCs w:val="24"/>
        </w:rPr>
      </w:pPr>
      <w:r w:rsidDel="00000000" w:rsidR="00000000" w:rsidRPr="00000000">
        <w:rPr>
          <w:sz w:val="24"/>
          <w:szCs w:val="24"/>
        </w:rPr>
        <w:drawing>
          <wp:inline distB="114300" distT="114300" distL="114300" distR="114300">
            <wp:extent cx="5734050" cy="36703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734050" cy="3670300"/>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before="240" w:line="240" w:lineRule="auto"/>
        <w:rPr>
          <w:sz w:val="24"/>
          <w:szCs w:val="24"/>
        </w:rPr>
      </w:pPr>
      <w:r w:rsidDel="00000000" w:rsidR="00000000" w:rsidRPr="00000000">
        <w:rPr>
          <w:b w:val="1"/>
          <w:sz w:val="24"/>
          <w:szCs w:val="24"/>
          <w:rtl w:val="0"/>
        </w:rPr>
        <w:t xml:space="preserve">Figure S1. Reduction of </w:t>
      </w:r>
      <w:r w:rsidDel="00000000" w:rsidR="00000000" w:rsidRPr="00000000">
        <w:rPr>
          <w:b w:val="1"/>
          <w:i w:val="1"/>
          <w:sz w:val="24"/>
          <w:szCs w:val="24"/>
          <w:rtl w:val="0"/>
        </w:rPr>
        <w:t xml:space="preserve">L. monocytogenes</w:t>
      </w:r>
      <w:r w:rsidDel="00000000" w:rsidR="00000000" w:rsidRPr="00000000">
        <w:rPr>
          <w:b w:val="1"/>
          <w:sz w:val="24"/>
          <w:szCs w:val="24"/>
          <w:rtl w:val="0"/>
        </w:rPr>
        <w:t xml:space="preserve"> CFUs following a high pressure treatment (400 MPa/1 min). </w:t>
      </w:r>
      <w:r w:rsidDel="00000000" w:rsidR="00000000" w:rsidRPr="00000000">
        <w:rPr>
          <w:sz w:val="24"/>
          <w:szCs w:val="24"/>
          <w:rtl w:val="0"/>
        </w:rPr>
        <w:t xml:space="preserve">Values in the graph represent the medium value of two independent assays</w:t>
      </w:r>
    </w:p>
    <w:p w:rsidR="00000000" w:rsidDel="00000000" w:rsidP="00000000" w:rsidRDefault="00000000" w:rsidRPr="00000000" w14:paraId="0000002E">
      <w:pPr>
        <w:rPr>
          <w:sz w:val="24"/>
          <w:szCs w:val="24"/>
        </w:rPr>
      </w:pPr>
      <w:r w:rsidDel="00000000" w:rsidR="00000000" w:rsidRPr="00000000">
        <w:rPr>
          <w:rtl w:val="0"/>
        </w:rPr>
      </w:r>
    </w:p>
    <w:sectPr>
      <w:pgSz w:h="16838" w:w="11906"/>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