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Style w:val="Heading1"/>
        <w:spacing w:after="0" w:lineRule="auto"/>
        <w:jc w:val="both"/>
        <w:rPr/>
      </w:pPr>
      <w:bookmarkStart w:colFirst="0" w:colLast="0" w:name="_gjdgxs" w:id="0"/>
      <w:bookmarkEnd w:id="0"/>
      <w:r w:rsidDel="00000000" w:rsidR="00000000" w:rsidRPr="00000000">
        <w:rPr>
          <w:b w:val="1"/>
          <w:sz w:val="22"/>
          <w:szCs w:val="22"/>
          <w:rtl w:val="0"/>
        </w:rPr>
        <w:t xml:space="preserve">Supplemental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2"/>
        <w:spacing w:after="200" w:before="0" w:line="240" w:lineRule="auto"/>
        <w:rPr>
          <w:b w:val="1"/>
          <w:sz w:val="22"/>
          <w:szCs w:val="22"/>
        </w:rPr>
      </w:pPr>
      <w:bookmarkStart w:colFirst="0" w:colLast="0" w:name="_30j0zll" w:id="1"/>
      <w:bookmarkEnd w:id="1"/>
      <w:r w:rsidDel="00000000" w:rsidR="00000000" w:rsidRPr="00000000">
        <w:rPr>
          <w:b w:val="1"/>
          <w:sz w:val="22"/>
          <w:szCs w:val="22"/>
          <w:rtl w:val="0"/>
        </w:rPr>
        <w:t xml:space="preserve">Supplemental mutation flow diagrams</w:t>
      </w:r>
    </w:p>
    <w:p w:rsidR="00000000" w:rsidDel="00000000" w:rsidP="00000000" w:rsidRDefault="00000000" w:rsidRPr="00000000" w14:paraId="00000003">
      <w:pPr>
        <w:spacing w:line="240" w:lineRule="auto"/>
        <w:jc w:val="both"/>
        <w:rPr/>
      </w:pPr>
      <w:r w:rsidDel="00000000" w:rsidR="00000000" w:rsidRPr="00000000">
        <w:rPr/>
        <w:drawing>
          <wp:inline distB="114300" distT="114300" distL="114300" distR="114300">
            <wp:extent cx="5943600" cy="11176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17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Supplemental Figure 1</w:t>
      </w:r>
      <w:r w:rsidDel="00000000" w:rsidR="00000000" w:rsidRPr="00000000">
        <w:rPr>
          <w:i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The mutation convergence and significance of features associated with </w:t>
      </w:r>
      <w:r w:rsidDel="00000000" w:rsidR="00000000" w:rsidRPr="00000000">
        <w:rPr>
          <w:i w:val="1"/>
          <w:rtl w:val="0"/>
        </w:rPr>
        <w:t xml:space="preserve">glpK</w:t>
      </w:r>
      <w:r w:rsidDel="00000000" w:rsidR="00000000" w:rsidRPr="00000000">
        <w:rPr>
          <w:rtl w:val="0"/>
        </w:rPr>
        <w:t xml:space="preserve"> and glycerol metabolism pathway.</w:t>
      </w:r>
    </w:p>
    <w:p w:rsidR="00000000" w:rsidDel="00000000" w:rsidP="00000000" w:rsidRDefault="00000000" w:rsidRPr="00000000" w14:paraId="00000005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355.0" w:type="dxa"/>
        <w:jc w:val="left"/>
        <w:tblInd w:w="40.0" w:type="pc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1500"/>
        <w:gridCol w:w="1500"/>
        <w:gridCol w:w="855"/>
        <w:gridCol w:w="1500"/>
        <w:gridCol w:w="1500"/>
        <w:gridCol w:w="1500"/>
        <w:tblGridChange w:id="0">
          <w:tblGrid>
            <w:gridCol w:w="1500"/>
            <w:gridCol w:w="1500"/>
            <w:gridCol w:w="855"/>
            <w:gridCol w:w="1500"/>
            <w:gridCol w:w="1500"/>
            <w:gridCol w:w="1500"/>
          </w:tblGrid>
        </w:tblGridChange>
      </w:tblGrid>
      <w:tr>
        <w:trPr>
          <w:trHeight w:val="555" w:hRule="atLeast"/>
        </w:trPr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start AA position</w:t>
            </w:r>
          </w:p>
        </w:tc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stop AA position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mut type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details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ΔΔGpred (destabilizing)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SIFT score (deleterious)</w:t>
            </w:r>
          </w:p>
        </w:tc>
      </w:tr>
      <w:tr>
        <w:trPr>
          <w:trHeight w:val="315" w:hRule="atLeast"/>
        </w:trPr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34</w:t>
            </w:r>
          </w:p>
        </w:tc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34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SNP</w:t>
            </w:r>
          </w:p>
        </w:tc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I34T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spacing w:after="0" w:line="276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3.47091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spacing w:after="0" w:line="276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0.0074979</w:t>
            </w:r>
          </w:p>
        </w:tc>
      </w:tr>
      <w:tr>
        <w:trPr>
          <w:trHeight w:val="315" w:hRule="atLeast"/>
        </w:trPr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39</w:t>
            </w:r>
          </w:p>
        </w:tc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39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SNP</w:t>
            </w:r>
          </w:p>
        </w:tc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D39H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spacing w:after="0" w:line="276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2.49214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spacing w:after="0" w:line="276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trHeight w:val="315" w:hRule="atLeast"/>
        </w:trPr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44</w:t>
            </w:r>
          </w:p>
        </w:tc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44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SNP</w:t>
            </w:r>
          </w:p>
        </w:tc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E44V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spacing w:after="0" w:line="276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trHeight w:val="315" w:hRule="atLeast"/>
        </w:trPr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48</w:t>
            </w:r>
          </w:p>
        </w:tc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48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SNP</w:t>
            </w:r>
          </w:p>
        </w:tc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G48V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spacing w:after="0" w:line="276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18.6249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spacing w:after="0" w:line="276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trHeight w:val="315" w:hRule="atLeast"/>
        </w:trPr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50</w:t>
            </w:r>
          </w:p>
        </w:tc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50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SNP</w:t>
            </w:r>
          </w:p>
        </w:tc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G50S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spacing w:after="0" w:line="276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13.6354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spacing w:after="0" w:line="276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trHeight w:val="315" w:hRule="atLeast"/>
        </w:trPr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72</w:t>
            </w:r>
          </w:p>
        </w:tc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72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SNP</w:t>
            </w:r>
          </w:p>
        </w:tc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F72V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spacing w:after="0" w:line="276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trHeight w:val="315" w:hRule="atLeast"/>
        </w:trPr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72</w:t>
            </w:r>
          </w:p>
        </w:tc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72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SNP</w:t>
            </w:r>
          </w:p>
        </w:tc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F72V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spacing w:after="0" w:line="276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trHeight w:val="315" w:hRule="atLeast"/>
        </w:trPr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93</w:t>
            </w:r>
          </w:p>
        </w:tc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93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SNP</w:t>
            </w:r>
          </w:p>
        </w:tc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G93S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spacing w:after="0" w:line="276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7.2727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spacing w:after="0" w:line="276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trHeight w:val="315" w:hRule="atLeast"/>
        </w:trPr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138</w:t>
            </w:r>
          </w:p>
        </w:tc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138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E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SNP</w:t>
            </w:r>
          </w:p>
        </w:tc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P138Q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0">
            <w:pPr>
              <w:widowControl w:val="0"/>
              <w:spacing w:after="0" w:line="276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3.46287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spacing w:after="0" w:line="276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</w:tr>
      <w:tr>
        <w:trPr>
          <w:trHeight w:val="315" w:hRule="atLeast"/>
        </w:trPr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138</w:t>
            </w:r>
          </w:p>
        </w:tc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138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SNP</w:t>
            </w:r>
          </w:p>
        </w:tc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P138Q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spacing w:after="0" w:line="276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3.46287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spacing w:after="0" w:line="276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0</w:t>
            </w:r>
          </w:p>
        </w:tc>
      </w:tr>
    </w:tbl>
    <w:p w:rsidR="00000000" w:rsidDel="00000000" w:rsidP="00000000" w:rsidRDefault="00000000" w:rsidRPr="00000000" w14:paraId="00000048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Supplemental Table 1</w:t>
      </w:r>
      <w:r w:rsidDel="00000000" w:rsidR="00000000" w:rsidRPr="00000000">
        <w:rPr>
          <w:i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Table of </w:t>
      </w:r>
      <w:r w:rsidDel="00000000" w:rsidR="00000000" w:rsidRPr="00000000">
        <w:rPr>
          <w:i w:val="1"/>
          <w:rtl w:val="0"/>
        </w:rPr>
        <w:t xml:space="preserve">crr </w:t>
      </w:r>
      <w:r w:rsidDel="00000000" w:rsidR="00000000" w:rsidRPr="00000000">
        <w:rPr>
          <w:rtl w:val="0"/>
        </w:rPr>
        <w:t xml:space="preserve">mutation details.</w:t>
      </w:r>
    </w:p>
    <w:p w:rsidR="00000000" w:rsidDel="00000000" w:rsidP="00000000" w:rsidRDefault="00000000" w:rsidRPr="00000000" w14:paraId="00000049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8175.0" w:type="dxa"/>
        <w:jc w:val="left"/>
        <w:tblInd w:w="40.0" w:type="pc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1500"/>
        <w:gridCol w:w="1500"/>
        <w:gridCol w:w="5175"/>
        <w:tblGridChange w:id="0">
          <w:tblGrid>
            <w:gridCol w:w="1500"/>
            <w:gridCol w:w="1500"/>
            <w:gridCol w:w="5175"/>
          </w:tblGrid>
        </w:tblGridChange>
      </w:tblGrid>
      <w:tr>
        <w:trPr>
          <w:trHeight w:val="315" w:hRule="atLeast"/>
        </w:trPr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AA position</w:t>
            </w:r>
          </w:p>
        </w:tc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AA change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C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summary</w:t>
            </w:r>
          </w:p>
        </w:tc>
      </w:tr>
      <w:tr>
        <w:trPr>
          <w:trHeight w:val="315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spacing w:after="0" w:line="276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17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S17A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uncharacterized</w:t>
            </w:r>
          </w:p>
        </w:tc>
      </w:tr>
      <w:tr>
        <w:trPr>
          <w:trHeight w:val="315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spacing w:after="0" w:line="276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34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R34H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uncharacterized</w:t>
            </w:r>
          </w:p>
        </w:tc>
      </w:tr>
      <w:tr>
        <w:trPr>
          <w:trHeight w:val="315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spacing w:after="0" w:line="276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34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R34S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uncharacterized</w:t>
            </w:r>
          </w:p>
        </w:tc>
      </w:tr>
      <w:tr>
        <w:trPr>
          <w:trHeight w:val="315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spacing w:after="0" w:line="276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54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W54L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uncharacterized</w:t>
            </w:r>
          </w:p>
        </w:tc>
      </w:tr>
      <w:tr>
        <w:trPr>
          <w:trHeight w:val="315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spacing w:after="0" w:line="276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55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A55T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uncharacterized</w:t>
            </w:r>
          </w:p>
        </w:tc>
      </w:tr>
      <w:tr>
        <w:trPr>
          <w:trHeight w:val="315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spacing w:after="0" w:line="276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56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T56A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uncharacterized</w:t>
            </w:r>
          </w:p>
        </w:tc>
      </w:tr>
      <w:tr>
        <w:trPr>
          <w:trHeight w:val="315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spacing w:after="0" w:line="276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59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S59Y</w:t>
            </w:r>
          </w:p>
        </w:tc>
        <w:tc>
          <w:tcPr>
            <w:tcBorders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61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subunit interaction interface </w:t>
            </w:r>
            <w:hyperlink r:id="rId7">
              <w:r w:rsidDel="00000000" w:rsidR="00000000" w:rsidRPr="00000000">
                <w:rPr>
                  <w:rFonts w:ascii="Arial" w:cs="Arial" w:eastAsia="Arial" w:hAnsi="Arial"/>
                  <w:b w:val="0"/>
                  <w:color w:val="000000"/>
                  <w:sz w:val="20"/>
                  <w:szCs w:val="20"/>
                  <w:u w:val="none"/>
                  <w:rtl w:val="0"/>
                </w:rPr>
                <w:t xml:space="preserve">(1)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spacing w:after="0" w:line="276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59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S59Y</w:t>
            </w:r>
          </w:p>
        </w:tc>
        <w:tc>
          <w:tcPr>
            <w:tcBorders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subunit interaction interface </w:t>
            </w:r>
            <w:hyperlink r:id="rId8">
              <w:r w:rsidDel="00000000" w:rsidR="00000000" w:rsidRPr="00000000">
                <w:rPr>
                  <w:rFonts w:ascii="Arial" w:cs="Arial" w:eastAsia="Arial" w:hAnsi="Arial"/>
                  <w:b w:val="0"/>
                  <w:color w:val="000000"/>
                  <w:sz w:val="20"/>
                  <w:szCs w:val="20"/>
                  <w:u w:val="none"/>
                  <w:rtl w:val="0"/>
                </w:rPr>
                <w:t xml:space="preserve">(1)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spacing w:after="0" w:line="276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59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S59Y</w:t>
            </w:r>
          </w:p>
        </w:tc>
        <w:tc>
          <w:tcPr>
            <w:tcBorders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subunit interaction interface </w:t>
            </w:r>
            <w:hyperlink r:id="rId9">
              <w:r w:rsidDel="00000000" w:rsidR="00000000" w:rsidRPr="00000000">
                <w:rPr>
                  <w:rFonts w:ascii="Arial" w:cs="Arial" w:eastAsia="Arial" w:hAnsi="Arial"/>
                  <w:b w:val="0"/>
                  <w:color w:val="000000"/>
                  <w:sz w:val="20"/>
                  <w:szCs w:val="20"/>
                  <w:u w:val="none"/>
                  <w:rtl w:val="0"/>
                </w:rPr>
                <w:t xml:space="preserve">(1)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spacing w:after="0" w:line="276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59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S59Y</w:t>
            </w:r>
          </w:p>
        </w:tc>
        <w:tc>
          <w:tcPr>
            <w:tcBorders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subunit interaction interface </w:t>
            </w:r>
            <w:hyperlink r:id="rId10">
              <w:r w:rsidDel="00000000" w:rsidR="00000000" w:rsidRPr="00000000">
                <w:rPr>
                  <w:rFonts w:ascii="Arial" w:cs="Arial" w:eastAsia="Arial" w:hAnsi="Arial"/>
                  <w:b w:val="0"/>
                  <w:color w:val="000000"/>
                  <w:sz w:val="20"/>
                  <w:szCs w:val="20"/>
                  <w:u w:val="none"/>
                  <w:rtl w:val="0"/>
                </w:rPr>
                <w:t xml:space="preserve">(1)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spacing w:after="0" w:line="276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66</w:t>
            </w:r>
          </w:p>
        </w:tc>
        <w:tc>
          <w:tcPr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A66S</w:t>
            </w:r>
          </w:p>
        </w:tc>
        <w:tc>
          <w:tcPr>
            <w:tcBorders>
              <w:right w:color="000000" w:space="0" w:sz="6" w:val="single"/>
            </w:tcBorders>
            <w:shd w:fill="ffffff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associated to FBP binding </w:t>
            </w:r>
            <w:hyperlink r:id="rId11">
              <w:r w:rsidDel="00000000" w:rsidR="00000000" w:rsidRPr="00000000">
                <w:rPr>
                  <w:rFonts w:ascii="Arial" w:cs="Arial" w:eastAsia="Arial" w:hAnsi="Arial"/>
                  <w:b w:val="0"/>
                  <w:color w:val="000000"/>
                  <w:sz w:val="20"/>
                  <w:szCs w:val="20"/>
                  <w:u w:val="none"/>
                  <w:rtl w:val="0"/>
                </w:rPr>
                <w:t xml:space="preserve">(2)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widowControl w:val="0"/>
              <w:spacing w:after="0" w:line="276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73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D73V</w:t>
            </w:r>
          </w:p>
        </w:tc>
        <w:tc>
          <w:tcPr>
            <w:tcBorders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subunit interaction interface </w:t>
            </w:r>
            <w:hyperlink r:id="rId12">
              <w:r w:rsidDel="00000000" w:rsidR="00000000" w:rsidRPr="00000000">
                <w:rPr>
                  <w:rFonts w:ascii="Arial" w:cs="Arial" w:eastAsia="Arial" w:hAnsi="Arial"/>
                  <w:b w:val="0"/>
                  <w:color w:val="000000"/>
                  <w:sz w:val="20"/>
                  <w:szCs w:val="20"/>
                  <w:u w:val="none"/>
                  <w:rtl w:val="0"/>
                </w:rPr>
                <w:t xml:space="preserve">(3)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spacing w:after="0" w:line="276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73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D73V</w:t>
            </w:r>
          </w:p>
        </w:tc>
        <w:tc>
          <w:tcPr>
            <w:tcBorders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subunit interaction interface </w:t>
            </w:r>
            <w:hyperlink r:id="rId13">
              <w:r w:rsidDel="00000000" w:rsidR="00000000" w:rsidRPr="00000000">
                <w:rPr>
                  <w:rFonts w:ascii="Arial" w:cs="Arial" w:eastAsia="Arial" w:hAnsi="Arial"/>
                  <w:b w:val="0"/>
                  <w:color w:val="000000"/>
                  <w:sz w:val="20"/>
                  <w:szCs w:val="20"/>
                  <w:u w:val="none"/>
                  <w:rtl w:val="0"/>
                </w:rPr>
                <w:t xml:space="preserve">(3)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spacing w:after="0" w:line="276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73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D73V</w:t>
            </w:r>
          </w:p>
        </w:tc>
        <w:tc>
          <w:tcPr>
            <w:tcBorders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subunit interaction interface </w:t>
            </w:r>
            <w:hyperlink r:id="rId14">
              <w:r w:rsidDel="00000000" w:rsidR="00000000" w:rsidRPr="00000000">
                <w:rPr>
                  <w:rFonts w:ascii="Arial" w:cs="Arial" w:eastAsia="Arial" w:hAnsi="Arial"/>
                  <w:b w:val="0"/>
                  <w:color w:val="000000"/>
                  <w:sz w:val="20"/>
                  <w:szCs w:val="20"/>
                  <w:u w:val="none"/>
                  <w:rtl w:val="0"/>
                </w:rPr>
                <w:t xml:space="preserve">(3)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spacing w:after="0" w:line="276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73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D73V</w:t>
            </w:r>
          </w:p>
        </w:tc>
        <w:tc>
          <w:tcPr>
            <w:tcBorders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subunit interaction interface </w:t>
            </w:r>
            <w:hyperlink r:id="rId15">
              <w:r w:rsidDel="00000000" w:rsidR="00000000" w:rsidRPr="00000000">
                <w:rPr>
                  <w:rFonts w:ascii="Arial" w:cs="Arial" w:eastAsia="Arial" w:hAnsi="Arial"/>
                  <w:b w:val="0"/>
                  <w:color w:val="000000"/>
                  <w:sz w:val="20"/>
                  <w:szCs w:val="20"/>
                  <w:u w:val="none"/>
                  <w:rtl w:val="0"/>
                </w:rPr>
                <w:t xml:space="preserve">(3)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spacing w:after="0" w:line="276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73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D73A</w:t>
            </w:r>
          </w:p>
        </w:tc>
        <w:tc>
          <w:tcPr>
            <w:tcBorders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subunit interaction interface </w:t>
            </w:r>
            <w:hyperlink r:id="rId16">
              <w:r w:rsidDel="00000000" w:rsidR="00000000" w:rsidRPr="00000000">
                <w:rPr>
                  <w:rFonts w:ascii="Arial" w:cs="Arial" w:eastAsia="Arial" w:hAnsi="Arial"/>
                  <w:b w:val="0"/>
                  <w:color w:val="000000"/>
                  <w:sz w:val="20"/>
                  <w:szCs w:val="20"/>
                  <w:u w:val="none"/>
                  <w:rtl w:val="0"/>
                </w:rPr>
                <w:t xml:space="preserve">(3)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spacing w:after="0" w:line="276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73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D73A</w:t>
            </w:r>
          </w:p>
        </w:tc>
        <w:tc>
          <w:tcPr>
            <w:tcBorders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subunit interaction interface </w:t>
            </w:r>
            <w:hyperlink r:id="rId17">
              <w:r w:rsidDel="00000000" w:rsidR="00000000" w:rsidRPr="00000000">
                <w:rPr>
                  <w:rFonts w:ascii="Arial" w:cs="Arial" w:eastAsia="Arial" w:hAnsi="Arial"/>
                  <w:b w:val="0"/>
                  <w:color w:val="000000"/>
                  <w:sz w:val="20"/>
                  <w:szCs w:val="20"/>
                  <w:u w:val="none"/>
                  <w:rtl w:val="0"/>
                </w:rPr>
                <w:t xml:space="preserve">(3)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spacing w:after="0" w:line="276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96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K96E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uncharacterized</w:t>
            </w:r>
          </w:p>
        </w:tc>
      </w:tr>
      <w:tr>
        <w:trPr>
          <w:trHeight w:val="315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spacing w:after="0" w:line="276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96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K96Q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uncharacterized</w:t>
            </w:r>
          </w:p>
        </w:tc>
      </w:tr>
      <w:tr>
        <w:trPr>
          <w:trHeight w:val="315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spacing w:after="0" w:line="276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96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K96Q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uncharacterized</w:t>
            </w:r>
          </w:p>
        </w:tc>
      </w:tr>
      <w:tr>
        <w:trPr>
          <w:trHeight w:val="315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9">
            <w:pPr>
              <w:widowControl w:val="0"/>
              <w:spacing w:after="0" w:line="276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96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K96Q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uncharacterized</w:t>
            </w:r>
          </w:p>
        </w:tc>
      </w:tr>
      <w:tr>
        <w:trPr>
          <w:trHeight w:val="315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spacing w:after="0" w:line="276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97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P97H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Computationally predicted stability </w:t>
            </w:r>
            <w:hyperlink r:id="rId18">
              <w:r w:rsidDel="00000000" w:rsidR="00000000" w:rsidRPr="00000000">
                <w:rPr>
                  <w:b w:val="0"/>
                  <w:color w:val="000000"/>
                  <w:sz w:val="20"/>
                  <w:szCs w:val="20"/>
                  <w:u w:val="none"/>
                  <w:rtl w:val="0"/>
                </w:rPr>
                <w:t xml:space="preserve">(4)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spacing w:after="0" w:line="276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173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K173T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91">
            <w:pPr>
              <w:widowControl w:val="0"/>
              <w:spacing w:after="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Computationally predicted stability </w:t>
            </w:r>
            <w:hyperlink r:id="rId19">
              <w:r w:rsidDel="00000000" w:rsidR="00000000" w:rsidRPr="00000000">
                <w:rPr>
                  <w:b w:val="0"/>
                  <w:color w:val="000000"/>
                  <w:sz w:val="20"/>
                  <w:szCs w:val="20"/>
                  <w:u w:val="none"/>
                  <w:rtl w:val="0"/>
                </w:rPr>
                <w:t xml:space="preserve">(4)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spacing w:after="0" w:line="276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229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N229H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uncharacterized</w:t>
            </w:r>
          </w:p>
        </w:tc>
      </w:tr>
      <w:tr>
        <w:trPr>
          <w:trHeight w:val="315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spacing w:after="0" w:line="276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229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N229K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uncharacterized</w:t>
            </w:r>
          </w:p>
        </w:tc>
      </w:tr>
      <w:tr>
        <w:trPr>
          <w:trHeight w:val="315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spacing w:after="0" w:line="276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236</w:t>
            </w:r>
          </w:p>
        </w:tc>
        <w:tc>
          <w:tcPr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99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T236K</w:t>
            </w:r>
          </w:p>
        </w:tc>
        <w:tc>
          <w:tcPr>
            <w:tcBorders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FBP binding site </w:t>
            </w:r>
            <w:hyperlink r:id="rId20">
              <w:r w:rsidDel="00000000" w:rsidR="00000000" w:rsidRPr="00000000">
                <w:rPr>
                  <w:rFonts w:ascii="Arial" w:cs="Arial" w:eastAsia="Arial" w:hAnsi="Arial"/>
                  <w:b w:val="0"/>
                  <w:color w:val="000000"/>
                  <w:sz w:val="20"/>
                  <w:szCs w:val="20"/>
                  <w:u w:val="none"/>
                  <w:rtl w:val="0"/>
                </w:rPr>
                <w:t xml:space="preserve">(5)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spacing w:after="0" w:line="276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236</w:t>
            </w:r>
          </w:p>
        </w:tc>
        <w:tc>
          <w:tcPr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T236K</w:t>
            </w:r>
          </w:p>
        </w:tc>
        <w:tc>
          <w:tcPr>
            <w:tcBorders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FBP binding site </w:t>
            </w:r>
            <w:hyperlink r:id="rId21">
              <w:r w:rsidDel="00000000" w:rsidR="00000000" w:rsidRPr="00000000">
                <w:rPr>
                  <w:rFonts w:ascii="Arial" w:cs="Arial" w:eastAsia="Arial" w:hAnsi="Arial"/>
                  <w:b w:val="0"/>
                  <w:color w:val="000000"/>
                  <w:sz w:val="20"/>
                  <w:szCs w:val="20"/>
                  <w:u w:val="none"/>
                  <w:rtl w:val="0"/>
                </w:rPr>
                <w:t xml:space="preserve">(5)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15" w:hRule="atLeast"/>
        </w:trPr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spacing w:after="0" w:line="276" w:lineRule="auto"/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441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A441V</w:t>
            </w:r>
          </w:p>
        </w:tc>
        <w:tc>
          <w:tcPr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spacing w:after="0" w:line="276" w:lineRule="auto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uncharacterized</w:t>
            </w:r>
          </w:p>
        </w:tc>
      </w:tr>
    </w:tbl>
    <w:p w:rsidR="00000000" w:rsidDel="00000000" w:rsidP="00000000" w:rsidRDefault="00000000" w:rsidRPr="00000000" w14:paraId="000000A1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Supplemental Table 2</w:t>
      </w:r>
      <w:r w:rsidDel="00000000" w:rsidR="00000000" w:rsidRPr="00000000">
        <w:rPr>
          <w:i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Table of </w:t>
      </w:r>
      <w:r w:rsidDel="00000000" w:rsidR="00000000" w:rsidRPr="00000000">
        <w:rPr>
          <w:i w:val="1"/>
          <w:rtl w:val="0"/>
        </w:rPr>
        <w:t xml:space="preserve">glpK </w:t>
      </w:r>
      <w:r w:rsidDel="00000000" w:rsidR="00000000" w:rsidRPr="00000000">
        <w:rPr>
          <w:rtl w:val="0"/>
        </w:rPr>
        <w:t xml:space="preserve">SNP details.</w:t>
      </w:r>
    </w:p>
    <w:p w:rsidR="00000000" w:rsidDel="00000000" w:rsidP="00000000" w:rsidRDefault="00000000" w:rsidRPr="00000000" w14:paraId="000000A2">
      <w:pPr>
        <w:spacing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line="24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References</w:t>
      </w:r>
    </w:p>
    <w:p w:rsidR="00000000" w:rsidDel="00000000" w:rsidP="00000000" w:rsidRDefault="00000000" w:rsidRPr="00000000" w14:paraId="000000A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480" w:right="0" w:hanging="480"/>
        <w:jc w:val="left"/>
        <w:rPr/>
      </w:pPr>
      <w:r w:rsidDel="00000000" w:rsidR="00000000" w:rsidRPr="00000000">
        <w:rPr>
          <w:rtl w:val="0"/>
        </w:rPr>
        <w:t xml:space="preserve">1. </w:t>
        <w:tab/>
      </w:r>
      <w:hyperlink r:id="rId22">
        <w:r w:rsidDel="00000000" w:rsidR="00000000" w:rsidRPr="00000000">
          <w:rPr>
            <w:color w:val="000000"/>
            <w:u w:val="none"/>
            <w:rtl w:val="0"/>
          </w:rPr>
          <w:t xml:space="preserve">Bystrom CE, Pettigrew DW, Branchaud BP, O’Brien P, Remington SJ. Crystal structures of Escherichia coli glycerol kinase variant S58--&gt;W in complex with nonhydrolyzable ATP analogues reveal a putative active conformation of the enzyme as a result of domain motion. Biochemistry. 1999 Mar 23;38(12):3508–18.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480" w:right="0" w:hanging="480"/>
        <w:jc w:val="left"/>
        <w:rPr/>
      </w:pPr>
      <w:r w:rsidDel="00000000" w:rsidR="00000000" w:rsidRPr="00000000">
        <w:rPr>
          <w:rtl w:val="0"/>
        </w:rPr>
        <w:t xml:space="preserve">2. </w:t>
        <w:tab/>
      </w:r>
      <w:hyperlink r:id="rId23">
        <w:r w:rsidDel="00000000" w:rsidR="00000000" w:rsidRPr="00000000">
          <w:rPr>
            <w:color w:val="000000"/>
            <w:u w:val="none"/>
            <w:rtl w:val="0"/>
          </w:rPr>
          <w:t xml:space="preserve">Feese MD, Faber HR, Bystrom CE, Pettigrew DW, Remington SJ. Glycerol kinase from Escherichia coli and an Ala65→Thr mutant: the crystal structures reveal conformational changes with implications for allosteric regulation. Structure. 1998 Nov 15;6(11):1407–18.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480" w:right="0" w:hanging="480"/>
        <w:jc w:val="left"/>
        <w:rPr/>
      </w:pPr>
      <w:r w:rsidDel="00000000" w:rsidR="00000000" w:rsidRPr="00000000">
        <w:rPr>
          <w:rtl w:val="0"/>
        </w:rPr>
        <w:t xml:space="preserve">3. </w:t>
        <w:tab/>
      </w:r>
      <w:hyperlink r:id="rId24">
        <w:r w:rsidDel="00000000" w:rsidR="00000000" w:rsidRPr="00000000">
          <w:rPr>
            <w:color w:val="000000"/>
            <w:u w:val="none"/>
            <w:rtl w:val="0"/>
          </w:rPr>
          <w:t xml:space="preserve">Herring CD, Raghunathan A, Honisch C, Patel T, Applebee MK, Joyce AR, et al. Comparative genome sequencing of Escherichia coli allows observation of bacterial evolution on a laboratory timescale. Nat Genet. 2006 Dec;38(12):1406–12.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480" w:right="0" w:hanging="480"/>
        <w:jc w:val="left"/>
        <w:rPr/>
      </w:pPr>
      <w:r w:rsidDel="00000000" w:rsidR="00000000" w:rsidRPr="00000000">
        <w:rPr>
          <w:rtl w:val="0"/>
        </w:rPr>
        <w:t xml:space="preserve">4. </w:t>
        <w:tab/>
      </w:r>
      <w:hyperlink r:id="rId25">
        <w:r w:rsidDel="00000000" w:rsidR="00000000" w:rsidRPr="00000000">
          <w:rPr>
            <w:color w:val="000000"/>
            <w:u w:val="none"/>
            <w:rtl w:val="0"/>
          </w:rPr>
          <w:t xml:space="preserve">Wagih O, Galardini M, Busby BP, Memon D, Typas A, Beltrao P. A resource of variant effect predictions of single nucleotide variants in model organisms. Mol Syst Biol. 2018 Dec 20;14(12):e8430.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40" w:lineRule="auto"/>
        <w:ind w:left="480" w:right="0" w:hanging="480"/>
        <w:jc w:val="left"/>
        <w:rPr/>
      </w:pPr>
      <w:r w:rsidDel="00000000" w:rsidR="00000000" w:rsidRPr="00000000">
        <w:rPr>
          <w:rtl w:val="0"/>
        </w:rPr>
        <w:t xml:space="preserve">5. </w:t>
        <w:tab/>
      </w:r>
      <w:hyperlink r:id="rId26">
        <w:r w:rsidDel="00000000" w:rsidR="00000000" w:rsidRPr="00000000">
          <w:rPr>
            <w:color w:val="000000"/>
            <w:u w:val="none"/>
            <w:rtl w:val="0"/>
          </w:rPr>
          <w:t xml:space="preserve">UniProt Consortium T. UniProt: the universal protein knowledgebase. Nucleic Acids Res. 2018 Mar 16;46(5):2699.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Helvetica Neue" w:cs="Helvetica Neue" w:eastAsia="Helvetica Neue" w:hAnsi="Helvetica Neue"/>
        <w:sz w:val="22"/>
        <w:szCs w:val="22"/>
        <w:lang w:val="en"/>
      </w:rPr>
    </w:rPrDefault>
    <w:pPrDefault>
      <w:pPr>
        <w:spacing w:after="200" w:line="36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paperpile.com/c/Z4cYRv/RN0V5" TargetMode="External"/><Relationship Id="rId22" Type="http://schemas.openxmlformats.org/officeDocument/2006/relationships/hyperlink" Target="http://paperpile.com/b/Z4cYRv/JJ0y" TargetMode="External"/><Relationship Id="rId21" Type="http://schemas.openxmlformats.org/officeDocument/2006/relationships/hyperlink" Target="https://paperpile.com/c/Z4cYRv/RN0V5" TargetMode="External"/><Relationship Id="rId24" Type="http://schemas.openxmlformats.org/officeDocument/2006/relationships/hyperlink" Target="http://paperpile.com/b/Z4cYRv/fu3Bh" TargetMode="External"/><Relationship Id="rId23" Type="http://schemas.openxmlformats.org/officeDocument/2006/relationships/hyperlink" Target="http://paperpile.com/b/Z4cYRv/uBZ5Y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paperpile.com/c/Z4cYRv/JJ0y" TargetMode="External"/><Relationship Id="rId26" Type="http://schemas.openxmlformats.org/officeDocument/2006/relationships/hyperlink" Target="http://paperpile.com/b/Z4cYRv/RN0V5" TargetMode="External"/><Relationship Id="rId25" Type="http://schemas.openxmlformats.org/officeDocument/2006/relationships/hyperlink" Target="http://paperpile.com/b/Z4cYRv/mfiMs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paperpile.com/c/Z4cYRv/JJ0y" TargetMode="External"/><Relationship Id="rId8" Type="http://schemas.openxmlformats.org/officeDocument/2006/relationships/hyperlink" Target="https://paperpile.com/c/Z4cYRv/JJ0y" TargetMode="External"/><Relationship Id="rId11" Type="http://schemas.openxmlformats.org/officeDocument/2006/relationships/hyperlink" Target="https://paperpile.com/c/Z4cYRv/uBZ5Y" TargetMode="External"/><Relationship Id="rId10" Type="http://schemas.openxmlformats.org/officeDocument/2006/relationships/hyperlink" Target="https://paperpile.com/c/Z4cYRv/JJ0y" TargetMode="External"/><Relationship Id="rId13" Type="http://schemas.openxmlformats.org/officeDocument/2006/relationships/hyperlink" Target="https://paperpile.com/c/Z4cYRv/fu3Bh" TargetMode="External"/><Relationship Id="rId12" Type="http://schemas.openxmlformats.org/officeDocument/2006/relationships/hyperlink" Target="https://paperpile.com/c/Z4cYRv/fu3Bh" TargetMode="External"/><Relationship Id="rId15" Type="http://schemas.openxmlformats.org/officeDocument/2006/relationships/hyperlink" Target="https://paperpile.com/c/Z4cYRv/fu3Bh" TargetMode="External"/><Relationship Id="rId14" Type="http://schemas.openxmlformats.org/officeDocument/2006/relationships/hyperlink" Target="https://paperpile.com/c/Z4cYRv/fu3Bh" TargetMode="External"/><Relationship Id="rId17" Type="http://schemas.openxmlformats.org/officeDocument/2006/relationships/hyperlink" Target="https://paperpile.com/c/Z4cYRv/fu3Bh" TargetMode="External"/><Relationship Id="rId16" Type="http://schemas.openxmlformats.org/officeDocument/2006/relationships/hyperlink" Target="https://paperpile.com/c/Z4cYRv/fu3Bh" TargetMode="External"/><Relationship Id="rId19" Type="http://schemas.openxmlformats.org/officeDocument/2006/relationships/hyperlink" Target="https://paperpile.com/c/Z4cYRv/mfiMs" TargetMode="External"/><Relationship Id="rId18" Type="http://schemas.openxmlformats.org/officeDocument/2006/relationships/hyperlink" Target="https://paperpile.com/c/Z4cYRv/mfiMs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