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uto"/>
        <w:jc w:val="center"/>
        <w:outlineLvl w:val="0"/>
        <w:rPr>
          <w:rFonts w:hint="default" w:ascii="Times New Roman" w:hAnsi="Times New Roman" w:eastAsia="宋体" w:cs="Times New Roman"/>
          <w:b/>
          <w:sz w:val="32"/>
          <w:szCs w:val="32"/>
          <w:lang w:val="en-US" w:eastAsia="zh-CN"/>
        </w:rPr>
      </w:pPr>
      <w:r>
        <w:rPr>
          <w:rFonts w:hint="default" w:ascii="Times New Roman" w:hAnsi="Times New Roman" w:cs="Times New Roman"/>
          <w:b/>
          <w:sz w:val="32"/>
          <w:szCs w:val="32"/>
        </w:rPr>
        <w:t>Additional file</w:t>
      </w:r>
      <w:r>
        <w:rPr>
          <w:rFonts w:hint="default" w:ascii="Times New Roman" w:hAnsi="Times New Roman" w:cs="Times New Roman"/>
          <w:b/>
          <w:color w:val="auto"/>
          <w:sz w:val="32"/>
          <w:szCs w:val="32"/>
          <w:lang w:val="en-US" w:eastAsia="zh-CN"/>
        </w:rPr>
        <w:t xml:space="preserve"> 1</w:t>
      </w:r>
    </w:p>
    <w:p>
      <w:pPr>
        <w:adjustRightInd w:val="0"/>
        <w:snapToGrid w:val="0"/>
        <w:spacing w:line="480" w:lineRule="auto"/>
        <w:outlineLvl w:val="0"/>
        <w:rPr>
          <w:rFonts w:ascii="Times New Roman" w:hAnsi="Times New Roman" w:cs="Times New Roman"/>
          <w:b/>
          <w:sz w:val="24"/>
        </w:rPr>
      </w:pPr>
      <w:r>
        <w:rPr>
          <w:rFonts w:ascii="Times New Roman" w:hAnsi="Times New Roman" w:cs="Times New Roman"/>
          <w:b/>
          <w:sz w:val="24"/>
        </w:rPr>
        <w:t>Supplementary Tables</w:t>
      </w:r>
    </w:p>
    <w:p>
      <w:pPr>
        <w:adjustRightInd w:val="0"/>
        <w:snapToGrid w:val="0"/>
        <w:spacing w:line="480" w:lineRule="auto"/>
        <w:rPr>
          <w:rFonts w:ascii="Times New Roman" w:hAnsi="Times New Roman" w:cs="Times New Roman"/>
          <w:bCs/>
          <w:sz w:val="20"/>
          <w:szCs w:val="20"/>
        </w:rPr>
      </w:pPr>
      <w:r>
        <w:rPr>
          <w:rFonts w:ascii="Times New Roman" w:hAnsi="Times New Roman" w:cs="Times New Roman"/>
          <w:b/>
          <w:sz w:val="24"/>
        </w:rPr>
        <w:t>Table S1</w:t>
      </w:r>
      <w:r>
        <w:rPr>
          <w:rFonts w:ascii="Times New Roman" w:hAnsi="Times New Roman" w:cs="Times New Roman"/>
          <w:b/>
          <w:sz w:val="20"/>
          <w:szCs w:val="20"/>
        </w:rPr>
        <w:t xml:space="preserve">: </w:t>
      </w:r>
      <w:r>
        <w:rPr>
          <w:rFonts w:ascii="Times New Roman" w:hAnsi="Times New Roman" w:cs="Times New Roman"/>
          <w:sz w:val="20"/>
        </w:rPr>
        <w:t xml:space="preserve">Summary of the whole-genome </w:t>
      </w:r>
      <w:r>
        <w:rPr>
          <w:rFonts w:ascii="Times New Roman" w:hAnsi="Times New Roman" w:cs="Times New Roman"/>
          <w:sz w:val="20"/>
          <w:szCs w:val="20"/>
        </w:rPr>
        <w:t>bisulﬁte</w:t>
      </w:r>
      <w:r>
        <w:rPr>
          <w:rFonts w:ascii="Times New Roman" w:hAnsi="Times New Roman" w:cs="Times New Roman"/>
          <w:sz w:val="20"/>
        </w:rPr>
        <w:t xml:space="preserve"> sequencing data. </w:t>
      </w:r>
      <w:r>
        <w:rPr>
          <w:rFonts w:ascii="Times New Roman" w:hAnsi="Times New Roman" w:cs="Times New Roman"/>
          <w:bCs/>
          <w:sz w:val="20"/>
          <w:szCs w:val="20"/>
        </w:rPr>
        <w:t>TC1, TC2, and TC3 are the three biological repeats for the heat-tolerant rice strain under control conditions, while TT1, TT2, and TT3 represent the heat-tolerant rice strain under experimental conditions. Similarly, SC1, SC2, and SC3 are the three biological repeats under control conditions, while ST1, ST2, and ST3 represent the heat-sensitive strain under experimental conditions.</w:t>
      </w:r>
    </w:p>
    <w:tbl>
      <w:tblPr>
        <w:tblStyle w:val="16"/>
        <w:tblW w:w="9848" w:type="dxa"/>
        <w:jc w:val="center"/>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26"/>
        <w:gridCol w:w="1016"/>
        <w:gridCol w:w="2126"/>
        <w:gridCol w:w="2075"/>
        <w:gridCol w:w="2075"/>
        <w:gridCol w:w="1430"/>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vMerge w:val="restart"/>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textAlignment w:val="bottom"/>
              <w:rPr>
                <w:rFonts w:ascii="Arial" w:hAnsi="Arial" w:cs="Arial"/>
                <w:b/>
                <w:sz w:val="16"/>
                <w:szCs w:val="16"/>
              </w:rPr>
            </w:pPr>
            <w:r>
              <w:rPr>
                <w:rFonts w:ascii="Arial" w:hAnsi="Arial" w:cs="Arial"/>
                <w:b/>
                <w:sz w:val="16"/>
                <w:szCs w:val="16"/>
              </w:rPr>
              <w:t>Sample</w:t>
            </w:r>
          </w:p>
        </w:tc>
        <w:tc>
          <w:tcPr>
            <w:tcW w:w="1016" w:type="dxa"/>
            <w:vMerge w:val="restart"/>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textAlignment w:val="center"/>
              <w:rPr>
                <w:rFonts w:ascii="Arial" w:hAnsi="Arial" w:cs="Arial"/>
                <w:b/>
                <w:color w:val="000000"/>
                <w:kern w:val="0"/>
                <w:sz w:val="16"/>
                <w:szCs w:val="16"/>
              </w:rPr>
            </w:pPr>
            <w:r>
              <w:rPr>
                <w:rFonts w:ascii="Arial" w:hAnsi="Arial" w:cs="Arial"/>
                <w:b/>
                <w:color w:val="000000"/>
                <w:kern w:val="0"/>
                <w:sz w:val="16"/>
                <w:szCs w:val="16"/>
              </w:rPr>
              <w:t>Number of raw reads</w:t>
            </w:r>
            <w:r>
              <w:rPr>
                <w:rFonts w:hint="eastAsia" w:ascii="Arial" w:hAnsi="Arial" w:cs="Arial"/>
                <w:b/>
                <w:color w:val="000000"/>
                <w:kern w:val="0"/>
                <w:sz w:val="16"/>
                <w:szCs w:val="16"/>
              </w:rPr>
              <w:t xml:space="preserve"> </w:t>
            </w:r>
            <w:r>
              <w:rPr>
                <w:rFonts w:ascii="Arial" w:hAnsi="Times New Roman" w:cs="Arial"/>
                <w:b/>
                <w:color w:val="000000"/>
                <w:kern w:val="0"/>
                <w:sz w:val="16"/>
                <w:szCs w:val="16"/>
              </w:rPr>
              <w:t xml:space="preserve"> (</w:t>
            </w:r>
            <w:r>
              <w:rPr>
                <w:rFonts w:ascii="Arial" w:hAnsi="Arial" w:cs="Arial"/>
                <w:b/>
                <w:color w:val="000000"/>
                <w:kern w:val="0"/>
                <w:sz w:val="16"/>
                <w:szCs w:val="16"/>
              </w:rPr>
              <w:t>millions</w:t>
            </w:r>
            <w:r>
              <w:rPr>
                <w:rFonts w:ascii="Arial" w:hAnsi="Times New Roman" w:cs="Arial"/>
                <w:b/>
                <w:color w:val="000000"/>
                <w:kern w:val="0"/>
                <w:sz w:val="16"/>
                <w:szCs w:val="16"/>
              </w:rPr>
              <w:t>)</w:t>
            </w:r>
          </w:p>
        </w:tc>
        <w:tc>
          <w:tcPr>
            <w:tcW w:w="2126" w:type="dxa"/>
            <w:vMerge w:val="restart"/>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textAlignment w:val="center"/>
              <w:rPr>
                <w:rFonts w:ascii="Arial" w:hAnsi="Arial" w:cs="Arial"/>
                <w:b/>
                <w:color w:val="000000"/>
                <w:kern w:val="0"/>
                <w:sz w:val="16"/>
                <w:szCs w:val="16"/>
              </w:rPr>
            </w:pPr>
            <w:r>
              <w:rPr>
                <w:rFonts w:ascii="Arial" w:hAnsi="Arial" w:cs="Arial"/>
                <w:b/>
                <w:color w:val="000000"/>
                <w:kern w:val="0"/>
                <w:sz w:val="16"/>
                <w:szCs w:val="16"/>
              </w:rPr>
              <w:t>Number of clean reads (millions, % of raw reads)</w:t>
            </w:r>
          </w:p>
        </w:tc>
        <w:tc>
          <w:tcPr>
            <w:tcW w:w="4150" w:type="dxa"/>
            <w:gridSpan w:val="2"/>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Unique best-mapped reads</w:t>
            </w:r>
          </w:p>
        </w:tc>
        <w:tc>
          <w:tcPr>
            <w:tcW w:w="1430" w:type="dxa"/>
            <w:vMerge w:val="restart"/>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Bisulfite conversion rate</w:t>
            </w:r>
          </w:p>
          <w:p>
            <w:pPr>
              <w:adjustRightInd w:val="0"/>
              <w:snapToGrid w:val="0"/>
              <w:jc w:val="center"/>
              <w:rPr>
                <w:rFonts w:ascii="Arial" w:hAnsi="Arial" w:cs="Arial"/>
                <w:b/>
                <w:sz w:val="16"/>
                <w:szCs w:val="16"/>
              </w:rPr>
            </w:pPr>
            <w:r>
              <w:rPr>
                <w:rFonts w:ascii="Arial" w:hAnsi="Arial" w:cs="Arial"/>
                <w:b/>
                <w:sz w:val="16"/>
                <w:szCs w:val="16"/>
              </w:rPr>
              <w:t>(%)</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1" w:hRule="exact"/>
          <w:jc w:val="center"/>
        </w:trPr>
        <w:tc>
          <w:tcPr>
            <w:tcW w:w="1126" w:type="dxa"/>
            <w:vMerge w:val="continue"/>
            <w:tcBorders>
              <w:top w:val="nil"/>
              <w:bottom w:val="single" w:color="000000" w:sz="4" w:space="0"/>
            </w:tcBorders>
            <w:shd w:val="clear" w:color="auto" w:fill="auto"/>
            <w:tcMar>
              <w:top w:w="15" w:type="dxa"/>
              <w:left w:w="15" w:type="dxa"/>
              <w:bottom w:w="15" w:type="dxa"/>
              <w:right w:w="15" w:type="dxa"/>
            </w:tcMar>
            <w:vAlign w:val="center"/>
          </w:tcPr>
          <w:p>
            <w:pPr>
              <w:adjustRightInd w:val="0"/>
              <w:snapToGrid w:val="0"/>
              <w:rPr>
                <w:rFonts w:ascii="Arial" w:hAnsi="Arial" w:cs="Arial"/>
                <w:sz w:val="16"/>
                <w:szCs w:val="16"/>
              </w:rPr>
            </w:pPr>
          </w:p>
        </w:tc>
        <w:tc>
          <w:tcPr>
            <w:tcW w:w="1016" w:type="dxa"/>
            <w:vMerge w:val="continue"/>
            <w:tcBorders>
              <w:top w:val="nil"/>
              <w:bottom w:val="single" w:color="000000" w:sz="4" w:space="0"/>
            </w:tcBorders>
            <w:shd w:val="clear" w:color="auto" w:fill="auto"/>
            <w:tcMar>
              <w:top w:w="15" w:type="dxa"/>
              <w:left w:w="15" w:type="dxa"/>
              <w:bottom w:w="15" w:type="dxa"/>
              <w:right w:w="15" w:type="dxa"/>
            </w:tcMar>
            <w:vAlign w:val="center"/>
          </w:tcPr>
          <w:p>
            <w:pPr>
              <w:adjustRightInd w:val="0"/>
              <w:snapToGrid w:val="0"/>
              <w:rPr>
                <w:rFonts w:ascii="Arial" w:hAnsi="Arial" w:cs="Arial"/>
                <w:sz w:val="16"/>
                <w:szCs w:val="16"/>
              </w:rPr>
            </w:pPr>
          </w:p>
        </w:tc>
        <w:tc>
          <w:tcPr>
            <w:tcW w:w="2126" w:type="dxa"/>
            <w:vMerge w:val="continue"/>
            <w:tcBorders>
              <w:top w:val="nil"/>
              <w:bottom w:val="single" w:color="000000" w:sz="4" w:space="0"/>
            </w:tcBorders>
            <w:shd w:val="clear" w:color="auto" w:fill="auto"/>
            <w:tcMar>
              <w:top w:w="15" w:type="dxa"/>
              <w:left w:w="15" w:type="dxa"/>
              <w:bottom w:w="15" w:type="dxa"/>
              <w:right w:w="15" w:type="dxa"/>
            </w:tcMar>
            <w:vAlign w:val="center"/>
          </w:tcPr>
          <w:p>
            <w:pPr>
              <w:adjustRightInd w:val="0"/>
              <w:snapToGrid w:val="0"/>
              <w:rPr>
                <w:rFonts w:ascii="Arial" w:hAnsi="Arial" w:cs="Arial"/>
                <w:sz w:val="16"/>
                <w:szCs w:val="16"/>
              </w:rPr>
            </w:pPr>
          </w:p>
        </w:tc>
        <w:tc>
          <w:tcPr>
            <w:tcW w:w="2075" w:type="dxa"/>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b/>
                <w:sz w:val="16"/>
                <w:szCs w:val="16"/>
              </w:rPr>
              <w:t>Number</w:t>
            </w:r>
            <w:r>
              <w:rPr>
                <w:rFonts w:hint="eastAsia" w:ascii="Arial" w:hAnsi="Times New Roman" w:cs="Arial"/>
                <w:b/>
                <w:color w:val="000000"/>
                <w:kern w:val="0"/>
                <w:sz w:val="16"/>
                <w:szCs w:val="16"/>
              </w:rPr>
              <w:t xml:space="preserve"> (</w:t>
            </w:r>
            <w:r>
              <w:rPr>
                <w:rFonts w:ascii="Arial" w:hAnsi="Arial" w:cs="Arial"/>
                <w:b/>
                <w:color w:val="000000"/>
                <w:kern w:val="0"/>
                <w:sz w:val="16"/>
                <w:szCs w:val="16"/>
              </w:rPr>
              <w:t xml:space="preserve">millions, % of </w:t>
            </w:r>
            <w:r>
              <w:rPr>
                <w:rFonts w:hint="eastAsia" w:ascii="Arial" w:hAnsi="Arial" w:cs="Arial"/>
                <w:b/>
                <w:color w:val="000000"/>
                <w:kern w:val="0"/>
                <w:sz w:val="16"/>
                <w:szCs w:val="16"/>
              </w:rPr>
              <w:t>clean</w:t>
            </w:r>
            <w:r>
              <w:rPr>
                <w:rFonts w:ascii="Arial" w:hAnsi="Arial" w:cs="Arial"/>
                <w:b/>
                <w:color w:val="000000"/>
                <w:kern w:val="0"/>
                <w:sz w:val="16"/>
                <w:szCs w:val="16"/>
              </w:rPr>
              <w:t xml:space="preserve"> reads</w:t>
            </w:r>
            <w:r>
              <w:rPr>
                <w:rFonts w:ascii="Arial" w:hAnsi="Arial" w:cs="Arial"/>
                <w:b/>
                <w:sz w:val="16"/>
                <w:szCs w:val="16"/>
              </w:rPr>
              <w:t>)</w:t>
            </w:r>
          </w:p>
        </w:tc>
        <w:tc>
          <w:tcPr>
            <w:tcW w:w="2075" w:type="dxa"/>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Genome coverage</w:t>
            </w:r>
          </w:p>
          <w:p>
            <w:pPr>
              <w:adjustRightInd w:val="0"/>
              <w:snapToGrid w:val="0"/>
              <w:jc w:val="center"/>
              <w:rPr>
                <w:rFonts w:ascii="Arial" w:hAnsi="Arial" w:cs="Arial"/>
                <w:b/>
                <w:sz w:val="16"/>
                <w:szCs w:val="16"/>
              </w:rPr>
            </w:pPr>
            <w:r>
              <w:rPr>
                <w:rFonts w:ascii="Arial" w:hAnsi="Arial" w:cs="Arial"/>
                <w:b/>
                <w:sz w:val="16"/>
                <w:szCs w:val="16"/>
              </w:rPr>
              <w:t>(%)</w:t>
            </w:r>
          </w:p>
        </w:tc>
        <w:tc>
          <w:tcPr>
            <w:tcW w:w="1430" w:type="dxa"/>
            <w:vMerge w:val="continue"/>
            <w:tcBorders>
              <w:top w:val="nil"/>
              <w:bottom w:val="single" w:color="000000" w:sz="4" w:space="0"/>
            </w:tcBorders>
            <w:shd w:val="clear" w:color="auto" w:fill="auto"/>
            <w:tcMar>
              <w:top w:w="15" w:type="dxa"/>
              <w:left w:w="15" w:type="dxa"/>
              <w:bottom w:w="15" w:type="dxa"/>
              <w:right w:w="15" w:type="dxa"/>
            </w:tcMar>
            <w:vAlign w:val="center"/>
          </w:tcPr>
          <w:p>
            <w:pPr>
              <w:adjustRightInd w:val="0"/>
              <w:snapToGrid w:val="0"/>
              <w:rPr>
                <w:rFonts w:ascii="Arial" w:hAnsi="Arial" w:cs="Arial"/>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tcBorders>
              <w:top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TC1</w:t>
            </w:r>
          </w:p>
        </w:tc>
        <w:tc>
          <w:tcPr>
            <w:tcW w:w="1016" w:type="dxa"/>
            <w:tcBorders>
              <w:top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61.85</w:t>
            </w:r>
          </w:p>
        </w:tc>
        <w:tc>
          <w:tcPr>
            <w:tcW w:w="2126" w:type="dxa"/>
            <w:tcBorders>
              <w:top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54.35 (87.9)</w:t>
            </w:r>
          </w:p>
        </w:tc>
        <w:tc>
          <w:tcPr>
            <w:tcW w:w="2075" w:type="dxa"/>
            <w:tcBorders>
              <w:top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24.4</w:t>
            </w:r>
            <w:r>
              <w:rPr>
                <w:rFonts w:hint="eastAsia" w:ascii="Arial" w:hAnsi="Arial" w:cs="Arial"/>
                <w:color w:val="000000"/>
                <w:sz w:val="16"/>
                <w:szCs w:val="16"/>
              </w:rPr>
              <w:t>9</w:t>
            </w:r>
            <w:r>
              <w:rPr>
                <w:rFonts w:ascii="Arial" w:hAnsi="Arial" w:cs="Arial"/>
                <w:color w:val="000000"/>
                <w:sz w:val="16"/>
                <w:szCs w:val="16"/>
              </w:rPr>
              <w:t xml:space="preserve"> (45.</w:t>
            </w:r>
            <w:r>
              <w:rPr>
                <w:rFonts w:hint="eastAsia" w:ascii="Arial" w:hAnsi="Arial" w:cs="Arial"/>
                <w:color w:val="000000"/>
                <w:sz w:val="16"/>
                <w:szCs w:val="16"/>
              </w:rPr>
              <w:t>1</w:t>
            </w:r>
            <w:r>
              <w:rPr>
                <w:rFonts w:ascii="Arial" w:hAnsi="Arial" w:cs="Arial"/>
                <w:color w:val="000000"/>
                <w:sz w:val="16"/>
                <w:szCs w:val="16"/>
              </w:rPr>
              <w:t>)</w:t>
            </w:r>
          </w:p>
        </w:tc>
        <w:tc>
          <w:tcPr>
            <w:tcW w:w="2075" w:type="dxa"/>
            <w:tcBorders>
              <w:top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73.8</w:t>
            </w:r>
          </w:p>
        </w:tc>
        <w:tc>
          <w:tcPr>
            <w:tcW w:w="1430" w:type="dxa"/>
            <w:tcBorders>
              <w:top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TC2</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70.97</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63.11 (88.9)</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29.39 (46.6)</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75.2</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TC3</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45.83</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45.25 (98.7)</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16.76 (37.0)</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68.6</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99.6</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TT1</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55.32</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49.96 (90.3)</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24.17 (48.4)</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73.7</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TT2</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57.76</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49.95 (86.5)</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24.70 (49.4)</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74.2</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TT3</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60.72</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51.82 (85.3)</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25.64 (49.5)</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74.5</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SC1</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52.18</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44.13 (84.6)</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21.54 (48.8)</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72.5</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SC2</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47.22</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43.70 (92.5)</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23.32 (53.4)</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73.7</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SC3</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65.69</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56.2</w:t>
            </w:r>
            <w:r>
              <w:rPr>
                <w:rFonts w:hint="eastAsia" w:ascii="Arial" w:hAnsi="Arial" w:cs="Arial"/>
                <w:color w:val="000000"/>
                <w:sz w:val="16"/>
                <w:szCs w:val="16"/>
              </w:rPr>
              <w:t>9</w:t>
            </w:r>
            <w:r>
              <w:rPr>
                <w:rFonts w:ascii="Arial" w:hAnsi="Arial" w:cs="Arial"/>
                <w:color w:val="000000"/>
                <w:sz w:val="16"/>
                <w:szCs w:val="16"/>
              </w:rPr>
              <w:t xml:space="preserve"> (85.</w:t>
            </w:r>
            <w:r>
              <w:rPr>
                <w:rFonts w:hint="eastAsia" w:ascii="Arial" w:hAnsi="Arial" w:cs="Arial"/>
                <w:color w:val="000000"/>
                <w:sz w:val="16"/>
                <w:szCs w:val="16"/>
              </w:rPr>
              <w:t>7</w:t>
            </w:r>
            <w:r>
              <w:rPr>
                <w:rFonts w:ascii="Arial" w:hAnsi="Arial" w:cs="Arial"/>
                <w:color w:val="000000"/>
                <w:sz w:val="16"/>
                <w:szCs w:val="16"/>
              </w:rPr>
              <w:t>)</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26.95 (47.9)</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74.5</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ST1</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56.83</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43.76 (77.0)</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21.21 (48.5)</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73.2</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ST2</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58.81</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47.03 (80.0)</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23.15 (49.2)</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73.3</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ST3</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56.07</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46.20 (82.4)</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23.27 (50.4)</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73.8</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99.4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Total</w:t>
            </w:r>
          </w:p>
        </w:tc>
        <w:tc>
          <w:tcPr>
            <w:tcW w:w="101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highlight w:val="yellow"/>
              </w:rPr>
            </w:pPr>
            <w:r>
              <w:rPr>
                <w:rFonts w:ascii="Arial" w:hAnsi="Arial" w:cs="Arial"/>
                <w:color w:val="000000"/>
                <w:sz w:val="16"/>
                <w:szCs w:val="16"/>
              </w:rPr>
              <w:t>689.2</w:t>
            </w:r>
            <w:r>
              <w:rPr>
                <w:rFonts w:hint="eastAsia" w:ascii="Arial" w:hAnsi="Arial" w:cs="Arial"/>
                <w:color w:val="000000"/>
                <w:sz w:val="16"/>
                <w:szCs w:val="16"/>
              </w:rPr>
              <w:t>6</w:t>
            </w:r>
          </w:p>
        </w:tc>
        <w:tc>
          <w:tcPr>
            <w:tcW w:w="2126"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highlight w:val="yellow"/>
              </w:rPr>
            </w:pPr>
            <w:r>
              <w:rPr>
                <w:rFonts w:ascii="Arial" w:hAnsi="Arial" w:cs="Arial"/>
                <w:color w:val="000000"/>
                <w:sz w:val="16"/>
                <w:szCs w:val="16"/>
              </w:rPr>
              <w:t>595.5</w:t>
            </w:r>
            <w:r>
              <w:rPr>
                <w:rFonts w:hint="eastAsia" w:ascii="Arial" w:hAnsi="Arial" w:cs="Arial"/>
                <w:color w:val="000000"/>
                <w:sz w:val="16"/>
                <w:szCs w:val="16"/>
              </w:rPr>
              <w:t>5</w:t>
            </w:r>
            <w:r>
              <w:rPr>
                <w:rFonts w:ascii="Arial" w:hAnsi="Arial" w:cs="Arial"/>
                <w:color w:val="000000"/>
                <w:sz w:val="16"/>
                <w:szCs w:val="16"/>
              </w:rPr>
              <w:t xml:space="preserve"> (86.4)</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highlight w:val="yellow"/>
              </w:rPr>
            </w:pPr>
            <w:r>
              <w:rPr>
                <w:rFonts w:ascii="Arial" w:hAnsi="Arial" w:cs="Arial"/>
                <w:color w:val="000000"/>
                <w:sz w:val="16"/>
                <w:szCs w:val="16"/>
              </w:rPr>
              <w:t>284.</w:t>
            </w:r>
            <w:r>
              <w:rPr>
                <w:rFonts w:hint="eastAsia" w:ascii="Arial" w:hAnsi="Arial" w:cs="Arial"/>
                <w:color w:val="000000"/>
                <w:sz w:val="16"/>
                <w:szCs w:val="16"/>
              </w:rPr>
              <w:t xml:space="preserve">60 </w:t>
            </w:r>
            <w:r>
              <w:rPr>
                <w:rFonts w:ascii="Arial" w:hAnsi="Arial" w:cs="Arial"/>
                <w:color w:val="000000"/>
                <w:sz w:val="16"/>
                <w:szCs w:val="16"/>
              </w:rPr>
              <w:t>(47.8)</w:t>
            </w:r>
          </w:p>
        </w:tc>
        <w:tc>
          <w:tcPr>
            <w:tcW w:w="2075"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Times New Roman" w:hAnsi="Times New Roman" w:cs="Times New Roman"/>
                <w:color w:val="FF0000"/>
                <w:kern w:val="0"/>
                <w:sz w:val="20"/>
                <w:szCs w:val="20"/>
              </w:rPr>
              <w:t>–</w:t>
            </w:r>
          </w:p>
        </w:tc>
        <w:tc>
          <w:tcPr>
            <w:tcW w:w="1430"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Times New Roman" w:hAnsi="Times New Roman" w:cs="Times New Roman"/>
                <w:color w:val="FF0000"/>
                <w:kern w:val="0"/>
                <w:sz w:val="20"/>
                <w:szCs w:val="20"/>
              </w:rPr>
              <w:t>–</w:t>
            </w:r>
          </w:p>
        </w:tc>
      </w:tr>
    </w:tbl>
    <w:p>
      <w:pPr>
        <w:adjustRightInd w:val="0"/>
        <w:snapToGrid w:val="0"/>
        <w:spacing w:before="936" w:beforeLines="300" w:line="480" w:lineRule="auto"/>
        <w:rPr>
          <w:rFonts w:ascii="Times New Roman" w:hAnsi="Times New Roman" w:cs="Times New Roman"/>
          <w:bCs/>
          <w:sz w:val="20"/>
          <w:szCs w:val="20"/>
        </w:rPr>
      </w:pPr>
      <w:r>
        <w:rPr>
          <w:rFonts w:ascii="Times New Roman" w:hAnsi="Times New Roman" w:cs="Times New Roman"/>
          <w:b/>
          <w:sz w:val="20"/>
          <w:szCs w:val="20"/>
        </w:rPr>
        <w:t>Table S2:</w:t>
      </w:r>
      <w:r>
        <w:rPr>
          <w:rFonts w:ascii="Times New Roman" w:hAnsi="Times New Roman" w:cs="Times New Roman"/>
          <w:sz w:val="20"/>
        </w:rPr>
        <w:t xml:space="preserve"> Number of genome-wide covered </w:t>
      </w:r>
      <w:r>
        <w:rPr>
          <w:rFonts w:ascii="Times New Roman" w:hAnsi="Times New Roman" w:cs="Times New Roman"/>
          <w:sz w:val="20"/>
          <w:szCs w:val="20"/>
        </w:rPr>
        <w:t>cytosines</w:t>
      </w:r>
      <w:r>
        <w:rPr>
          <w:rFonts w:ascii="Times New Roman" w:hAnsi="Times New Roman" w:cs="Times New Roman"/>
          <w:sz w:val="20"/>
        </w:rPr>
        <w:t xml:space="preserve"> and methylated </w:t>
      </w:r>
      <w:r>
        <w:rPr>
          <w:rFonts w:ascii="Times New Roman" w:hAnsi="Times New Roman" w:cs="Times New Roman"/>
          <w:sz w:val="20"/>
          <w:szCs w:val="20"/>
        </w:rPr>
        <w:t>cytosines.</w:t>
      </w:r>
      <w:r>
        <w:rPr>
          <w:rFonts w:ascii="Times New Roman" w:hAnsi="Times New Roman" w:cs="Times New Roman"/>
          <w:bCs/>
          <w:sz w:val="20"/>
          <w:szCs w:val="20"/>
        </w:rPr>
        <w:t xml:space="preserve"> </w:t>
      </w:r>
      <w:r>
        <w:rPr>
          <w:rFonts w:ascii="Times New Roman" w:hAnsi="Times New Roman" w:cs="Times New Roman"/>
          <w:sz w:val="20"/>
        </w:rPr>
        <w:t>mC</w:t>
      </w:r>
      <w:r>
        <w:rPr>
          <w:rFonts w:ascii="Times New Roman" w:hAnsi="Times New Roman" w:cs="Times New Roman"/>
          <w:bCs/>
          <w:sz w:val="20"/>
          <w:szCs w:val="20"/>
        </w:rPr>
        <w:t>, methylated cytosine;</w:t>
      </w:r>
      <w:r>
        <w:rPr>
          <w:rFonts w:ascii="Times New Roman" w:hAnsi="Times New Roman" w:cs="Times New Roman"/>
          <w:sz w:val="20"/>
        </w:rPr>
        <w:t xml:space="preserve"> </w:t>
      </w:r>
      <w:r>
        <w:rPr>
          <w:rFonts w:ascii="Times New Roman" w:hAnsi="Times New Roman" w:cs="Times New Roman"/>
          <w:bCs/>
          <w:sz w:val="20"/>
          <w:szCs w:val="20"/>
        </w:rPr>
        <w:t>TC and TT represent the heat-tolerant rice strain under control and experimental conditions, respectively; TC1–3 and TT1–3 represent biological replicates. SC and ST represent the heat-sensitive rice strain under control and experimental conditions, respectively; SC1–3 and ST1–3 represent biological replicates. CG, CHG, and CHH represent three different cytosine contexts.</w:t>
      </w:r>
    </w:p>
    <w:tbl>
      <w:tblPr>
        <w:tblStyle w:val="16"/>
        <w:tblW w:w="9802" w:type="dxa"/>
        <w:jc w:val="center"/>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2"/>
        <w:gridCol w:w="567"/>
        <w:gridCol w:w="1183"/>
        <w:gridCol w:w="992"/>
        <w:gridCol w:w="993"/>
        <w:gridCol w:w="992"/>
        <w:gridCol w:w="1096"/>
        <w:gridCol w:w="813"/>
        <w:gridCol w:w="861"/>
        <w:gridCol w:w="861"/>
        <w:gridCol w:w="862"/>
      </w:tblGrid>
      <w:tr>
        <w:tblPrEx>
          <w:tblLayout w:type="fixed"/>
          <w:tblCellMar>
            <w:top w:w="0" w:type="dxa"/>
            <w:left w:w="108" w:type="dxa"/>
            <w:bottom w:w="0" w:type="dxa"/>
            <w:right w:w="108" w:type="dxa"/>
          </w:tblCellMar>
        </w:tblPrEx>
        <w:trPr>
          <w:trHeight w:val="567" w:hRule="exact"/>
          <w:jc w:val="center"/>
        </w:trPr>
        <w:tc>
          <w:tcPr>
            <w:tcW w:w="1149" w:type="dxa"/>
            <w:gridSpan w:val="2"/>
            <w:vMerge w:val="restart"/>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textAlignment w:val="bottom"/>
              <w:rPr>
                <w:rFonts w:ascii="Arial" w:hAnsi="Arial" w:cs="Arial"/>
                <w:b/>
                <w:sz w:val="16"/>
                <w:szCs w:val="16"/>
              </w:rPr>
            </w:pPr>
            <w:r>
              <w:rPr>
                <w:rFonts w:ascii="Arial" w:hAnsi="Arial" w:cs="Arial"/>
                <w:b/>
                <w:sz w:val="16"/>
                <w:szCs w:val="16"/>
              </w:rPr>
              <w:t>Sample</w:t>
            </w:r>
          </w:p>
        </w:tc>
        <w:tc>
          <w:tcPr>
            <w:tcW w:w="4160" w:type="dxa"/>
            <w:gridSpan w:val="4"/>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 xml:space="preserve">Covered </w:t>
            </w:r>
            <w:r>
              <w:rPr>
                <w:rFonts w:hint="eastAsia" w:ascii="Arial" w:hAnsi="Arial" w:cs="Arial"/>
                <w:b/>
                <w:sz w:val="16"/>
                <w:szCs w:val="16"/>
              </w:rPr>
              <w:t>cytosine</w:t>
            </w:r>
            <w:r>
              <w:rPr>
                <w:rFonts w:ascii="Arial" w:hAnsi="Arial" w:cs="Arial"/>
                <w:b/>
                <w:sz w:val="16"/>
                <w:szCs w:val="16"/>
              </w:rPr>
              <w:t>s (millions)</w:t>
            </w:r>
          </w:p>
        </w:tc>
        <w:tc>
          <w:tcPr>
            <w:tcW w:w="1096" w:type="dxa"/>
            <w:vMerge w:val="restart"/>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Total number of mCs</w:t>
            </w:r>
          </w:p>
          <w:p>
            <w:pPr>
              <w:adjustRightInd w:val="0"/>
              <w:snapToGrid w:val="0"/>
              <w:jc w:val="center"/>
              <w:rPr>
                <w:rFonts w:ascii="Arial" w:hAnsi="Arial" w:cs="Arial"/>
                <w:b/>
                <w:sz w:val="16"/>
                <w:szCs w:val="16"/>
              </w:rPr>
            </w:pPr>
            <w:r>
              <w:rPr>
                <w:rFonts w:hint="eastAsia" w:ascii="Arial" w:hAnsi="Arial" w:cs="Arial"/>
                <w:b/>
                <w:sz w:val="16"/>
                <w:szCs w:val="16"/>
              </w:rPr>
              <w:t>(%)</w:t>
            </w:r>
          </w:p>
        </w:tc>
        <w:tc>
          <w:tcPr>
            <w:tcW w:w="3397" w:type="dxa"/>
            <w:gridSpan w:val="4"/>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Reliable mCs (million)</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1149" w:type="dxa"/>
            <w:gridSpan w:val="2"/>
            <w:vMerge w:val="continue"/>
            <w:tcBorders>
              <w:top w:val="nil"/>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1183" w:type="dxa"/>
            <w:vMerge w:val="restart"/>
            <w:tcBorders>
              <w:top w:val="nil"/>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Total</w:t>
            </w:r>
            <w:r>
              <w:rPr>
                <w:rFonts w:hint="eastAsia" w:ascii="Arial" w:hAnsi="Arial" w:cs="Arial"/>
                <w:b/>
                <w:sz w:val="16"/>
                <w:szCs w:val="16"/>
              </w:rPr>
              <w:t xml:space="preserve"> </w:t>
            </w:r>
          </w:p>
        </w:tc>
        <w:tc>
          <w:tcPr>
            <w:tcW w:w="2977" w:type="dxa"/>
            <w:gridSpan w:val="3"/>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Three context types</w:t>
            </w:r>
            <w:r>
              <w:rPr>
                <w:rFonts w:hint="eastAsia" w:ascii="Arial" w:hAnsi="Arial" w:cs="Arial"/>
                <w:b/>
                <w:sz w:val="16"/>
                <w:szCs w:val="16"/>
              </w:rPr>
              <w:t xml:space="preserve"> </w:t>
            </w:r>
            <w:r>
              <w:rPr>
                <w:rFonts w:ascii="Arial" w:hAnsi="Arial" w:cs="Arial"/>
                <w:b/>
                <w:sz w:val="16"/>
                <w:szCs w:val="16"/>
              </w:rPr>
              <w:t>(%)</w:t>
            </w:r>
          </w:p>
        </w:tc>
        <w:tc>
          <w:tcPr>
            <w:tcW w:w="1096" w:type="dxa"/>
            <w:vMerge w:val="continue"/>
            <w:tcBorders>
              <w:top w:val="nil"/>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813" w:type="dxa"/>
            <w:vMerge w:val="restart"/>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Total</w:t>
            </w:r>
            <w:r>
              <w:rPr>
                <w:rFonts w:hint="eastAsia" w:ascii="Arial" w:hAnsi="Arial" w:cs="Arial"/>
                <w:b/>
                <w:sz w:val="16"/>
                <w:szCs w:val="16"/>
              </w:rPr>
              <w:t xml:space="preserve"> </w:t>
            </w:r>
          </w:p>
        </w:tc>
        <w:tc>
          <w:tcPr>
            <w:tcW w:w="2584" w:type="dxa"/>
            <w:gridSpan w:val="3"/>
            <w:tcBorders>
              <w:top w:val="single" w:color="000000" w:sz="4" w:space="0"/>
              <w:bottom w:val="single" w:color="000000" w:sz="4" w:space="0"/>
            </w:tcBorders>
            <w:shd w:val="clear" w:color="auto" w:fill="auto"/>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Three context types (%)</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1149" w:type="dxa"/>
            <w:gridSpan w:val="2"/>
            <w:vMerge w:val="continue"/>
            <w:tcBorders>
              <w:top w:val="nil"/>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1183" w:type="dxa"/>
            <w:vMerge w:val="continue"/>
            <w:tcBorders>
              <w:top w:val="nil"/>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992" w:type="dxa"/>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CG</w:t>
            </w:r>
          </w:p>
        </w:tc>
        <w:tc>
          <w:tcPr>
            <w:tcW w:w="993" w:type="dxa"/>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CHG</w:t>
            </w:r>
          </w:p>
        </w:tc>
        <w:tc>
          <w:tcPr>
            <w:tcW w:w="992" w:type="dxa"/>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CHH</w:t>
            </w:r>
          </w:p>
        </w:tc>
        <w:tc>
          <w:tcPr>
            <w:tcW w:w="1096" w:type="dxa"/>
            <w:vMerge w:val="continue"/>
            <w:tcBorders>
              <w:top w:val="nil"/>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813" w:type="dxa"/>
            <w:vMerge w:val="continue"/>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861" w:type="dxa"/>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CG</w:t>
            </w:r>
          </w:p>
        </w:tc>
        <w:tc>
          <w:tcPr>
            <w:tcW w:w="861" w:type="dxa"/>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CHG</w:t>
            </w:r>
          </w:p>
        </w:tc>
        <w:tc>
          <w:tcPr>
            <w:tcW w:w="862" w:type="dxa"/>
            <w:tcBorders>
              <w:top w:val="single" w:color="000000" w:sz="4" w:space="0"/>
              <w:bottom w:val="single" w:color="000000" w:sz="4" w:space="0"/>
            </w:tcBorders>
            <w:tcMar>
              <w:top w:w="15" w:type="dxa"/>
              <w:left w:w="15" w:type="dxa"/>
              <w:bottom w:w="15" w:type="dxa"/>
              <w:right w:w="15" w:type="dxa"/>
            </w:tcMar>
            <w:vAlign w:val="center"/>
          </w:tcPr>
          <w:p>
            <w:pPr>
              <w:adjustRightInd w:val="0"/>
              <w:snapToGrid w:val="0"/>
              <w:jc w:val="center"/>
              <w:rPr>
                <w:rFonts w:ascii="Arial" w:hAnsi="Arial" w:cs="Arial"/>
                <w:b/>
                <w:sz w:val="16"/>
                <w:szCs w:val="16"/>
              </w:rPr>
            </w:pPr>
            <w:r>
              <w:rPr>
                <w:rFonts w:ascii="Arial" w:hAnsi="Arial" w:cs="Arial"/>
                <w:b/>
                <w:sz w:val="16"/>
                <w:szCs w:val="16"/>
              </w:rPr>
              <w:t>CHH</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582"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567"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1183"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992"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993"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992"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1096"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13"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tcBorders>
              <w:top w:val="single" w:color="000000" w:sz="4" w:space="0"/>
              <w:bottom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restart"/>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w:t>
            </w:r>
          </w:p>
        </w:tc>
        <w:tc>
          <w:tcPr>
            <w:tcW w:w="567" w:type="dxa"/>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TC1</w:t>
            </w:r>
          </w:p>
        </w:tc>
        <w:tc>
          <w:tcPr>
            <w:tcW w:w="1183" w:type="dxa"/>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20.34</w:t>
            </w:r>
          </w:p>
        </w:tc>
        <w:tc>
          <w:tcPr>
            <w:tcW w:w="992" w:type="dxa"/>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21.66</w:t>
            </w:r>
          </w:p>
          <w:p>
            <w:pPr>
              <w:adjustRightInd w:val="0"/>
              <w:snapToGrid w:val="0"/>
              <w:jc w:val="center"/>
              <w:rPr>
                <w:rFonts w:ascii="Arial" w:hAnsi="Arial"/>
                <w:sz w:val="16"/>
              </w:rPr>
            </w:pPr>
            <w:r>
              <w:rPr>
                <w:rFonts w:hint="eastAsia" w:ascii="Arial" w:hAnsi="Arial" w:cs="Arial"/>
                <w:sz w:val="16"/>
                <w:szCs w:val="16"/>
              </w:rPr>
              <w:t>(18</w:t>
            </w:r>
            <w:r>
              <w:rPr>
                <w:rFonts w:ascii="Arial" w:hAnsi="Arial"/>
                <w:sz w:val="16"/>
              </w:rPr>
              <w:t>.0)</w:t>
            </w:r>
          </w:p>
        </w:tc>
        <w:tc>
          <w:tcPr>
            <w:tcW w:w="993" w:type="dxa"/>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20.42</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78.26</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21.31</w:t>
            </w:r>
          </w:p>
          <w:p>
            <w:pPr>
              <w:adjustRightInd w:val="0"/>
              <w:snapToGrid w:val="0"/>
              <w:jc w:val="center"/>
              <w:rPr>
                <w:rFonts w:ascii="Arial" w:hAnsi="Arial"/>
                <w:sz w:val="16"/>
                <w:highlight w:val="yellow"/>
              </w:rPr>
            </w:pPr>
            <w:r>
              <w:rPr>
                <w:rFonts w:ascii="Arial" w:hAnsi="Arial"/>
                <w:sz w:val="16"/>
              </w:rPr>
              <w:t>(</w:t>
            </w:r>
            <w:r>
              <w:rPr>
                <w:rFonts w:hint="eastAsia" w:ascii="Arial" w:hAnsi="Arial" w:cs="Arial"/>
                <w:sz w:val="16"/>
                <w:szCs w:val="16"/>
              </w:rPr>
              <w:t>17.7</w:t>
            </w:r>
            <w:r>
              <w:rPr>
                <w:rFonts w:ascii="Arial" w:hAnsi="Arial"/>
                <w:sz w:val="16"/>
              </w:rPr>
              <w:t>)</w:t>
            </w:r>
          </w:p>
        </w:tc>
        <w:tc>
          <w:tcPr>
            <w:tcW w:w="813" w:type="dxa"/>
            <w:vMerge w:val="restart"/>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17.53</w:t>
            </w:r>
          </w:p>
        </w:tc>
        <w:tc>
          <w:tcPr>
            <w:tcW w:w="861" w:type="dxa"/>
            <w:vMerge w:val="restart"/>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8.76</w:t>
            </w:r>
          </w:p>
          <w:p>
            <w:pPr>
              <w:adjustRightInd w:val="0"/>
              <w:snapToGrid w:val="0"/>
              <w:jc w:val="center"/>
              <w:rPr>
                <w:rFonts w:ascii="Arial" w:hAnsi="Arial" w:cs="Arial"/>
                <w:color w:val="000000"/>
                <w:sz w:val="16"/>
                <w:szCs w:val="16"/>
              </w:rPr>
            </w:pPr>
            <w:r>
              <w:rPr>
                <w:rFonts w:ascii="Arial" w:hAnsi="Arial" w:cs="Arial"/>
                <w:color w:val="000000"/>
                <w:sz w:val="16"/>
                <w:szCs w:val="16"/>
              </w:rPr>
              <w:t>(50.0)</w:t>
            </w:r>
          </w:p>
        </w:tc>
        <w:tc>
          <w:tcPr>
            <w:tcW w:w="861" w:type="dxa"/>
            <w:vMerge w:val="restart"/>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4.58</w:t>
            </w:r>
          </w:p>
          <w:p>
            <w:pPr>
              <w:adjustRightInd w:val="0"/>
              <w:snapToGrid w:val="0"/>
              <w:jc w:val="center"/>
              <w:rPr>
                <w:rFonts w:ascii="Arial" w:hAnsi="Arial" w:cs="Arial"/>
                <w:color w:val="000000"/>
                <w:sz w:val="16"/>
                <w:szCs w:val="16"/>
              </w:rPr>
            </w:pPr>
            <w:r>
              <w:rPr>
                <w:rFonts w:ascii="Arial" w:hAnsi="Arial" w:cs="Arial"/>
                <w:color w:val="000000"/>
                <w:sz w:val="16"/>
                <w:szCs w:val="16"/>
              </w:rPr>
              <w:t>(26.1)</w:t>
            </w:r>
          </w:p>
        </w:tc>
        <w:tc>
          <w:tcPr>
            <w:tcW w:w="862" w:type="dxa"/>
            <w:vMerge w:val="restart"/>
            <w:tcBorders>
              <w:top w:val="nil"/>
            </w:tcBorders>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4.19</w:t>
            </w:r>
          </w:p>
          <w:p>
            <w:pPr>
              <w:adjustRightInd w:val="0"/>
              <w:snapToGrid w:val="0"/>
              <w:jc w:val="center"/>
              <w:rPr>
                <w:rFonts w:ascii="Arial" w:hAnsi="Arial" w:cs="Arial"/>
                <w:color w:val="000000"/>
                <w:sz w:val="16"/>
                <w:szCs w:val="16"/>
              </w:rPr>
            </w:pPr>
            <w:r>
              <w:rPr>
                <w:rFonts w:ascii="Arial" w:hAnsi="Arial" w:cs="Arial"/>
                <w:color w:val="000000"/>
                <w:sz w:val="16"/>
                <w:szCs w:val="16"/>
              </w:rPr>
              <w:t>(23.9)</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TC2</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22.64</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22.10</w:t>
            </w:r>
          </w:p>
          <w:p>
            <w:pPr>
              <w:adjustRightInd w:val="0"/>
              <w:snapToGrid w:val="0"/>
              <w:jc w:val="center"/>
              <w:rPr>
                <w:rFonts w:ascii="Arial" w:hAnsi="Arial"/>
                <w:sz w:val="16"/>
              </w:rPr>
            </w:pPr>
            <w:r>
              <w:rPr>
                <w:rFonts w:hint="eastAsia" w:ascii="Arial" w:hAnsi="Arial" w:cs="Arial"/>
                <w:sz w:val="16"/>
                <w:szCs w:val="16"/>
              </w:rPr>
              <w:t>(18</w:t>
            </w:r>
            <w:r>
              <w:rPr>
                <w:rFonts w:ascii="Arial" w:hAnsi="Arial"/>
                <w:sz w:val="16"/>
              </w:rPr>
              <w:t>.0)</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20.78</w:t>
            </w:r>
          </w:p>
          <w:p>
            <w:pPr>
              <w:adjustRightInd w:val="0"/>
              <w:snapToGrid w:val="0"/>
              <w:jc w:val="center"/>
              <w:rPr>
                <w:rFonts w:ascii="Arial" w:hAnsi="Arial"/>
                <w:sz w:val="16"/>
              </w:rPr>
            </w:pPr>
            <w:r>
              <w:rPr>
                <w:rFonts w:ascii="Arial" w:hAnsi="Arial"/>
                <w:sz w:val="16"/>
              </w:rPr>
              <w:t>(16.</w:t>
            </w:r>
            <w:r>
              <w:rPr>
                <w:rFonts w:hint="eastAsia" w:ascii="Arial" w:hAnsi="Arial" w:cs="Arial"/>
                <w:sz w:val="16"/>
                <w:szCs w:val="16"/>
              </w:rPr>
              <w:t>9</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79.75</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22.61</w:t>
            </w:r>
          </w:p>
          <w:p>
            <w:pPr>
              <w:adjustRightInd w:val="0"/>
              <w:snapToGrid w:val="0"/>
              <w:jc w:val="center"/>
              <w:rPr>
                <w:rFonts w:ascii="Arial" w:hAnsi="Arial"/>
                <w:sz w:val="16"/>
                <w:highlight w:val="yellow"/>
              </w:rPr>
            </w:pPr>
            <w:r>
              <w:rPr>
                <w:rFonts w:ascii="Arial" w:hAnsi="Arial"/>
                <w:sz w:val="16"/>
              </w:rPr>
              <w:t>(</w:t>
            </w:r>
            <w:r>
              <w:rPr>
                <w:rFonts w:hint="eastAsia" w:ascii="Arial" w:hAnsi="Arial" w:cs="Arial"/>
                <w:sz w:val="16"/>
                <w:szCs w:val="16"/>
              </w:rPr>
              <w:t>18.4</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TC3</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11.94</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20.07</w:t>
            </w:r>
          </w:p>
          <w:p>
            <w:pPr>
              <w:adjustRightInd w:val="0"/>
              <w:snapToGrid w:val="0"/>
              <w:jc w:val="center"/>
              <w:rPr>
                <w:rFonts w:ascii="Arial" w:hAnsi="Arial"/>
                <w:sz w:val="16"/>
              </w:rPr>
            </w:pPr>
            <w:r>
              <w:rPr>
                <w:rFonts w:hint="eastAsia" w:ascii="Arial" w:hAnsi="Arial" w:cs="Arial"/>
                <w:sz w:val="16"/>
                <w:szCs w:val="16"/>
              </w:rPr>
              <w:t>(17.9</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19.09</w:t>
            </w:r>
          </w:p>
          <w:p>
            <w:pPr>
              <w:adjustRightInd w:val="0"/>
              <w:snapToGrid w:val="0"/>
              <w:jc w:val="center"/>
              <w:rPr>
                <w:rFonts w:ascii="Arial" w:hAnsi="Arial"/>
                <w:sz w:val="16"/>
              </w:rPr>
            </w:pPr>
            <w:r>
              <w:rPr>
                <w:rFonts w:hint="eastAsia" w:ascii="Arial" w:hAnsi="Arial" w:cs="Arial"/>
                <w:sz w:val="16"/>
                <w:szCs w:val="16"/>
              </w:rPr>
              <w:t>(17.1</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72.77</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18.18</w:t>
            </w:r>
          </w:p>
          <w:p>
            <w:pPr>
              <w:adjustRightInd w:val="0"/>
              <w:snapToGrid w:val="0"/>
              <w:jc w:val="center"/>
              <w:rPr>
                <w:rFonts w:ascii="Arial" w:hAnsi="Arial"/>
                <w:sz w:val="16"/>
                <w:highlight w:val="yellow"/>
              </w:rPr>
            </w:pPr>
            <w:r>
              <w:rPr>
                <w:rFonts w:ascii="Arial" w:hAnsi="Arial"/>
                <w:sz w:val="16"/>
              </w:rPr>
              <w:t>(</w:t>
            </w:r>
            <w:r>
              <w:rPr>
                <w:rFonts w:hint="eastAsia" w:ascii="Arial" w:hAnsi="Arial" w:cs="Arial"/>
                <w:sz w:val="16"/>
                <w:szCs w:val="16"/>
              </w:rPr>
              <w:t>16</w:t>
            </w:r>
            <w:r>
              <w:rPr>
                <w:rFonts w:ascii="Arial" w:hAnsi="Arial"/>
                <w:sz w:val="16"/>
              </w:rPr>
              <w:t>.2)</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58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813"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w:t>
            </w: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TT1</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20.14</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21.60</w:t>
            </w:r>
          </w:p>
          <w:p>
            <w:pPr>
              <w:adjustRightInd w:val="0"/>
              <w:snapToGrid w:val="0"/>
              <w:jc w:val="center"/>
              <w:rPr>
                <w:rFonts w:ascii="Arial" w:hAnsi="Arial"/>
                <w:sz w:val="16"/>
              </w:rPr>
            </w:pPr>
            <w:r>
              <w:rPr>
                <w:rFonts w:hint="eastAsia" w:ascii="Arial" w:hAnsi="Arial" w:cs="Arial"/>
                <w:sz w:val="16"/>
                <w:szCs w:val="16"/>
              </w:rPr>
              <w:t>(18</w:t>
            </w:r>
            <w:r>
              <w:rPr>
                <w:rFonts w:ascii="Arial" w:hAnsi="Arial"/>
                <w:sz w:val="16"/>
              </w:rPr>
              <w:t>.0)</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20.39</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78.14</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21.65</w:t>
            </w:r>
          </w:p>
          <w:p>
            <w:pPr>
              <w:adjustRightInd w:val="0"/>
              <w:snapToGrid w:val="0"/>
              <w:jc w:val="center"/>
              <w:rPr>
                <w:rFonts w:ascii="Arial" w:hAnsi="Arial"/>
                <w:sz w:val="16"/>
                <w:highlight w:val="yellow"/>
              </w:rPr>
            </w:pPr>
            <w:r>
              <w:rPr>
                <w:rFonts w:ascii="Arial" w:hAnsi="Arial"/>
                <w:sz w:val="16"/>
              </w:rPr>
              <w:t>(</w:t>
            </w:r>
            <w:r>
              <w:rPr>
                <w:rFonts w:hint="eastAsia" w:ascii="Arial" w:hAnsi="Arial" w:cs="Arial"/>
                <w:sz w:val="16"/>
                <w:szCs w:val="16"/>
              </w:rPr>
              <w:t>18.0</w:t>
            </w:r>
            <w:r>
              <w:rPr>
                <w:rFonts w:ascii="Arial" w:hAnsi="Arial"/>
                <w:sz w:val="16"/>
              </w:rPr>
              <w:t>)</w:t>
            </w:r>
          </w:p>
        </w:tc>
        <w:tc>
          <w:tcPr>
            <w:tcW w:w="813"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17.65</w:t>
            </w:r>
          </w:p>
        </w:tc>
        <w:tc>
          <w:tcPr>
            <w:tcW w:w="861"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8.78</w:t>
            </w:r>
          </w:p>
          <w:p>
            <w:pPr>
              <w:adjustRightInd w:val="0"/>
              <w:snapToGrid w:val="0"/>
              <w:jc w:val="center"/>
              <w:rPr>
                <w:rFonts w:ascii="Arial" w:hAnsi="Arial" w:cs="Arial"/>
                <w:color w:val="000000"/>
                <w:sz w:val="16"/>
                <w:szCs w:val="16"/>
              </w:rPr>
            </w:pPr>
            <w:r>
              <w:rPr>
                <w:rFonts w:ascii="Arial" w:hAnsi="Arial" w:cs="Arial"/>
                <w:color w:val="000000"/>
                <w:sz w:val="16"/>
                <w:szCs w:val="16"/>
              </w:rPr>
              <w:t>(49.8)</w:t>
            </w:r>
          </w:p>
        </w:tc>
        <w:tc>
          <w:tcPr>
            <w:tcW w:w="861"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4.60</w:t>
            </w:r>
          </w:p>
          <w:p>
            <w:pPr>
              <w:adjustRightInd w:val="0"/>
              <w:snapToGrid w:val="0"/>
              <w:jc w:val="center"/>
              <w:rPr>
                <w:rFonts w:ascii="Arial" w:hAnsi="Arial" w:cs="Arial"/>
                <w:color w:val="000000"/>
                <w:sz w:val="16"/>
                <w:szCs w:val="16"/>
              </w:rPr>
            </w:pPr>
            <w:r>
              <w:rPr>
                <w:rFonts w:ascii="Arial" w:hAnsi="Arial" w:cs="Arial"/>
                <w:color w:val="000000"/>
                <w:sz w:val="16"/>
                <w:szCs w:val="16"/>
              </w:rPr>
              <w:t>(26.1)</w:t>
            </w:r>
          </w:p>
        </w:tc>
        <w:tc>
          <w:tcPr>
            <w:tcW w:w="862"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4.27</w:t>
            </w:r>
          </w:p>
          <w:p>
            <w:pPr>
              <w:adjustRightInd w:val="0"/>
              <w:snapToGrid w:val="0"/>
              <w:jc w:val="center"/>
              <w:rPr>
                <w:rFonts w:ascii="Arial" w:hAnsi="Arial" w:cs="Arial"/>
                <w:color w:val="000000"/>
                <w:sz w:val="16"/>
                <w:szCs w:val="16"/>
              </w:rPr>
            </w:pPr>
            <w:r>
              <w:rPr>
                <w:rFonts w:ascii="Arial" w:hAnsi="Arial" w:cs="Arial"/>
                <w:color w:val="000000"/>
                <w:sz w:val="16"/>
                <w:szCs w:val="16"/>
              </w:rPr>
              <w:t>(24.2)</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TT2</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21</w:t>
            </w:r>
            <w:r>
              <w:rPr>
                <w:rFonts w:ascii="Arial" w:hAnsi="Arial"/>
                <w:sz w:val="16"/>
              </w:rPr>
              <w:t>.06</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21.86</w:t>
            </w:r>
          </w:p>
          <w:p>
            <w:pPr>
              <w:adjustRightInd w:val="0"/>
              <w:snapToGrid w:val="0"/>
              <w:jc w:val="center"/>
              <w:rPr>
                <w:rFonts w:ascii="Arial" w:hAnsi="Arial"/>
                <w:sz w:val="16"/>
              </w:rPr>
            </w:pPr>
            <w:r>
              <w:rPr>
                <w:rFonts w:hint="eastAsia" w:ascii="Arial" w:hAnsi="Arial" w:cs="Arial"/>
                <w:sz w:val="16"/>
                <w:szCs w:val="16"/>
              </w:rPr>
              <w:t>(18.1</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20.56</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78.65</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21.34</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17.6</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TT3</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21.45</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21.97</w:t>
            </w:r>
          </w:p>
          <w:p>
            <w:pPr>
              <w:adjustRightInd w:val="0"/>
              <w:snapToGrid w:val="0"/>
              <w:jc w:val="center"/>
              <w:rPr>
                <w:rFonts w:ascii="Arial" w:hAnsi="Arial"/>
                <w:sz w:val="16"/>
              </w:rPr>
            </w:pPr>
            <w:r>
              <w:rPr>
                <w:rFonts w:hint="eastAsia" w:ascii="Arial" w:hAnsi="Arial" w:cs="Arial"/>
                <w:sz w:val="16"/>
                <w:szCs w:val="16"/>
              </w:rPr>
              <w:t>(18.1</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20.63</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78.84</w:t>
            </w:r>
          </w:p>
          <w:p>
            <w:pPr>
              <w:adjustRightInd w:val="0"/>
              <w:snapToGrid w:val="0"/>
              <w:jc w:val="center"/>
              <w:rPr>
                <w:rFonts w:ascii="Arial" w:hAnsi="Arial"/>
                <w:sz w:val="16"/>
              </w:rPr>
            </w:pPr>
            <w:r>
              <w:rPr>
                <w:rFonts w:ascii="Arial" w:hAnsi="Arial"/>
                <w:sz w:val="16"/>
              </w:rPr>
              <w:t>(64.</w:t>
            </w:r>
            <w:r>
              <w:rPr>
                <w:rFonts w:hint="eastAsia" w:ascii="Arial" w:hAnsi="Arial" w:cs="Arial"/>
                <w:sz w:val="16"/>
                <w:szCs w:val="16"/>
              </w:rPr>
              <w:t>9</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22.04</w:t>
            </w:r>
          </w:p>
          <w:p>
            <w:pPr>
              <w:adjustRightInd w:val="0"/>
              <w:snapToGrid w:val="0"/>
              <w:jc w:val="center"/>
              <w:rPr>
                <w:rFonts w:ascii="Arial" w:hAnsi="Arial"/>
                <w:sz w:val="16"/>
                <w:highlight w:val="yellow"/>
              </w:rPr>
            </w:pPr>
            <w:r>
              <w:rPr>
                <w:rFonts w:ascii="Arial" w:hAnsi="Arial"/>
                <w:sz w:val="16"/>
              </w:rPr>
              <w:t>(</w:t>
            </w:r>
            <w:r>
              <w:rPr>
                <w:rFonts w:hint="eastAsia" w:ascii="Arial" w:hAnsi="Arial" w:cs="Arial"/>
                <w:sz w:val="16"/>
                <w:szCs w:val="16"/>
              </w:rPr>
              <w:t>18.1</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58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813"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w:t>
            </w: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SC1</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18.15</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21.23</w:t>
            </w:r>
          </w:p>
          <w:p>
            <w:pPr>
              <w:adjustRightInd w:val="0"/>
              <w:snapToGrid w:val="0"/>
              <w:jc w:val="center"/>
              <w:rPr>
                <w:rFonts w:ascii="Arial" w:hAnsi="Arial"/>
                <w:sz w:val="16"/>
              </w:rPr>
            </w:pPr>
            <w:r>
              <w:rPr>
                <w:rFonts w:hint="eastAsia" w:ascii="Arial" w:hAnsi="Arial" w:cs="Arial"/>
                <w:sz w:val="16"/>
                <w:szCs w:val="16"/>
              </w:rPr>
              <w:t>(18</w:t>
            </w:r>
            <w:r>
              <w:rPr>
                <w:rFonts w:ascii="Arial" w:hAnsi="Arial"/>
                <w:sz w:val="16"/>
              </w:rPr>
              <w:t>.0)</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20.09</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76.83</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21.23</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18</w:t>
            </w:r>
            <w:r>
              <w:rPr>
                <w:rFonts w:ascii="Arial" w:hAnsi="Arial"/>
                <w:sz w:val="16"/>
              </w:rPr>
              <w:t>.0)</w:t>
            </w:r>
          </w:p>
        </w:tc>
        <w:tc>
          <w:tcPr>
            <w:tcW w:w="813"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17.70</w:t>
            </w:r>
          </w:p>
        </w:tc>
        <w:tc>
          <w:tcPr>
            <w:tcW w:w="861"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8.64</w:t>
            </w:r>
          </w:p>
          <w:p>
            <w:pPr>
              <w:adjustRightInd w:val="0"/>
              <w:snapToGrid w:val="0"/>
              <w:jc w:val="center"/>
              <w:rPr>
                <w:rFonts w:ascii="Arial" w:hAnsi="Arial" w:cs="Arial"/>
                <w:color w:val="000000"/>
                <w:sz w:val="16"/>
                <w:szCs w:val="16"/>
              </w:rPr>
            </w:pPr>
            <w:r>
              <w:rPr>
                <w:rFonts w:ascii="Arial" w:hAnsi="Arial" w:cs="Arial"/>
                <w:color w:val="000000"/>
                <w:sz w:val="16"/>
                <w:szCs w:val="16"/>
              </w:rPr>
              <w:t>(48.8)</w:t>
            </w:r>
          </w:p>
        </w:tc>
        <w:tc>
          <w:tcPr>
            <w:tcW w:w="861"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4.61</w:t>
            </w:r>
          </w:p>
          <w:p>
            <w:pPr>
              <w:adjustRightInd w:val="0"/>
              <w:snapToGrid w:val="0"/>
              <w:jc w:val="center"/>
              <w:rPr>
                <w:rFonts w:ascii="Arial" w:hAnsi="Arial" w:cs="Arial"/>
                <w:color w:val="000000"/>
                <w:sz w:val="16"/>
                <w:szCs w:val="16"/>
              </w:rPr>
            </w:pPr>
            <w:r>
              <w:rPr>
                <w:rFonts w:ascii="Arial" w:hAnsi="Arial" w:cs="Arial"/>
                <w:color w:val="000000"/>
                <w:sz w:val="16"/>
                <w:szCs w:val="16"/>
              </w:rPr>
              <w:t>(26.1)</w:t>
            </w:r>
          </w:p>
        </w:tc>
        <w:tc>
          <w:tcPr>
            <w:tcW w:w="862"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4.45</w:t>
            </w:r>
          </w:p>
          <w:p>
            <w:pPr>
              <w:adjustRightInd w:val="0"/>
              <w:snapToGrid w:val="0"/>
              <w:jc w:val="center"/>
              <w:rPr>
                <w:rFonts w:ascii="Arial" w:hAnsi="Arial" w:cs="Arial"/>
                <w:color w:val="000000"/>
                <w:sz w:val="16"/>
                <w:szCs w:val="16"/>
              </w:rPr>
            </w:pPr>
            <w:r>
              <w:rPr>
                <w:rFonts w:ascii="Arial" w:hAnsi="Arial" w:cs="Arial"/>
                <w:color w:val="000000"/>
                <w:sz w:val="16"/>
                <w:szCs w:val="16"/>
              </w:rPr>
              <w:t>(25.1)</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SC2</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20.19</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21.8</w:t>
            </w:r>
          </w:p>
          <w:p>
            <w:pPr>
              <w:adjustRightInd w:val="0"/>
              <w:snapToGrid w:val="0"/>
              <w:jc w:val="center"/>
              <w:rPr>
                <w:rFonts w:ascii="Arial" w:hAnsi="Arial"/>
                <w:sz w:val="16"/>
              </w:rPr>
            </w:pPr>
            <w:r>
              <w:rPr>
                <w:rFonts w:hint="eastAsia" w:ascii="Arial" w:hAnsi="Arial" w:cs="Arial"/>
                <w:sz w:val="16"/>
                <w:szCs w:val="16"/>
              </w:rPr>
              <w:t>(18.1</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20.45</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77.94</w:t>
            </w:r>
          </w:p>
          <w:p>
            <w:pPr>
              <w:adjustRightInd w:val="0"/>
              <w:snapToGrid w:val="0"/>
              <w:jc w:val="center"/>
              <w:rPr>
                <w:rFonts w:ascii="Arial" w:hAnsi="Arial"/>
                <w:sz w:val="16"/>
              </w:rPr>
            </w:pPr>
            <w:r>
              <w:rPr>
                <w:rFonts w:ascii="Arial" w:hAnsi="Arial"/>
                <w:sz w:val="16"/>
              </w:rPr>
              <w:t>(64.</w:t>
            </w:r>
            <w:r>
              <w:rPr>
                <w:rFonts w:hint="eastAsia" w:ascii="Arial" w:hAnsi="Arial" w:cs="Arial"/>
                <w:sz w:val="16"/>
                <w:szCs w:val="16"/>
              </w:rPr>
              <w:t>8</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21.39</w:t>
            </w:r>
          </w:p>
          <w:p>
            <w:pPr>
              <w:adjustRightInd w:val="0"/>
              <w:snapToGrid w:val="0"/>
              <w:jc w:val="center"/>
              <w:rPr>
                <w:rFonts w:ascii="Arial" w:hAnsi="Arial"/>
                <w:sz w:val="16"/>
                <w:highlight w:val="yellow"/>
              </w:rPr>
            </w:pPr>
            <w:r>
              <w:rPr>
                <w:rFonts w:ascii="Arial" w:hAnsi="Arial"/>
                <w:sz w:val="16"/>
              </w:rPr>
              <w:t>(</w:t>
            </w:r>
            <w:r>
              <w:rPr>
                <w:rFonts w:hint="eastAsia" w:ascii="Arial" w:hAnsi="Arial" w:cs="Arial"/>
                <w:sz w:val="16"/>
                <w:szCs w:val="16"/>
              </w:rPr>
              <w:t>17.8</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SC3</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21.56</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22.03</w:t>
            </w:r>
          </w:p>
          <w:p>
            <w:pPr>
              <w:adjustRightInd w:val="0"/>
              <w:snapToGrid w:val="0"/>
              <w:jc w:val="center"/>
              <w:rPr>
                <w:rFonts w:ascii="Arial" w:hAnsi="Arial"/>
                <w:sz w:val="16"/>
              </w:rPr>
            </w:pPr>
            <w:r>
              <w:rPr>
                <w:rFonts w:hint="eastAsia" w:ascii="Arial" w:hAnsi="Arial" w:cs="Arial"/>
                <w:sz w:val="16"/>
                <w:szCs w:val="16"/>
              </w:rPr>
              <w:t>(18.1</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20.66</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78.88</w:t>
            </w:r>
          </w:p>
          <w:p>
            <w:pPr>
              <w:adjustRightInd w:val="0"/>
              <w:snapToGrid w:val="0"/>
              <w:jc w:val="center"/>
              <w:rPr>
                <w:rFonts w:ascii="Arial" w:hAnsi="Arial"/>
                <w:sz w:val="16"/>
              </w:rPr>
            </w:pPr>
            <w:r>
              <w:rPr>
                <w:rFonts w:ascii="Arial" w:hAnsi="Arial"/>
                <w:sz w:val="16"/>
              </w:rPr>
              <w:t>(64.</w:t>
            </w:r>
            <w:r>
              <w:rPr>
                <w:rFonts w:hint="eastAsia" w:ascii="Arial" w:hAnsi="Arial" w:cs="Arial"/>
                <w:sz w:val="16"/>
                <w:szCs w:val="16"/>
              </w:rPr>
              <w:t>9</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22.39</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18.4</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58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813"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w:t>
            </w: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ST1</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19.38</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21.64</w:t>
            </w:r>
          </w:p>
          <w:p>
            <w:pPr>
              <w:adjustRightInd w:val="0"/>
              <w:snapToGrid w:val="0"/>
              <w:jc w:val="center"/>
              <w:rPr>
                <w:rFonts w:ascii="Arial" w:hAnsi="Arial"/>
                <w:sz w:val="16"/>
              </w:rPr>
            </w:pPr>
            <w:r>
              <w:rPr>
                <w:rFonts w:hint="eastAsia" w:ascii="Arial" w:hAnsi="Arial" w:cs="Arial"/>
                <w:sz w:val="16"/>
                <w:szCs w:val="16"/>
              </w:rPr>
              <w:t>(18.1</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20.35</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77.39</w:t>
            </w:r>
          </w:p>
          <w:p>
            <w:pPr>
              <w:adjustRightInd w:val="0"/>
              <w:snapToGrid w:val="0"/>
              <w:jc w:val="center"/>
              <w:rPr>
                <w:rFonts w:ascii="Arial" w:hAnsi="Arial"/>
                <w:sz w:val="16"/>
              </w:rPr>
            </w:pPr>
            <w:r>
              <w:rPr>
                <w:rFonts w:ascii="Arial" w:hAnsi="Arial"/>
                <w:sz w:val="16"/>
              </w:rPr>
              <w:t>(64.</w:t>
            </w:r>
            <w:r>
              <w:rPr>
                <w:rFonts w:hint="eastAsia" w:ascii="Arial" w:hAnsi="Arial" w:cs="Arial"/>
                <w:sz w:val="16"/>
                <w:szCs w:val="16"/>
              </w:rPr>
              <w:t>8</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19.97</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16.7</w:t>
            </w:r>
            <w:r>
              <w:rPr>
                <w:rFonts w:ascii="Arial" w:hAnsi="Arial"/>
                <w:sz w:val="16"/>
              </w:rPr>
              <w:t>)</w:t>
            </w:r>
          </w:p>
        </w:tc>
        <w:tc>
          <w:tcPr>
            <w:tcW w:w="813"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16.85</w:t>
            </w:r>
          </w:p>
        </w:tc>
        <w:tc>
          <w:tcPr>
            <w:tcW w:w="861"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8.59</w:t>
            </w:r>
          </w:p>
          <w:p>
            <w:pPr>
              <w:adjustRightInd w:val="0"/>
              <w:snapToGrid w:val="0"/>
              <w:jc w:val="center"/>
              <w:rPr>
                <w:rFonts w:ascii="Arial" w:hAnsi="Arial" w:cs="Arial"/>
                <w:color w:val="000000"/>
                <w:sz w:val="16"/>
                <w:szCs w:val="16"/>
              </w:rPr>
            </w:pPr>
            <w:r>
              <w:rPr>
                <w:rFonts w:ascii="Arial" w:hAnsi="Arial" w:cs="Arial"/>
                <w:color w:val="000000"/>
                <w:sz w:val="16"/>
                <w:szCs w:val="16"/>
              </w:rPr>
              <w:t>(51.0)</w:t>
            </w:r>
          </w:p>
        </w:tc>
        <w:tc>
          <w:tcPr>
            <w:tcW w:w="861"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4.42</w:t>
            </w:r>
          </w:p>
          <w:p>
            <w:pPr>
              <w:adjustRightInd w:val="0"/>
              <w:snapToGrid w:val="0"/>
              <w:jc w:val="center"/>
              <w:rPr>
                <w:rFonts w:ascii="Arial" w:hAnsi="Arial" w:cs="Arial"/>
                <w:color w:val="000000"/>
                <w:sz w:val="16"/>
                <w:szCs w:val="16"/>
              </w:rPr>
            </w:pPr>
            <w:r>
              <w:rPr>
                <w:rFonts w:ascii="Arial" w:hAnsi="Arial" w:cs="Arial"/>
                <w:color w:val="000000"/>
                <w:sz w:val="16"/>
                <w:szCs w:val="16"/>
              </w:rPr>
              <w:t>(26.2)</w:t>
            </w:r>
          </w:p>
        </w:tc>
        <w:tc>
          <w:tcPr>
            <w:tcW w:w="862" w:type="dxa"/>
            <w:vMerge w:val="restart"/>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3.84</w:t>
            </w:r>
          </w:p>
          <w:p>
            <w:pPr>
              <w:adjustRightInd w:val="0"/>
              <w:snapToGrid w:val="0"/>
              <w:jc w:val="center"/>
              <w:rPr>
                <w:rFonts w:ascii="Arial" w:hAnsi="Arial" w:cs="Arial"/>
                <w:color w:val="000000"/>
                <w:sz w:val="16"/>
                <w:szCs w:val="16"/>
              </w:rPr>
            </w:pPr>
            <w:r>
              <w:rPr>
                <w:rFonts w:ascii="Arial" w:hAnsi="Arial" w:cs="Arial"/>
                <w:color w:val="000000"/>
                <w:sz w:val="16"/>
                <w:szCs w:val="16"/>
              </w:rPr>
              <w:t>(22.8)</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ST2</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19.57</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21.7</w:t>
            </w:r>
          </w:p>
          <w:p>
            <w:pPr>
              <w:adjustRightInd w:val="0"/>
              <w:snapToGrid w:val="0"/>
              <w:jc w:val="center"/>
              <w:rPr>
                <w:rFonts w:ascii="Arial" w:hAnsi="Arial"/>
                <w:sz w:val="16"/>
              </w:rPr>
            </w:pPr>
            <w:r>
              <w:rPr>
                <w:rFonts w:hint="eastAsia" w:ascii="Arial" w:hAnsi="Arial" w:cs="Arial"/>
                <w:sz w:val="16"/>
                <w:szCs w:val="16"/>
              </w:rPr>
              <w:t>(18.2</w:t>
            </w:r>
            <w:r>
              <w:rPr>
                <w:rFonts w:ascii="Arial" w:hAnsi="Arial"/>
                <w:sz w:val="16"/>
              </w:rPr>
              <w:t>)</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20.4</w:t>
            </w:r>
          </w:p>
          <w:p>
            <w:pPr>
              <w:adjustRightInd w:val="0"/>
              <w:snapToGrid w:val="0"/>
              <w:jc w:val="center"/>
              <w:rPr>
                <w:rFonts w:ascii="Arial" w:hAnsi="Arial"/>
                <w:sz w:val="16"/>
              </w:rPr>
            </w:pPr>
            <w:r>
              <w:rPr>
                <w:rFonts w:hint="eastAsia" w:ascii="Arial" w:hAnsi="Arial" w:cs="Arial"/>
                <w:sz w:val="16"/>
                <w:szCs w:val="16"/>
              </w:rPr>
              <w:t>(17.1</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77.47</w:t>
            </w:r>
          </w:p>
          <w:p>
            <w:pPr>
              <w:adjustRightInd w:val="0"/>
              <w:snapToGrid w:val="0"/>
              <w:jc w:val="center"/>
              <w:rPr>
                <w:rFonts w:ascii="Arial" w:hAnsi="Arial"/>
                <w:sz w:val="16"/>
              </w:rPr>
            </w:pPr>
            <w:r>
              <w:rPr>
                <w:rFonts w:ascii="Arial" w:hAnsi="Arial"/>
                <w:sz w:val="16"/>
              </w:rPr>
              <w:t>(64.</w:t>
            </w:r>
            <w:r>
              <w:rPr>
                <w:rFonts w:hint="eastAsia" w:ascii="Arial" w:hAnsi="Arial" w:cs="Arial"/>
                <w:sz w:val="16"/>
                <w:szCs w:val="16"/>
              </w:rPr>
              <w:t>8</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19.86</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16.6</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58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p>
        </w:tc>
        <w:tc>
          <w:tcPr>
            <w:tcW w:w="567"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ST3</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cs="Arial"/>
                <w:sz w:val="16"/>
                <w:szCs w:val="16"/>
              </w:rPr>
              <w:t>1</w:t>
            </w:r>
            <w:r>
              <w:rPr>
                <w:rFonts w:hint="eastAsia" w:ascii="Arial" w:hAnsi="Arial" w:cs="Arial"/>
                <w:sz w:val="16"/>
                <w:szCs w:val="16"/>
              </w:rPr>
              <w:t>20.27</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21.67</w:t>
            </w:r>
          </w:p>
          <w:p>
            <w:pPr>
              <w:adjustRightInd w:val="0"/>
              <w:snapToGrid w:val="0"/>
              <w:jc w:val="center"/>
              <w:rPr>
                <w:rFonts w:ascii="Arial" w:hAnsi="Arial"/>
                <w:sz w:val="16"/>
              </w:rPr>
            </w:pPr>
            <w:r>
              <w:rPr>
                <w:rFonts w:hint="eastAsia" w:ascii="Arial" w:hAnsi="Arial" w:cs="Arial"/>
                <w:sz w:val="16"/>
                <w:szCs w:val="16"/>
              </w:rPr>
              <w:t>(18</w:t>
            </w:r>
            <w:r>
              <w:rPr>
                <w:rFonts w:ascii="Arial" w:hAnsi="Arial"/>
                <w:sz w:val="16"/>
              </w:rPr>
              <w:t>.0)</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20.44</w:t>
            </w:r>
          </w:p>
          <w:p>
            <w:pPr>
              <w:adjustRightInd w:val="0"/>
              <w:snapToGrid w:val="0"/>
              <w:jc w:val="center"/>
              <w:rPr>
                <w:rFonts w:ascii="Arial" w:hAnsi="Arial"/>
                <w:sz w:val="16"/>
              </w:rPr>
            </w:pPr>
            <w:r>
              <w:rPr>
                <w:rFonts w:hint="eastAsia"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hint="eastAsia" w:ascii="Arial" w:hAnsi="Arial" w:cs="Arial"/>
                <w:sz w:val="16"/>
                <w:szCs w:val="16"/>
              </w:rPr>
              <w:t>78.17</w:t>
            </w:r>
          </w:p>
          <w:p>
            <w:pPr>
              <w:adjustRightInd w:val="0"/>
              <w:snapToGrid w:val="0"/>
              <w:jc w:val="center"/>
              <w:rPr>
                <w:rFonts w:ascii="Arial" w:hAnsi="Arial"/>
                <w:sz w:val="16"/>
              </w:rPr>
            </w:pPr>
            <w:r>
              <w:rPr>
                <w:rFonts w:hint="eastAsia" w:ascii="Arial" w:hAnsi="Arial" w:cs="Arial"/>
                <w:sz w:val="16"/>
                <w:szCs w:val="16"/>
              </w:rPr>
              <w:t>(65.0</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19.96</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16.6</w:t>
            </w:r>
            <w:r>
              <w:rPr>
                <w:rFonts w:ascii="Arial" w:hAnsi="Arial"/>
                <w:sz w:val="16"/>
              </w:rPr>
              <w:t>)</w:t>
            </w:r>
          </w:p>
        </w:tc>
        <w:tc>
          <w:tcPr>
            <w:tcW w:w="813"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vMerge w:val="continue"/>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1149" w:type="dxa"/>
            <w:gridSpan w:val="2"/>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p>
        </w:tc>
        <w:tc>
          <w:tcPr>
            <w:tcW w:w="813"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c>
          <w:tcPr>
            <w:tcW w:w="86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1149" w:type="dxa"/>
            <w:gridSpan w:val="2"/>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Arial" w:hAnsi="Arial" w:cs="Arial"/>
                <w:color w:val="000000"/>
                <w:sz w:val="16"/>
                <w:szCs w:val="16"/>
              </w:rPr>
              <w:t>Total</w:t>
            </w:r>
          </w:p>
        </w:tc>
        <w:tc>
          <w:tcPr>
            <w:tcW w:w="1183"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1,</w:t>
            </w:r>
            <w:r>
              <w:rPr>
                <w:rFonts w:hint="eastAsia" w:ascii="Arial" w:hAnsi="Arial" w:cs="Arial"/>
                <w:sz w:val="16"/>
                <w:szCs w:val="16"/>
              </w:rPr>
              <w:t>436</w:t>
            </w:r>
            <w:r>
              <w:rPr>
                <w:rFonts w:ascii="Arial" w:hAnsi="Arial" w:cs="Arial"/>
                <w:sz w:val="16"/>
                <w:szCs w:val="16"/>
              </w:rPr>
              <w:t>.</w:t>
            </w:r>
            <w:r>
              <w:rPr>
                <w:rFonts w:hint="eastAsia" w:ascii="Arial" w:hAnsi="Arial" w:cs="Arial"/>
                <w:sz w:val="16"/>
                <w:szCs w:val="16"/>
              </w:rPr>
              <w:t>68</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ascii="Arial" w:hAnsi="Arial" w:cs="Arial"/>
                <w:sz w:val="16"/>
                <w:szCs w:val="16"/>
              </w:rPr>
              <w:t>259</w:t>
            </w:r>
            <w:r>
              <w:rPr>
                <w:rFonts w:hint="eastAsia" w:ascii="Arial" w:hAnsi="Arial" w:cs="Arial"/>
                <w:sz w:val="16"/>
                <w:szCs w:val="16"/>
              </w:rPr>
              <w:t>.32</w:t>
            </w:r>
          </w:p>
          <w:p>
            <w:pPr>
              <w:adjustRightInd w:val="0"/>
              <w:snapToGrid w:val="0"/>
              <w:jc w:val="center"/>
              <w:rPr>
                <w:rFonts w:ascii="Arial" w:hAnsi="Arial"/>
                <w:sz w:val="16"/>
              </w:rPr>
            </w:pPr>
            <w:r>
              <w:rPr>
                <w:rFonts w:hint="eastAsia" w:ascii="Arial" w:hAnsi="Arial" w:cs="Arial"/>
                <w:sz w:val="16"/>
                <w:szCs w:val="16"/>
              </w:rPr>
              <w:t>(18</w:t>
            </w:r>
            <w:r>
              <w:rPr>
                <w:rFonts w:ascii="Arial" w:hAnsi="Arial"/>
                <w:sz w:val="16"/>
              </w:rPr>
              <w:t>.0)</w:t>
            </w:r>
          </w:p>
        </w:tc>
        <w:tc>
          <w:tcPr>
            <w:tcW w:w="993"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ascii="Arial" w:hAnsi="Arial" w:cs="Arial"/>
                <w:sz w:val="16"/>
                <w:szCs w:val="16"/>
              </w:rPr>
              <w:t>244</w:t>
            </w:r>
            <w:r>
              <w:rPr>
                <w:rFonts w:hint="eastAsia" w:ascii="Arial" w:hAnsi="Arial" w:cs="Arial"/>
                <w:sz w:val="16"/>
                <w:szCs w:val="16"/>
              </w:rPr>
              <w:t>.27</w:t>
            </w:r>
          </w:p>
          <w:p>
            <w:pPr>
              <w:adjustRightInd w:val="0"/>
              <w:snapToGrid w:val="0"/>
              <w:jc w:val="center"/>
              <w:rPr>
                <w:rFonts w:ascii="Arial" w:hAnsi="Arial"/>
                <w:sz w:val="16"/>
              </w:rPr>
            </w:pPr>
            <w:r>
              <w:rPr>
                <w:rFonts w:hint="eastAsia" w:ascii="Arial" w:hAnsi="Arial" w:cs="Arial"/>
                <w:sz w:val="16"/>
                <w:szCs w:val="16"/>
              </w:rPr>
              <w:t>(</w:t>
            </w:r>
            <w:r>
              <w:rPr>
                <w:rFonts w:ascii="Arial" w:hAnsi="Arial" w:cs="Arial"/>
                <w:sz w:val="16"/>
                <w:szCs w:val="16"/>
              </w:rPr>
              <w:t>17.0</w:t>
            </w:r>
            <w:r>
              <w:rPr>
                <w:rFonts w:ascii="Arial" w:hAnsi="Arial"/>
                <w:sz w:val="16"/>
              </w:rPr>
              <w:t>)</w:t>
            </w:r>
          </w:p>
        </w:tc>
        <w:tc>
          <w:tcPr>
            <w:tcW w:w="992" w:type="dxa"/>
            <w:shd w:val="clear" w:color="auto" w:fill="auto"/>
            <w:tcMar>
              <w:top w:w="15" w:type="dxa"/>
              <w:left w:w="15" w:type="dxa"/>
              <w:bottom w:w="15" w:type="dxa"/>
              <w:right w:w="15" w:type="dxa"/>
            </w:tcMar>
            <w:vAlign w:val="center"/>
          </w:tcPr>
          <w:p>
            <w:pPr>
              <w:adjustRightInd w:val="0"/>
              <w:snapToGrid w:val="0"/>
              <w:jc w:val="center"/>
              <w:rPr>
                <w:rFonts w:ascii="Arial" w:hAnsi="Arial" w:cs="Arial"/>
                <w:sz w:val="16"/>
                <w:szCs w:val="16"/>
              </w:rPr>
            </w:pPr>
            <w:r>
              <w:rPr>
                <w:rFonts w:ascii="Arial" w:hAnsi="Arial" w:cs="Arial"/>
                <w:sz w:val="16"/>
                <w:szCs w:val="16"/>
              </w:rPr>
              <w:t>933</w:t>
            </w:r>
            <w:r>
              <w:rPr>
                <w:rFonts w:hint="eastAsia" w:ascii="Arial" w:hAnsi="Arial" w:cs="Arial"/>
                <w:sz w:val="16"/>
                <w:szCs w:val="16"/>
              </w:rPr>
              <w:t>.10</w:t>
            </w:r>
          </w:p>
          <w:p>
            <w:pPr>
              <w:adjustRightInd w:val="0"/>
              <w:snapToGrid w:val="0"/>
              <w:jc w:val="center"/>
              <w:rPr>
                <w:rFonts w:ascii="Arial" w:hAnsi="Arial"/>
                <w:sz w:val="16"/>
              </w:rPr>
            </w:pPr>
            <w:r>
              <w:rPr>
                <w:rFonts w:ascii="Arial" w:hAnsi="Arial"/>
                <w:sz w:val="16"/>
              </w:rPr>
              <w:t>(64.</w:t>
            </w:r>
            <w:r>
              <w:rPr>
                <w:rFonts w:ascii="Arial" w:hAnsi="Arial" w:cs="Arial"/>
                <w:sz w:val="16"/>
                <w:szCs w:val="16"/>
              </w:rPr>
              <w:t>9</w:t>
            </w:r>
            <w:r>
              <w:rPr>
                <w:rFonts w:ascii="Arial" w:hAnsi="Arial"/>
                <w:sz w:val="16"/>
              </w:rPr>
              <w:t>)</w:t>
            </w:r>
          </w:p>
        </w:tc>
        <w:tc>
          <w:tcPr>
            <w:tcW w:w="1096" w:type="dxa"/>
            <w:shd w:val="clear" w:color="auto" w:fill="auto"/>
            <w:tcMar>
              <w:top w:w="15" w:type="dxa"/>
              <w:left w:w="15" w:type="dxa"/>
              <w:bottom w:w="15" w:type="dxa"/>
              <w:right w:w="15" w:type="dxa"/>
            </w:tcMar>
            <w:vAlign w:val="center"/>
          </w:tcPr>
          <w:p>
            <w:pPr>
              <w:adjustRightInd w:val="0"/>
              <w:snapToGrid w:val="0"/>
              <w:jc w:val="center"/>
              <w:rPr>
                <w:rFonts w:ascii="Arial" w:hAnsi="Arial"/>
                <w:sz w:val="16"/>
              </w:rPr>
            </w:pPr>
            <w:r>
              <w:rPr>
                <w:rFonts w:ascii="Arial" w:hAnsi="Arial"/>
                <w:sz w:val="16"/>
              </w:rPr>
              <w:t>251.95</w:t>
            </w:r>
          </w:p>
          <w:p>
            <w:pPr>
              <w:adjustRightInd w:val="0"/>
              <w:snapToGrid w:val="0"/>
              <w:jc w:val="center"/>
              <w:rPr>
                <w:rFonts w:ascii="Arial" w:hAnsi="Arial"/>
                <w:sz w:val="16"/>
              </w:rPr>
            </w:pPr>
            <w:r>
              <w:rPr>
                <w:rFonts w:ascii="Arial" w:hAnsi="Arial"/>
                <w:sz w:val="16"/>
              </w:rPr>
              <w:t>(</w:t>
            </w:r>
            <w:r>
              <w:rPr>
                <w:rFonts w:hint="eastAsia" w:ascii="Arial" w:hAnsi="Arial" w:cs="Arial"/>
                <w:sz w:val="16"/>
                <w:szCs w:val="16"/>
              </w:rPr>
              <w:t>17.5</w:t>
            </w:r>
            <w:r>
              <w:rPr>
                <w:rFonts w:ascii="Arial" w:hAnsi="Arial"/>
                <w:sz w:val="16"/>
              </w:rPr>
              <w:t>)</w:t>
            </w:r>
          </w:p>
        </w:tc>
        <w:tc>
          <w:tcPr>
            <w:tcW w:w="813"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Times New Roman" w:hAnsi="Times New Roman" w:cs="Times New Roman"/>
                <w:color w:val="FF0000"/>
                <w:kern w:val="0"/>
                <w:sz w:val="20"/>
                <w:szCs w:val="20"/>
              </w:rPr>
              <w:t>–</w:t>
            </w: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Times New Roman" w:hAnsi="Times New Roman" w:cs="Times New Roman"/>
                <w:color w:val="FF0000"/>
                <w:kern w:val="0"/>
                <w:sz w:val="20"/>
                <w:szCs w:val="20"/>
              </w:rPr>
              <w:t>–</w:t>
            </w:r>
          </w:p>
        </w:tc>
        <w:tc>
          <w:tcPr>
            <w:tcW w:w="861"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Times New Roman" w:hAnsi="Times New Roman" w:cs="Times New Roman"/>
                <w:color w:val="FF0000"/>
                <w:kern w:val="0"/>
                <w:sz w:val="20"/>
                <w:szCs w:val="20"/>
              </w:rPr>
              <w:t>–</w:t>
            </w:r>
          </w:p>
        </w:tc>
        <w:tc>
          <w:tcPr>
            <w:tcW w:w="862" w:type="dxa"/>
            <w:shd w:val="clear" w:color="auto" w:fill="auto"/>
            <w:tcMar>
              <w:top w:w="15" w:type="dxa"/>
              <w:left w:w="15" w:type="dxa"/>
              <w:bottom w:w="15" w:type="dxa"/>
              <w:right w:w="15" w:type="dxa"/>
            </w:tcMar>
            <w:vAlign w:val="center"/>
          </w:tcPr>
          <w:p>
            <w:pPr>
              <w:adjustRightInd w:val="0"/>
              <w:snapToGrid w:val="0"/>
              <w:jc w:val="center"/>
              <w:rPr>
                <w:rFonts w:ascii="Arial" w:hAnsi="Arial" w:cs="Arial"/>
                <w:color w:val="000000"/>
                <w:sz w:val="16"/>
                <w:szCs w:val="16"/>
              </w:rPr>
            </w:pPr>
            <w:r>
              <w:rPr>
                <w:rFonts w:ascii="Times New Roman" w:hAnsi="Times New Roman" w:cs="Times New Roman"/>
                <w:color w:val="FF0000"/>
                <w:kern w:val="0"/>
                <w:sz w:val="20"/>
                <w:szCs w:val="20"/>
              </w:rPr>
              <w:t>–</w:t>
            </w:r>
            <w:bookmarkStart w:id="0" w:name="_GoBack"/>
            <w:bookmarkEnd w:id="0"/>
          </w:p>
        </w:tc>
      </w:tr>
    </w:tbl>
    <w:p>
      <w:pPr>
        <w:adjustRightInd w:val="0"/>
        <w:snapToGrid w:val="0"/>
        <w:spacing w:before="312" w:beforeLines="100" w:line="480" w:lineRule="auto"/>
        <w:rPr>
          <w:rFonts w:ascii="Arial" w:hAnsi="Arial" w:cs="Arial"/>
          <w:b/>
          <w:sz w:val="20"/>
          <w:szCs w:val="20"/>
        </w:rPr>
        <w:sectPr>
          <w:footerReference r:id="rId3" w:type="default"/>
          <w:pgSz w:w="11906" w:h="16838"/>
          <w:pgMar w:top="1440" w:right="1080" w:bottom="1440" w:left="1080" w:header="851" w:footer="992" w:gutter="0"/>
          <w:cols w:space="720" w:num="1"/>
          <w:docGrid w:type="lines" w:linePitch="312" w:charSpace="0"/>
        </w:sectPr>
      </w:pPr>
    </w:p>
    <w:p>
      <w:pPr>
        <w:adjustRightInd w:val="0"/>
        <w:snapToGrid w:val="0"/>
        <w:spacing w:before="312" w:beforeLines="100" w:line="480" w:lineRule="auto"/>
        <w:rPr>
          <w:rFonts w:ascii="Times New Roman" w:hAnsi="Times New Roman" w:cs="Times New Roman"/>
          <w:sz w:val="20"/>
        </w:rPr>
      </w:pPr>
      <w:r>
        <w:rPr>
          <w:rFonts w:ascii="Times New Roman" w:hAnsi="Times New Roman" w:cs="Times New Roman"/>
          <w:b/>
          <w:sz w:val="20"/>
          <w:szCs w:val="20"/>
        </w:rPr>
        <w:t>Table S3:</w:t>
      </w:r>
      <w:r>
        <w:rPr>
          <w:rFonts w:ascii="Times New Roman" w:hAnsi="Times New Roman" w:cs="Times New Roman"/>
          <w:sz w:val="20"/>
          <w:szCs w:val="20"/>
        </w:rPr>
        <w:t xml:space="preserve"> Gene function and the different methylation patterns of the DMCs in the gene DMRs. DMC, differentially</w:t>
      </w:r>
      <w:r>
        <w:rPr>
          <w:rFonts w:ascii="Times New Roman" w:hAnsi="Times New Roman" w:cs="Times New Roman"/>
          <w:sz w:val="20"/>
        </w:rPr>
        <w:t xml:space="preserve"> methylated </w:t>
      </w:r>
      <w:r>
        <w:rPr>
          <w:rFonts w:ascii="Times New Roman" w:hAnsi="Times New Roman" w:cs="Times New Roman"/>
          <w:sz w:val="20"/>
          <w:szCs w:val="20"/>
        </w:rPr>
        <w:t xml:space="preserve">cytosines; DMR, differentially methylated region; TSS, transcription start site; TTS, transcription termination site; Dns, downstream gene region; Ups, upstream gene region; Gby, gene body; HNT, high </w:t>
      </w:r>
      <w:r>
        <w:rPr>
          <w:rFonts w:ascii="Times New Roman" w:hAnsi="Times New Roman" w:cs="Times New Roman"/>
          <w:sz w:val="20"/>
        </w:rPr>
        <w:t xml:space="preserve">nighttime </w:t>
      </w:r>
      <w:r>
        <w:rPr>
          <w:rFonts w:ascii="Times New Roman" w:hAnsi="Times New Roman" w:cs="Times New Roman"/>
          <w:sz w:val="20"/>
          <w:szCs w:val="20"/>
        </w:rPr>
        <w:t xml:space="preserve">temperature.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 1 \* ROMAN </w:instrText>
      </w:r>
      <w:r>
        <w:rPr>
          <w:rFonts w:ascii="Times New Roman" w:hAnsi="Times New Roman" w:cs="Times New Roman"/>
          <w:sz w:val="20"/>
          <w:szCs w:val="20"/>
        </w:rPr>
        <w:fldChar w:fldCharType="separate"/>
      </w:r>
      <w:r>
        <w:rPr>
          <w:rFonts w:ascii="Times New Roman" w:hAnsi="Times New Roman" w:cs="Times New Roman"/>
          <w:sz w:val="20"/>
          <w:szCs w:val="20"/>
        </w:rPr>
        <w:t>I</w:t>
      </w:r>
      <w:r>
        <w:rPr>
          <w:rFonts w:ascii="Times New Roman" w:hAnsi="Times New Roman" w:cs="Times New Roman"/>
          <w:sz w:val="20"/>
          <w:szCs w:val="20"/>
        </w:rPr>
        <w:fldChar w:fldCharType="end"/>
      </w:r>
      <w:r>
        <w:rPr>
          <w:rFonts w:ascii="Times New Roman" w:hAnsi="Times New Roman" w:cs="Times New Roman"/>
          <w:sz w:val="20"/>
          <w:szCs w:val="20"/>
        </w:rPr>
        <w:t xml:space="preserve"> indicates a type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 1 \* ROMAN </w:instrText>
      </w:r>
      <w:r>
        <w:rPr>
          <w:rFonts w:ascii="Times New Roman" w:hAnsi="Times New Roman" w:cs="Times New Roman"/>
          <w:sz w:val="20"/>
          <w:szCs w:val="20"/>
        </w:rPr>
        <w:fldChar w:fldCharType="separate"/>
      </w:r>
      <w:r>
        <w:rPr>
          <w:rFonts w:ascii="Times New Roman" w:hAnsi="Times New Roman" w:cs="Times New Roman"/>
          <w:sz w:val="20"/>
          <w:szCs w:val="20"/>
        </w:rPr>
        <w:t>I</w:t>
      </w:r>
      <w:r>
        <w:rPr>
          <w:rFonts w:ascii="Times New Roman" w:hAnsi="Times New Roman" w:cs="Times New Roman"/>
          <w:sz w:val="20"/>
          <w:szCs w:val="20"/>
        </w:rPr>
        <w:fldChar w:fldCharType="end"/>
      </w:r>
      <w:r>
        <w:rPr>
          <w:rFonts w:ascii="Times New Roman" w:hAnsi="Times New Roman" w:cs="Times New Roman"/>
          <w:sz w:val="20"/>
          <w:szCs w:val="20"/>
        </w:rPr>
        <w:t xml:space="preserve"> DMC, where the</w:t>
      </w:r>
      <w:r>
        <w:rPr>
          <w:rFonts w:ascii="Times New Roman" w:hAnsi="Times New Roman" w:cs="Times New Roman"/>
          <w:sz w:val="20"/>
        </w:rPr>
        <w:t xml:space="preserve"> </w:t>
      </w:r>
      <w:r>
        <w:rPr>
          <w:rFonts w:ascii="Times New Roman" w:hAnsi="Times New Roman" w:cs="Times New Roman"/>
          <w:sz w:val="20"/>
          <w:szCs w:val="20"/>
        </w:rPr>
        <w:t>DMC in the heat-tolerant strain was methylated by HNT</w:t>
      </w:r>
      <w:r>
        <w:rPr>
          <w:rFonts w:ascii="Times New Roman" w:hAnsi="Times New Roman" w:cs="Times New Roman"/>
          <w:sz w:val="20"/>
        </w:rPr>
        <w:t xml:space="preserve">, but the </w:t>
      </w:r>
      <w:r>
        <w:rPr>
          <w:rFonts w:ascii="Times New Roman" w:hAnsi="Times New Roman" w:cs="Times New Roman"/>
          <w:sz w:val="20"/>
          <w:szCs w:val="20"/>
        </w:rPr>
        <w:t>corresponding</w:t>
      </w:r>
      <w:r>
        <w:rPr>
          <w:rFonts w:ascii="Times New Roman" w:hAnsi="Times New Roman" w:cs="Times New Roman"/>
          <w:sz w:val="20"/>
        </w:rPr>
        <w:t xml:space="preserve"> </w:t>
      </w:r>
      <w:r>
        <w:rPr>
          <w:rFonts w:ascii="Times New Roman" w:hAnsi="Times New Roman" w:cs="Times New Roman"/>
          <w:sz w:val="20"/>
          <w:szCs w:val="20"/>
        </w:rPr>
        <w:t>cytosine in the heat-sensitive strain</w:t>
      </w:r>
      <w:r>
        <w:rPr>
          <w:rFonts w:ascii="Times New Roman" w:hAnsi="Times New Roman" w:cs="Times New Roman"/>
          <w:sz w:val="20"/>
        </w:rPr>
        <w:t xml:space="preserve"> was either </w:t>
      </w:r>
      <w:r>
        <w:rPr>
          <w:rFonts w:ascii="Times New Roman" w:hAnsi="Times New Roman" w:cs="Times New Roman"/>
          <w:sz w:val="20"/>
          <w:szCs w:val="20"/>
        </w:rPr>
        <w:t>unchanged or demethylated after HNT exposure</w:t>
      </w:r>
      <w:r>
        <w:rPr>
          <w:rFonts w:ascii="Times New Roman" w:hAnsi="Times New Roman" w:cs="Times New Roman"/>
          <w:sz w:val="20"/>
        </w:rPr>
        <w:t xml:space="preserve">; </w:t>
      </w:r>
      <w:r>
        <w:rPr>
          <w:rFonts w:ascii="Times New Roman" w:hAnsi="Times New Roman" w:cs="Times New Roman"/>
          <w:sz w:val="20"/>
        </w:rPr>
        <w:fldChar w:fldCharType="begin"/>
      </w:r>
      <w:r>
        <w:rPr>
          <w:rFonts w:ascii="Times New Roman" w:hAnsi="Times New Roman" w:cs="Times New Roman"/>
          <w:sz w:val="20"/>
        </w:rPr>
        <w:instrText xml:space="preserve"> = 2 \* ROMAN </w:instrText>
      </w:r>
      <w:r>
        <w:rPr>
          <w:rFonts w:ascii="Times New Roman" w:hAnsi="Times New Roman" w:cs="Times New Roman"/>
          <w:sz w:val="20"/>
        </w:rPr>
        <w:fldChar w:fldCharType="separate"/>
      </w:r>
      <w:r>
        <w:rPr>
          <w:rFonts w:ascii="Times New Roman" w:hAnsi="Times New Roman" w:cs="Times New Roman"/>
          <w:sz w:val="20"/>
        </w:rPr>
        <w:t>II</w:t>
      </w:r>
      <w:r>
        <w:rPr>
          <w:rFonts w:ascii="Times New Roman" w:hAnsi="Times New Roman" w:cs="Times New Roman"/>
          <w:sz w:val="20"/>
        </w:rPr>
        <w:fldChar w:fldCharType="end"/>
      </w:r>
      <w:r>
        <w:rPr>
          <w:rFonts w:ascii="Times New Roman" w:hAnsi="Times New Roman" w:cs="Times New Roman"/>
          <w:sz w:val="20"/>
        </w:rPr>
        <w:t xml:space="preserve"> indicates a type </w:t>
      </w:r>
      <w:r>
        <w:rPr>
          <w:rFonts w:ascii="Times New Roman" w:hAnsi="Times New Roman" w:cs="Times New Roman"/>
          <w:sz w:val="20"/>
        </w:rPr>
        <w:fldChar w:fldCharType="begin"/>
      </w:r>
      <w:r>
        <w:rPr>
          <w:rFonts w:ascii="Times New Roman" w:hAnsi="Times New Roman" w:cs="Times New Roman"/>
          <w:sz w:val="20"/>
        </w:rPr>
        <w:instrText xml:space="preserve"> = 2 \* ROMAN </w:instrText>
      </w:r>
      <w:r>
        <w:rPr>
          <w:rFonts w:ascii="Times New Roman" w:hAnsi="Times New Roman" w:cs="Times New Roman"/>
          <w:sz w:val="20"/>
        </w:rPr>
        <w:fldChar w:fldCharType="separate"/>
      </w:r>
      <w:r>
        <w:rPr>
          <w:rFonts w:ascii="Times New Roman" w:hAnsi="Times New Roman" w:cs="Times New Roman"/>
          <w:sz w:val="20"/>
        </w:rPr>
        <w:t>II</w:t>
      </w:r>
      <w:r>
        <w:rPr>
          <w:rFonts w:ascii="Times New Roman" w:hAnsi="Times New Roman" w:cs="Times New Roman"/>
          <w:sz w:val="20"/>
        </w:rPr>
        <w:fldChar w:fldCharType="end"/>
      </w:r>
      <w:r>
        <w:rPr>
          <w:rFonts w:ascii="Times New Roman" w:hAnsi="Times New Roman" w:cs="Times New Roman"/>
          <w:sz w:val="20"/>
        </w:rPr>
        <w:t xml:space="preserve"> DMC</w:t>
      </w:r>
      <w:r>
        <w:rPr>
          <w:rFonts w:ascii="Times New Roman" w:hAnsi="Times New Roman" w:cs="Times New Roman"/>
          <w:sz w:val="20"/>
          <w:szCs w:val="20"/>
        </w:rPr>
        <w:t>, where the DMC in the heat-tolerant strain was demethylated by HNT</w:t>
      </w:r>
      <w:r>
        <w:rPr>
          <w:rFonts w:ascii="Times New Roman" w:hAnsi="Times New Roman" w:cs="Times New Roman"/>
          <w:sz w:val="20"/>
        </w:rPr>
        <w:t xml:space="preserve">, but the corresponding </w:t>
      </w:r>
      <w:r>
        <w:rPr>
          <w:rFonts w:ascii="Times New Roman" w:hAnsi="Times New Roman" w:cs="Times New Roman"/>
          <w:sz w:val="20"/>
          <w:szCs w:val="20"/>
        </w:rPr>
        <w:t>cytosine in the heat-sensitive strain</w:t>
      </w:r>
      <w:r>
        <w:rPr>
          <w:rFonts w:ascii="Times New Roman" w:hAnsi="Times New Roman" w:cs="Times New Roman"/>
          <w:sz w:val="20"/>
        </w:rPr>
        <w:t xml:space="preserve"> was either </w:t>
      </w:r>
      <w:r>
        <w:rPr>
          <w:rFonts w:ascii="Times New Roman" w:hAnsi="Times New Roman" w:cs="Times New Roman"/>
          <w:sz w:val="20"/>
          <w:szCs w:val="20"/>
        </w:rPr>
        <w:t>unchanged or methylated after HNT exposure</w:t>
      </w:r>
      <w:r>
        <w:rPr>
          <w:rFonts w:ascii="Times New Roman" w:hAnsi="Times New Roman" w:cs="Times New Roman"/>
          <w:sz w:val="20"/>
        </w:rPr>
        <w:t xml:space="preserve">; </w:t>
      </w:r>
      <w:r>
        <w:rPr>
          <w:rFonts w:ascii="Times New Roman" w:hAnsi="Times New Roman" w:cs="Times New Roman"/>
          <w:sz w:val="20"/>
        </w:rPr>
        <w:fldChar w:fldCharType="begin"/>
      </w:r>
      <w:r>
        <w:rPr>
          <w:rFonts w:ascii="Times New Roman" w:hAnsi="Times New Roman" w:cs="Times New Roman"/>
          <w:sz w:val="20"/>
        </w:rPr>
        <w:instrText xml:space="preserve"> = 3 \* ROMAN </w:instrText>
      </w:r>
      <w:r>
        <w:rPr>
          <w:rFonts w:ascii="Times New Roman" w:hAnsi="Times New Roman" w:cs="Times New Roman"/>
          <w:sz w:val="20"/>
        </w:rPr>
        <w:fldChar w:fldCharType="separate"/>
      </w:r>
      <w:r>
        <w:rPr>
          <w:rFonts w:ascii="Times New Roman" w:hAnsi="Times New Roman" w:cs="Times New Roman"/>
          <w:sz w:val="20"/>
        </w:rPr>
        <w:t>III</w:t>
      </w:r>
      <w:r>
        <w:rPr>
          <w:rFonts w:ascii="Times New Roman" w:hAnsi="Times New Roman" w:cs="Times New Roman"/>
          <w:sz w:val="20"/>
        </w:rPr>
        <w:fldChar w:fldCharType="end"/>
      </w:r>
      <w:r>
        <w:rPr>
          <w:rFonts w:ascii="Times New Roman" w:hAnsi="Times New Roman" w:cs="Times New Roman"/>
          <w:sz w:val="20"/>
        </w:rPr>
        <w:t xml:space="preserve"> indicates type </w:t>
      </w:r>
      <w:r>
        <w:rPr>
          <w:rFonts w:ascii="Times New Roman" w:hAnsi="Times New Roman" w:cs="Times New Roman"/>
          <w:sz w:val="20"/>
        </w:rPr>
        <w:fldChar w:fldCharType="begin"/>
      </w:r>
      <w:r>
        <w:rPr>
          <w:rFonts w:ascii="Times New Roman" w:hAnsi="Times New Roman" w:cs="Times New Roman"/>
          <w:sz w:val="20"/>
        </w:rPr>
        <w:instrText xml:space="preserve"> = 3 \* ROMAN </w:instrText>
      </w:r>
      <w:r>
        <w:rPr>
          <w:rFonts w:ascii="Times New Roman" w:hAnsi="Times New Roman" w:cs="Times New Roman"/>
          <w:sz w:val="20"/>
        </w:rPr>
        <w:fldChar w:fldCharType="separate"/>
      </w:r>
      <w:r>
        <w:rPr>
          <w:rFonts w:ascii="Times New Roman" w:hAnsi="Times New Roman" w:cs="Times New Roman"/>
          <w:sz w:val="20"/>
        </w:rPr>
        <w:t>III</w:t>
      </w:r>
      <w:r>
        <w:rPr>
          <w:rFonts w:ascii="Times New Roman" w:hAnsi="Times New Roman" w:cs="Times New Roman"/>
          <w:sz w:val="20"/>
        </w:rPr>
        <w:fldChar w:fldCharType="end"/>
      </w:r>
      <w:r>
        <w:rPr>
          <w:rFonts w:ascii="Times New Roman" w:hAnsi="Times New Roman" w:cs="Times New Roman"/>
          <w:sz w:val="20"/>
        </w:rPr>
        <w:t xml:space="preserve"> DMC</w:t>
      </w:r>
      <w:r>
        <w:rPr>
          <w:rFonts w:ascii="Times New Roman" w:hAnsi="Times New Roman" w:cs="Times New Roman"/>
          <w:sz w:val="20"/>
          <w:szCs w:val="20"/>
        </w:rPr>
        <w:t>, where the DMC</w:t>
      </w:r>
      <w:r>
        <w:rPr>
          <w:rFonts w:ascii="Times New Roman" w:hAnsi="Times New Roman" w:cs="Times New Roman"/>
          <w:sz w:val="20"/>
        </w:rPr>
        <w:t xml:space="preserve"> in the </w:t>
      </w:r>
      <w:r>
        <w:rPr>
          <w:rFonts w:ascii="Times New Roman" w:hAnsi="Times New Roman" w:cs="Times New Roman"/>
          <w:sz w:val="20"/>
          <w:szCs w:val="20"/>
        </w:rPr>
        <w:t>heat-tolerant strain was unchanged after HNT exposure, but the corresponding cytosine in the heat-sensitive strain was either methylated or demethylated by HNT.</w:t>
      </w:r>
    </w:p>
    <w:tbl>
      <w:tblPr>
        <w:tblStyle w:val="16"/>
        <w:tblW w:w="13716" w:type="dxa"/>
        <w:tblInd w:w="199"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2268"/>
        <w:gridCol w:w="6662"/>
        <w:gridCol w:w="1276"/>
        <w:gridCol w:w="1276"/>
        <w:gridCol w:w="1134"/>
        <w:gridCol w:w="110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557" w:hRule="exact"/>
          <w:tblHeader/>
        </w:trPr>
        <w:tc>
          <w:tcPr>
            <w:tcW w:w="2268" w:type="dxa"/>
            <w:tcBorders>
              <w:top w:val="single" w:color="auto" w:sz="4" w:space="0"/>
              <w:bottom w:val="single" w:color="auto" w:sz="4" w:space="0"/>
            </w:tcBorders>
            <w:vAlign w:val="center"/>
          </w:tcPr>
          <w:p>
            <w:pPr>
              <w:adjustRightInd w:val="0"/>
              <w:snapToGrid w:val="0"/>
              <w:spacing w:before="100" w:beforeAutospacing="1" w:after="100" w:afterAutospacing="1"/>
              <w:jc w:val="left"/>
              <w:rPr>
                <w:rFonts w:ascii="Arial" w:hAnsi="Arial" w:cs="Arial"/>
                <w:b/>
                <w:bCs/>
                <w:color w:val="000000"/>
                <w:sz w:val="16"/>
                <w:szCs w:val="16"/>
              </w:rPr>
            </w:pPr>
            <w:r>
              <w:rPr>
                <w:rFonts w:ascii="Arial" w:hAnsi="Arial" w:cs="Arial"/>
                <w:b/>
                <w:bCs/>
                <w:color w:val="000000"/>
                <w:sz w:val="16"/>
                <w:szCs w:val="16"/>
              </w:rPr>
              <w:t>Gene ID</w:t>
            </w:r>
          </w:p>
        </w:tc>
        <w:tc>
          <w:tcPr>
            <w:tcW w:w="6662" w:type="dxa"/>
            <w:tcBorders>
              <w:top w:val="single" w:color="auto" w:sz="4" w:space="0"/>
              <w:bottom w:val="single" w:color="auto" w:sz="4" w:space="0"/>
            </w:tcBorders>
            <w:vAlign w:val="center"/>
          </w:tcPr>
          <w:p>
            <w:pPr>
              <w:adjustRightInd w:val="0"/>
              <w:snapToGrid w:val="0"/>
              <w:spacing w:before="100" w:beforeAutospacing="1" w:after="100" w:afterAutospacing="1"/>
              <w:ind w:firstLine="624" w:firstLineChars="390"/>
              <w:jc w:val="left"/>
              <w:rPr>
                <w:rFonts w:ascii="Arial" w:hAnsi="Arial" w:cs="Arial"/>
                <w:b/>
                <w:bCs/>
                <w:color w:val="000000"/>
                <w:sz w:val="16"/>
                <w:szCs w:val="16"/>
              </w:rPr>
            </w:pPr>
            <w:r>
              <w:rPr>
                <w:rFonts w:ascii="Arial" w:hAnsi="Arial" w:cs="Arial"/>
                <w:b/>
                <w:bCs/>
                <w:color w:val="000000"/>
                <w:sz w:val="16"/>
                <w:szCs w:val="16"/>
              </w:rPr>
              <w:t>Functional annotation</w:t>
            </w:r>
          </w:p>
        </w:tc>
        <w:tc>
          <w:tcPr>
            <w:tcW w:w="1276" w:type="dxa"/>
            <w:tcBorders>
              <w:top w:val="single" w:color="auto" w:sz="4" w:space="0"/>
              <w:bottom w:val="single" w:color="auto" w:sz="4" w:space="0"/>
            </w:tcBorders>
            <w:vAlign w:val="center"/>
          </w:tcPr>
          <w:p>
            <w:pPr>
              <w:adjustRightInd w:val="0"/>
              <w:snapToGrid w:val="0"/>
              <w:spacing w:before="100" w:beforeAutospacing="1" w:after="100" w:afterAutospacing="1"/>
              <w:jc w:val="center"/>
              <w:rPr>
                <w:rFonts w:ascii="Arial" w:hAnsi="Arial" w:cs="Arial"/>
                <w:b/>
                <w:bCs/>
                <w:color w:val="000000"/>
                <w:sz w:val="16"/>
                <w:szCs w:val="16"/>
              </w:rPr>
            </w:pPr>
            <w:r>
              <w:rPr>
                <w:rFonts w:hint="eastAsia" w:ascii="Arial" w:hAnsi="Arial" w:cs="Arial"/>
                <w:b/>
                <w:bCs/>
                <w:color w:val="000000"/>
                <w:sz w:val="16"/>
                <w:szCs w:val="16"/>
              </w:rPr>
              <w:t>DMR position in</w:t>
            </w:r>
            <w:r>
              <w:rPr>
                <w:rFonts w:ascii="Arial" w:hAnsi="Arial" w:cs="Arial"/>
                <w:b/>
                <w:bCs/>
                <w:color w:val="000000"/>
                <w:sz w:val="16"/>
                <w:szCs w:val="16"/>
              </w:rPr>
              <w:t xml:space="preserve"> TSS/TTS</w:t>
            </w:r>
          </w:p>
        </w:tc>
        <w:tc>
          <w:tcPr>
            <w:tcW w:w="1276" w:type="dxa"/>
            <w:tcBorders>
              <w:top w:val="single" w:color="auto" w:sz="4" w:space="0"/>
              <w:bottom w:val="single" w:color="auto" w:sz="4" w:space="0"/>
            </w:tcBorders>
            <w:vAlign w:val="center"/>
          </w:tcPr>
          <w:p>
            <w:pPr>
              <w:adjustRightInd w:val="0"/>
              <w:snapToGrid w:val="0"/>
              <w:spacing w:before="100" w:beforeAutospacing="1" w:after="100" w:afterAutospacing="1"/>
              <w:jc w:val="center"/>
              <w:rPr>
                <w:rFonts w:ascii="Arial" w:hAnsi="Arial" w:cs="Arial"/>
                <w:b/>
                <w:bCs/>
                <w:color w:val="000000"/>
                <w:sz w:val="16"/>
                <w:szCs w:val="16"/>
              </w:rPr>
            </w:pPr>
            <w:r>
              <w:rPr>
                <w:rFonts w:ascii="Arial" w:hAnsi="Arial" w:cs="Arial"/>
                <w:b/>
                <w:bCs/>
                <w:color w:val="000000"/>
                <w:sz w:val="16"/>
                <w:szCs w:val="16"/>
              </w:rPr>
              <w:t xml:space="preserve">Total cytosine </w:t>
            </w:r>
            <w:r>
              <w:rPr>
                <w:rFonts w:hint="eastAsia" w:ascii="Arial" w:hAnsi="Arial" w:cs="Arial"/>
                <w:b/>
                <w:bCs/>
                <w:color w:val="000000"/>
                <w:sz w:val="16"/>
                <w:szCs w:val="16"/>
              </w:rPr>
              <w:t xml:space="preserve">number </w:t>
            </w:r>
            <w:r>
              <w:rPr>
                <w:rFonts w:ascii="Arial" w:hAnsi="Arial" w:cs="Arial"/>
                <w:b/>
                <w:bCs/>
                <w:color w:val="000000"/>
                <w:sz w:val="16"/>
                <w:szCs w:val="16"/>
              </w:rPr>
              <w:t xml:space="preserve">in </w:t>
            </w:r>
            <w:r>
              <w:rPr>
                <w:rFonts w:hint="eastAsia" w:ascii="Arial" w:hAnsi="Arial" w:cs="Arial"/>
                <w:b/>
                <w:bCs/>
                <w:color w:val="000000"/>
                <w:sz w:val="16"/>
                <w:szCs w:val="16"/>
              </w:rPr>
              <w:t>DMR</w:t>
            </w:r>
          </w:p>
        </w:tc>
        <w:tc>
          <w:tcPr>
            <w:tcW w:w="1134" w:type="dxa"/>
            <w:tcBorders>
              <w:top w:val="single" w:color="auto" w:sz="4" w:space="0"/>
              <w:bottom w:val="single" w:color="auto" w:sz="4" w:space="0"/>
            </w:tcBorders>
            <w:vAlign w:val="center"/>
          </w:tcPr>
          <w:p>
            <w:pPr>
              <w:adjustRightInd w:val="0"/>
              <w:snapToGrid w:val="0"/>
              <w:spacing w:before="100" w:beforeAutospacing="1" w:after="100" w:afterAutospacing="1"/>
              <w:jc w:val="center"/>
              <w:rPr>
                <w:rFonts w:ascii="Arial" w:hAnsi="Arial" w:cs="Arial"/>
                <w:b/>
                <w:bCs/>
                <w:color w:val="000000"/>
                <w:sz w:val="16"/>
                <w:szCs w:val="16"/>
              </w:rPr>
            </w:pPr>
            <w:r>
              <w:rPr>
                <w:rFonts w:ascii="Arial" w:hAnsi="Arial" w:cs="Arial"/>
                <w:b/>
                <w:bCs/>
                <w:color w:val="000000"/>
                <w:sz w:val="16"/>
                <w:szCs w:val="16"/>
              </w:rPr>
              <w:t>DMC</w:t>
            </w:r>
            <w:r>
              <w:rPr>
                <w:rFonts w:hint="eastAsia" w:ascii="Arial" w:hAnsi="Arial" w:cs="Arial"/>
                <w:b/>
                <w:bCs/>
                <w:color w:val="000000"/>
                <w:sz w:val="16"/>
                <w:szCs w:val="16"/>
              </w:rPr>
              <w:t>s number</w:t>
            </w:r>
            <w:r>
              <w:rPr>
                <w:rFonts w:ascii="Arial" w:hAnsi="Arial" w:cs="Arial"/>
                <w:b/>
                <w:bCs/>
                <w:color w:val="000000"/>
                <w:sz w:val="16"/>
                <w:szCs w:val="16"/>
              </w:rPr>
              <w:t xml:space="preserve"> in</w:t>
            </w:r>
            <w:r>
              <w:rPr>
                <w:rFonts w:hint="eastAsia" w:ascii="Arial" w:hAnsi="Arial" w:cs="Arial"/>
                <w:b/>
                <w:bCs/>
                <w:color w:val="000000"/>
                <w:sz w:val="16"/>
                <w:szCs w:val="16"/>
              </w:rPr>
              <w:t xml:space="preserve"> DMR</w:t>
            </w:r>
          </w:p>
        </w:tc>
        <w:tc>
          <w:tcPr>
            <w:tcW w:w="1100" w:type="dxa"/>
            <w:tcBorders>
              <w:top w:val="single" w:color="auto" w:sz="4" w:space="0"/>
              <w:bottom w:val="single" w:color="auto" w:sz="4" w:space="0"/>
            </w:tcBorders>
            <w:vAlign w:val="center"/>
          </w:tcPr>
          <w:p>
            <w:pPr>
              <w:adjustRightInd w:val="0"/>
              <w:snapToGrid w:val="0"/>
              <w:spacing w:before="100" w:beforeAutospacing="1" w:after="100" w:afterAutospacing="1"/>
              <w:jc w:val="center"/>
              <w:rPr>
                <w:rFonts w:ascii="Arial" w:hAnsi="Arial" w:cs="Arial"/>
                <w:b/>
                <w:bCs/>
                <w:color w:val="000000"/>
                <w:sz w:val="16"/>
                <w:szCs w:val="16"/>
              </w:rPr>
            </w:pPr>
            <w:r>
              <w:rPr>
                <w:rFonts w:ascii="Arial" w:hAnsi="Arial" w:cs="Arial"/>
                <w:b/>
                <w:bCs/>
                <w:color w:val="000000"/>
                <w:sz w:val="16"/>
                <w:szCs w:val="16"/>
              </w:rPr>
              <w:t>M</w:t>
            </w:r>
            <w:r>
              <w:rPr>
                <w:rFonts w:hint="eastAsia" w:ascii="Arial" w:hAnsi="Arial" w:cs="Arial"/>
                <w:b/>
                <w:bCs/>
                <w:color w:val="000000"/>
                <w:sz w:val="16"/>
                <w:szCs w:val="16"/>
              </w:rPr>
              <w:t>ethylation type of DMCs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tcBorders>
              <w:top w:val="single" w:color="auto" w:sz="4" w:space="0"/>
            </w:tcBorders>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Transcription regulation</w:t>
            </w:r>
          </w:p>
        </w:tc>
        <w:tc>
          <w:tcPr>
            <w:tcW w:w="1276" w:type="dxa"/>
            <w:tcBorders>
              <w:top w:val="single" w:color="auto" w:sz="4" w:space="0"/>
            </w:tcBorders>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tcBorders>
              <w:top w:val="single" w:color="auto" w:sz="4" w:space="0"/>
            </w:tcBorders>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tcBorders>
              <w:top w:val="single" w:color="auto" w:sz="4" w:space="0"/>
            </w:tcBorders>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tcBorders>
              <w:top w:val="single" w:color="auto" w:sz="4" w:space="0"/>
            </w:tcBorders>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LOC_Os07g09540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Transposon protein, CACTA, En/Spm sub-class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Dns_983-1042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LOC_Os12g29230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Transposon protein, CACTA, En/Spm sub-class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Ups_1623-1572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LOC_Os10g20320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Transposon protein, CACTA, En/Spm sub-class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Ups_1636-1557</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LOC_Os10g42460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Retrotransposon protein, Ty3-gypsy subclass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Ups_1544-1497</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LOC_Os07g41530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Retrotransposon protein, Ty3-gypsy subclass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Dns_855-910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LOC_Os11g35730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Retrotransposon protein, Ty1-copia subclass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Ups_1290-1221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35</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LOC_Os09g13780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Unclassified retrotransposon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Ups_1024-972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LOC_Os12g14900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Unclassified retrotransposon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Dns_1848-1935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LOC_Os09g15160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Unclassified retrotransposon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Ups_1129-1088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LOC_Os12g42750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Unclassified transposon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Dns_633-679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41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LOC_Os01g48810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Transcription initiation factor TFIID subunit 11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Dns_358-399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LOC_Os07g07020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Mediator of RNA polymerase II transcription subunit 31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Dns_2-60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LOC_Os08g33150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MYB family transcription factor</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Dns_1748-1799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LOC_Os02g52780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bZIP transcription factor</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Dns_651-728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LOC_Os11g47900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GRAS family transcription factor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Dns_264-341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LOC_Os04g11830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TCP family transcription factor, sequence-specific DNA binding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Dns_1892-1965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LOC_Os11g03110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GRAS family transcription factor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Ups_456-392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LOC_Os12g41030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AP2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Dns_683-739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LOC_Os11g24850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Ankyrin repeat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Dns_1246-1303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LOC_Os07g28900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PPR repeat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Ups_1577-1495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LOC_Os12g39990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Dof zinc finger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Dns_214-259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LOC_Os01g68860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Zinc finger C-x8-C-x5-C-x3-H type family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Dns_1253-1318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LOC_Os03g41390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ZOS3-15 - C2H2 zinc finger protein, sequence-specific DNA binding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Dns_1669-1737</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LOC_Os03g63810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WRKY80, sequence-specific DNA binding transcription factor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Dns_1347-1439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LOC_Os02g11030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50S ribosomal protein L19, chloroplast precursor</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Dns_1282-1334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LOC_Os01g73770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DREB protein</w:t>
            </w:r>
            <w:r>
              <w:rPr>
                <w:rStyle w:val="29"/>
                <w:rFonts w:ascii="Arial" w:hAnsi="Arial" w:cs="Arial"/>
                <w:sz w:val="16"/>
                <w:szCs w:val="16"/>
              </w:rPr>
              <w:t xml:space="preserve">, </w:t>
            </w:r>
            <w:r>
              <w:rPr>
                <w:rStyle w:val="38"/>
                <w:rFonts w:ascii="Arial" w:hAnsi="Arial" w:cs="Arial"/>
                <w:sz w:val="16"/>
                <w:szCs w:val="16"/>
              </w:rPr>
              <w:t>DNA-binding transcription factor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Dns_714-789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LOC_Os09g03610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Flowering time control protein FCA, RNA binding</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Dns_1730-1800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LOC_Os01g19694</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Homeobox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Gby_265</w:t>
            </w:r>
            <w:r>
              <w:rPr>
                <w:rFonts w:hint="eastAsia" w:ascii="Arial" w:hAnsi="Arial" w:cs="Arial"/>
                <w:color w:val="000000"/>
                <w:sz w:val="16"/>
                <w:szCs w:val="16"/>
              </w:rPr>
              <w:t>3</w:t>
            </w:r>
            <w:r>
              <w:rPr>
                <w:rFonts w:ascii="Arial" w:hAnsi="Arial" w:cs="Arial"/>
                <w:color w:val="000000"/>
                <w:sz w:val="16"/>
                <w:szCs w:val="16"/>
              </w:rPr>
              <w:t>-274</w:t>
            </w:r>
            <w:r>
              <w:rPr>
                <w:rFonts w:hint="eastAsia" w:ascii="Arial" w:hAnsi="Arial" w:cs="Arial"/>
                <w:color w:val="000000"/>
                <w:sz w:val="16"/>
                <w:szCs w:val="16"/>
              </w:rPr>
              <w:t>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LOC_Os01g19490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Pentatricopeptide</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Dns_602-679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LOC_Os03g32620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Pentatricopeptide</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Dns_563-635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LOC_Os04g47690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HMG1/2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Ups_429-387</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LOC_Os04g24190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Growth-regulating factor 11, transcription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Ups_351-287</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Energy metabolism</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LOC_Os02g05890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Chloroplast proton-transporting ATP synthase complex assembly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Ups_1746-1684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LOC_Os04g02030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Rp1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Dns_1903-1949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LOC_Os12g06920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NBS-LRR disease resistance protein, ADP binding</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Dns_1061-1129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LOC_Os01g49430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DnaK (HSP70) family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Dns_81-162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LOC_Os06g08310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Plasma membrane ATPase, hydrolase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Ups_616-538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LOC_Os01g49360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FAD-binding and arabino-lactone oxidase domains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Ups_589-520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28</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LOC_Os04g35280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Neutral/alkaline invertase</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Ups_926-860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LOC_Os10g05660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Thaumatin, acting as endo</w:t>
            </w:r>
            <w:r>
              <w:rPr>
                <w:rStyle w:val="29"/>
                <w:rFonts w:hint="eastAsia" w:ascii="宋体" w:hAnsi="宋体"/>
                <w:sz w:val="16"/>
                <w:szCs w:val="16"/>
              </w:rPr>
              <w:t>‐</w:t>
            </w:r>
            <w:r>
              <w:rPr>
                <w:rStyle w:val="19"/>
                <w:rFonts w:ascii="Arial" w:hAnsi="Arial" w:cs="Arial"/>
                <w:sz w:val="16"/>
                <w:szCs w:val="16"/>
              </w:rPr>
              <w:t>β</w:t>
            </w:r>
            <w:r>
              <w:rPr>
                <w:rStyle w:val="29"/>
                <w:rFonts w:hint="eastAsia" w:ascii="宋体" w:hAnsi="宋体"/>
                <w:sz w:val="16"/>
                <w:szCs w:val="16"/>
              </w:rPr>
              <w:t>‐</w:t>
            </w:r>
            <w:r>
              <w:rPr>
                <w:rStyle w:val="19"/>
                <w:rFonts w:ascii="Arial" w:hAnsi="Arial" w:cs="Arial"/>
                <w:sz w:val="16"/>
                <w:szCs w:val="16"/>
              </w:rPr>
              <w:t>1,3</w:t>
            </w:r>
            <w:r>
              <w:rPr>
                <w:rStyle w:val="29"/>
                <w:rFonts w:hint="eastAsia" w:ascii="宋体" w:hAnsi="宋体"/>
                <w:sz w:val="16"/>
                <w:szCs w:val="16"/>
              </w:rPr>
              <w:t>‐</w:t>
            </w:r>
            <w:r>
              <w:rPr>
                <w:rStyle w:val="19"/>
                <w:rFonts w:ascii="Arial" w:hAnsi="Arial" w:cs="Arial"/>
                <w:sz w:val="16"/>
                <w:szCs w:val="16"/>
              </w:rPr>
              <w:t>glucanases on polymeric β</w:t>
            </w:r>
            <w:r>
              <w:rPr>
                <w:rStyle w:val="29"/>
                <w:rFonts w:hint="eastAsia" w:ascii="宋体" w:hAnsi="宋体"/>
                <w:sz w:val="16"/>
                <w:szCs w:val="16"/>
              </w:rPr>
              <w:t>‐</w:t>
            </w:r>
            <w:r>
              <w:rPr>
                <w:rStyle w:val="19"/>
                <w:rFonts w:ascii="Arial" w:hAnsi="Arial" w:cs="Arial"/>
                <w:sz w:val="16"/>
                <w:szCs w:val="16"/>
              </w:rPr>
              <w:t>1,3</w:t>
            </w:r>
            <w:r>
              <w:rPr>
                <w:rStyle w:val="29"/>
                <w:rFonts w:hint="eastAsia" w:ascii="宋体" w:hAnsi="宋体"/>
                <w:sz w:val="16"/>
                <w:szCs w:val="16"/>
              </w:rPr>
              <w:t>‐</w:t>
            </w:r>
            <w:r>
              <w:rPr>
                <w:rStyle w:val="19"/>
                <w:rFonts w:ascii="Arial" w:hAnsi="Arial" w:cs="Arial"/>
                <w:sz w:val="16"/>
                <w:szCs w:val="16"/>
              </w:rPr>
              <w:t>glucans</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Ups_323-245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LOC_Os04g02900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Dehydrogenase E1 component domain containing protein</w:t>
            </w:r>
            <w:r>
              <w:rPr>
                <w:rFonts w:hint="eastAsia" w:ascii="Arial" w:hAnsi="Arial" w:cs="Arial"/>
                <w:color w:val="000000"/>
                <w:sz w:val="16"/>
                <w:szCs w:val="16"/>
              </w:rPr>
              <w:t xml:space="preserve">, </w:t>
            </w:r>
            <w:r>
              <w:rPr>
                <w:rFonts w:ascii="Arial" w:hAnsi="Arial" w:cs="Arial"/>
                <w:color w:val="000000"/>
                <w:sz w:val="16"/>
                <w:szCs w:val="16"/>
              </w:rPr>
              <w:t>pyruvate dehydrogenase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Dns_1643-1692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42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LOC_Os04g45580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Kinesin motor domain containing protein, ATPase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Ups_518-433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Transport</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LOC_Os03g18560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DUF538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Ups_365-283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LOC_Os05g50160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DUF617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Dns_725-818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LOC_Os07g40460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Prefoldin, protein binding</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Dns_1286-1314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LOC_Os03g14080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Transmembrane amino acid transporter protein, transporter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Ups_487-434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LOC_Os01g73810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ATCHX15, transporter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Ups_340-302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LOC_Os01g55610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Peptide transporter PTR2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Dns_121-169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LOC_Os04g32880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CBS domain containing membrane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Ups_328-284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LOC_Os01g12130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Nodulin MtN3 family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Dns_310-394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Signal transduction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LOC_Os01g62370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ENTH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Dns_172-226</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LOC_Os01g04230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Inactive receptor kinase At2g26730 precursor, kinase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Dns_886-946</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LOC_Os02g16610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Harpin-induced protein 1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Dns_1379-1439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LOC_Os05g30750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Anthranilate phosphoribosyltransferase</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Ups_1919-1862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LOC_Os04g47680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Ser/Thr-rich protein T10 in DGCR region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Dns_213-306</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21</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LOC_Os03g59390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CAMK_CAMK_like</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Dns_1097-1184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LOC_Os04g30110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Wall-associated receptor kinase 3 precursor</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Ups_1279-1203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LOC_Os08g03440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Actin cytoskeleton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Ups_1778-1722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Metabolism</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LOC_Os03g18390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Cysteine-type peptidase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Dns_1316-1352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LOC_Os08g09750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OsFBL44-F-box domain and LRR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Ups_326-264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LOC_Os10g25340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GDSL-like lipase/acylhydrolase, hydrolase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Ups_458-386</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LOC_Os05g06660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OsSCP26-Putative Serine Carboxypeptidase homologue</w:t>
            </w:r>
            <w:r>
              <w:rPr>
                <w:rStyle w:val="29"/>
                <w:rFonts w:ascii="Arial" w:hAnsi="Arial" w:cs="Arial"/>
                <w:sz w:val="16"/>
                <w:szCs w:val="16"/>
              </w:rPr>
              <w:t xml:space="preserve">, </w:t>
            </w:r>
            <w:r>
              <w:rPr>
                <w:rStyle w:val="19"/>
                <w:rFonts w:ascii="Arial" w:hAnsi="Arial" w:cs="Arial"/>
                <w:sz w:val="16"/>
                <w:szCs w:val="16"/>
              </w:rPr>
              <w:t>hydrolase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Ups_711-639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LOC_Os04g35114</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Receptor-like kinase, kinase activity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Dns_672-768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41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LOC_Os04g48020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3-Hexulose-6-phosphate isomerase</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Ups_609-521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Oxidation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LOC_Os08g38720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Cytochrome c oxidase assembly protein COX15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Ups_260-209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LOC_Os08g37874</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2-Nitropropane dioxygenase family</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Dns_65-114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LOC_Os01g49120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MATE efflux family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Ups_1495-1443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8930" w:type="dxa"/>
            <w:gridSpan w:val="2"/>
            <w:vAlign w:val="bottom"/>
          </w:tcPr>
          <w:p>
            <w:pPr>
              <w:adjustRightInd w:val="0"/>
              <w:snapToGrid w:val="0"/>
              <w:spacing w:before="100" w:beforeAutospacing="1" w:after="100" w:afterAutospacing="1"/>
              <w:rPr>
                <w:rFonts w:ascii="Arial" w:hAnsi="Arial" w:cs="Arial"/>
                <w:b/>
                <w:color w:val="000000"/>
                <w:sz w:val="16"/>
                <w:szCs w:val="16"/>
              </w:rPr>
            </w:pPr>
            <w:r>
              <w:rPr>
                <w:rFonts w:ascii="Arial" w:hAnsi="Arial" w:cs="Arial"/>
                <w:b/>
                <w:color w:val="000000"/>
                <w:sz w:val="16"/>
                <w:szCs w:val="16"/>
              </w:rPr>
              <w:t>Function unknown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LOC_Os07g15100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Hypothetical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Ups_1822-1745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LOC_Os08g36820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Dns_686-747</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LOC_Os12g18070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Ups_255-186</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LOC_Os08g33790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Hypothetical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Dns_463-518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LOC_Os09g04120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Ups_1848-1795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LOC_Os01g59940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Ups_556-508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LOC_Os09g38650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Ups_1482-1418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LOC_Os08g05040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Dns_51-114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LOC_Os04g19310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Dns_163-260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31</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LOC_Os06g47290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Growth regulator related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Dns_822-879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LOC_Os11g19170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Hypothetical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Ups_767-698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LOC_Os05g15230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Plant domain containing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Dns_1521-1552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LOC_Os05g48770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Dns_760-823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LOC_Os03g41030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Ups_1249-1189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LOC_Os06g08730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Ups_503-435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22</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LOC_Os05g42428</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Dns_296-388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LOC_Os08g07490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Dns_1281-1345</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LOC_Os03g46940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Ups_1125-1059</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LOC_Os01g51470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Ups_1366-1322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LOC_Os04g53420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Ups_1859-1810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23</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LOC_Os07g36950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Ups_1641-1562</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LOC_Os09g36720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Dns_246-313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LOC_Os08g31590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Dns_1786-1844</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27</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LOC_Os01g35240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Hypothetical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Dns_644-721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30</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20</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sz w:val="20"/>
                <w:szCs w:val="20"/>
              </w:rPr>
              <w:fldChar w:fldCharType="begin"/>
            </w:r>
            <w:r>
              <w:rPr>
                <w:rFonts w:ascii="Arial" w:hAnsi="Arial" w:cs="Arial"/>
                <w:sz w:val="20"/>
                <w:szCs w:val="20"/>
              </w:rPr>
              <w:instrText xml:space="preserve"> </w:instrText>
            </w:r>
            <w:r>
              <w:rPr>
                <w:rFonts w:hint="eastAsia" w:ascii="Arial" w:hAnsi="Arial" w:cs="Arial"/>
                <w:sz w:val="20"/>
                <w:szCs w:val="20"/>
              </w:rPr>
              <w:instrText xml:space="preserve">= 1 \* ROMAN</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t>I</w:t>
            </w:r>
            <w:r>
              <w:rPr>
                <w:rFonts w:ascii="Arial" w:hAnsi="Arial" w:cs="Arial"/>
                <w:sz w:val="20"/>
                <w:szCs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LOC_Os09g15360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Hypothetical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Dns_1752-1810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24</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LOC_Os08g35120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Ups_1813-1728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19</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LOC_Os06g51300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Ups_602-530</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26</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LOC_Os04g28390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Dns_1358-1443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39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LOC_Os01g16590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Ups_1975-1908</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25</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16</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LOC_Os01g55190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Ups_521-431</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29</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18</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LOC_Os01g08750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Expressed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Ups_1991-1903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28</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sz w:val="20"/>
              </w:rPr>
              <w:fldChar w:fldCharType="begin"/>
            </w:r>
            <w:r>
              <w:rPr>
                <w:rFonts w:ascii="Arial" w:hAnsi="Arial"/>
                <w:sz w:val="20"/>
              </w:rPr>
              <w:instrText xml:space="preserve"> </w:instrText>
            </w:r>
            <w:r>
              <w:rPr>
                <w:rFonts w:hint="eastAsia" w:ascii="Arial" w:hAnsi="Arial"/>
                <w:sz w:val="20"/>
              </w:rPr>
              <w:instrText xml:space="preserve">= 2 \* ROMAN</w:instrText>
            </w:r>
            <w:r>
              <w:rPr>
                <w:rFonts w:ascii="Arial" w:hAnsi="Arial"/>
                <w:sz w:val="20"/>
              </w:rPr>
              <w:instrText xml:space="preserve"> </w:instrText>
            </w:r>
            <w:r>
              <w:rPr>
                <w:rFonts w:ascii="Arial" w:hAnsi="Arial"/>
                <w:sz w:val="20"/>
              </w:rPr>
              <w:fldChar w:fldCharType="separate"/>
            </w:r>
            <w:r>
              <w:rPr>
                <w:rFonts w:ascii="Arial" w:hAnsi="Arial"/>
                <w:sz w:val="20"/>
              </w:rPr>
              <w:t>II</w:t>
            </w:r>
            <w:r>
              <w:rPr>
                <w:rFonts w:ascii="Arial" w:hAnsi="Arial"/>
                <w:sz w:val="20"/>
              </w:rPr>
              <w:fldChar w:fldCharType="end"/>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trHeight w:val="340" w:hRule="exact"/>
        </w:trPr>
        <w:tc>
          <w:tcPr>
            <w:tcW w:w="2268"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LOC_Os12g42650</w:t>
            </w:r>
          </w:p>
        </w:tc>
        <w:tc>
          <w:tcPr>
            <w:tcW w:w="6662" w:type="dxa"/>
            <w:vAlign w:val="center"/>
          </w:tcPr>
          <w:p>
            <w:pPr>
              <w:adjustRightInd w:val="0"/>
              <w:snapToGrid w:val="0"/>
              <w:spacing w:before="100" w:beforeAutospacing="1" w:after="100" w:afterAutospacing="1"/>
              <w:jc w:val="left"/>
              <w:rPr>
                <w:rFonts w:ascii="Arial" w:hAnsi="Arial" w:cs="Arial"/>
                <w:color w:val="000000"/>
                <w:sz w:val="16"/>
                <w:szCs w:val="16"/>
              </w:rPr>
            </w:pPr>
            <w:r>
              <w:rPr>
                <w:rFonts w:ascii="Arial" w:hAnsi="Arial" w:cs="Arial"/>
                <w:color w:val="000000"/>
                <w:sz w:val="16"/>
                <w:szCs w:val="16"/>
              </w:rPr>
              <w:t>Pollen preferential protein</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Ups_838-803</w:t>
            </w:r>
          </w:p>
        </w:tc>
        <w:tc>
          <w:tcPr>
            <w:tcW w:w="1276"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28</w:t>
            </w:r>
          </w:p>
        </w:tc>
        <w:tc>
          <w:tcPr>
            <w:tcW w:w="1134"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color w:val="000000"/>
                <w:sz w:val="16"/>
                <w:szCs w:val="16"/>
              </w:rPr>
              <w:t>17</w:t>
            </w:r>
          </w:p>
        </w:tc>
        <w:tc>
          <w:tcPr>
            <w:tcW w:w="1100" w:type="dxa"/>
            <w:vAlign w:val="center"/>
          </w:tcPr>
          <w:p>
            <w:pPr>
              <w:adjustRightInd w:val="0"/>
              <w:snapToGrid w:val="0"/>
              <w:spacing w:before="100" w:beforeAutospacing="1" w:after="100" w:afterAutospacing="1"/>
              <w:jc w:val="center"/>
              <w:rPr>
                <w:rFonts w:ascii="Arial" w:hAnsi="Arial" w:cs="Arial"/>
                <w:color w:val="000000"/>
                <w:sz w:val="16"/>
                <w:szCs w:val="16"/>
              </w:rPr>
            </w:pPr>
            <w:r>
              <w:rPr>
                <w:rFonts w:ascii="Arial" w:hAnsi="Arial" w:cs="Arial"/>
                <w:kern w:val="0"/>
                <w:sz w:val="20"/>
              </w:rPr>
              <w:t>III</w:t>
            </w:r>
          </w:p>
        </w:tc>
      </w:tr>
    </w:tbl>
    <w:p>
      <w:pPr>
        <w:adjustRightInd w:val="0"/>
        <w:snapToGrid w:val="0"/>
        <w:spacing w:line="360" w:lineRule="auto"/>
        <w:rPr>
          <w:rFonts w:ascii="Arial" w:hAnsi="Arial" w:cs="Arial"/>
          <w:b/>
          <w:sz w:val="20"/>
          <w:szCs w:val="20"/>
        </w:rPr>
        <w:sectPr>
          <w:type w:val="continuous"/>
          <w:pgSz w:w="16838" w:h="11906" w:orient="landscape"/>
          <w:pgMar w:top="1418" w:right="1418" w:bottom="1418" w:left="1418" w:header="851" w:footer="992" w:gutter="0"/>
          <w:cols w:space="720" w:num="1"/>
          <w:docGrid w:type="linesAndChars" w:linePitch="312" w:charSpace="0"/>
        </w:sectPr>
      </w:pPr>
    </w:p>
    <w:p>
      <w:pPr>
        <w:adjustRightInd w:val="0"/>
        <w:snapToGrid w:val="0"/>
        <w:spacing w:line="480" w:lineRule="auto"/>
        <w:outlineLvl w:val="0"/>
        <w:rPr>
          <w:rFonts w:ascii="Times New Roman" w:hAnsi="Times New Roman" w:cs="Times New Roman"/>
        </w:rPr>
      </w:pPr>
      <w:r>
        <w:rPr>
          <w:rFonts w:ascii="Times New Roman" w:hAnsi="Times New Roman" w:cs="Times New Roman"/>
          <w:b/>
          <w:bCs/>
        </w:rPr>
        <w:t xml:space="preserve">Table </w:t>
      </w:r>
      <w:r>
        <w:rPr>
          <w:rFonts w:hint="eastAsia" w:ascii="Times New Roman" w:hAnsi="Times New Roman" w:cs="Times New Roman"/>
          <w:b/>
          <w:bCs/>
        </w:rPr>
        <w:t>S4</w:t>
      </w:r>
      <w:r>
        <w:rPr>
          <w:rFonts w:hint="eastAsia" w:ascii="Times New Roman" w:hAnsi="Times New Roman" w:cs="Times New Roman"/>
        </w:rPr>
        <w:t>:</w:t>
      </w:r>
      <w:r>
        <w:rPr>
          <w:rFonts w:ascii="Times New Roman" w:hAnsi="Times New Roman" w:cs="Times New Roman"/>
        </w:rPr>
        <w:t xml:space="preserve"> Primers used for bisulfite</w:t>
      </w:r>
      <w:r>
        <w:rPr>
          <w:rFonts w:hint="eastAsia" w:ascii="Times New Roman" w:hAnsi="Times New Roman" w:cs="Times New Roman"/>
        </w:rPr>
        <w:t>-</w:t>
      </w:r>
      <w:r>
        <w:rPr>
          <w:rFonts w:ascii="Times New Roman" w:hAnsi="Times New Roman" w:cs="Times New Roman"/>
        </w:rPr>
        <w:t>sequencing PCR. Primers were designed to amplify the regions differentially methylated between the heat-tolerant and the heat-sensitive coisogenic rice strains. F and R indicate the forward and reverse primers, respectively; Y indicates a pyrimidine (cytosine or thymine).</w:t>
      </w:r>
    </w:p>
    <w:tbl>
      <w:tblPr>
        <w:tblStyle w:val="16"/>
        <w:tblW w:w="9928"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1"/>
        <w:gridCol w:w="1985"/>
        <w:gridCol w:w="1890"/>
        <w:gridCol w:w="3591"/>
        <w:gridCol w:w="161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tcBorders>
              <w:top w:val="single" w:color="auto" w:sz="4" w:space="0"/>
              <w:bottom w:val="single" w:color="auto" w:sz="4" w:space="0"/>
            </w:tcBorders>
            <w:vAlign w:val="center"/>
          </w:tcPr>
          <w:p>
            <w:pPr>
              <w:adjustRightInd w:val="0"/>
              <w:snapToGrid w:val="0"/>
              <w:jc w:val="center"/>
              <w:rPr>
                <w:rFonts w:ascii="Arial" w:hAnsi="Arial" w:cs="Arial"/>
                <w:sz w:val="16"/>
                <w:szCs w:val="16"/>
              </w:rPr>
            </w:pPr>
          </w:p>
        </w:tc>
        <w:tc>
          <w:tcPr>
            <w:tcW w:w="1985" w:type="dxa"/>
            <w:tcBorders>
              <w:top w:val="single" w:color="auto" w:sz="4" w:space="0"/>
              <w:bottom w:val="single" w:color="auto" w:sz="4" w:space="0"/>
            </w:tcBorders>
            <w:vAlign w:val="center"/>
          </w:tcPr>
          <w:p>
            <w:pPr>
              <w:adjustRightInd w:val="0"/>
              <w:snapToGrid w:val="0"/>
              <w:jc w:val="center"/>
              <w:textAlignment w:val="center"/>
              <w:rPr>
                <w:rFonts w:ascii="Arial" w:hAnsi="Arial" w:cs="Arial"/>
                <w:b/>
                <w:kern w:val="0"/>
                <w:sz w:val="16"/>
                <w:szCs w:val="16"/>
              </w:rPr>
            </w:pPr>
            <w:r>
              <w:rPr>
                <w:rFonts w:ascii="Arial" w:hAnsi="Arial" w:cs="Arial"/>
                <w:b/>
                <w:kern w:val="0"/>
                <w:sz w:val="16"/>
                <w:szCs w:val="16"/>
              </w:rPr>
              <w:t>Target gene</w:t>
            </w:r>
          </w:p>
        </w:tc>
        <w:tc>
          <w:tcPr>
            <w:tcW w:w="1890" w:type="dxa"/>
            <w:tcBorders>
              <w:top w:val="single" w:color="auto" w:sz="4" w:space="0"/>
              <w:bottom w:val="single" w:color="auto" w:sz="4" w:space="0"/>
            </w:tcBorders>
            <w:vAlign w:val="center"/>
          </w:tcPr>
          <w:p>
            <w:pPr>
              <w:adjustRightInd w:val="0"/>
              <w:snapToGrid w:val="0"/>
              <w:jc w:val="center"/>
              <w:textAlignment w:val="center"/>
              <w:rPr>
                <w:rFonts w:ascii="Arial" w:hAnsi="Arial" w:cs="Arial"/>
                <w:b/>
                <w:kern w:val="0"/>
                <w:sz w:val="16"/>
                <w:szCs w:val="16"/>
              </w:rPr>
            </w:pPr>
            <w:r>
              <w:rPr>
                <w:rFonts w:ascii="Arial" w:hAnsi="Arial" w:cs="Arial"/>
                <w:b/>
                <w:kern w:val="0"/>
                <w:sz w:val="16"/>
                <w:szCs w:val="16"/>
              </w:rPr>
              <w:t>Region</w:t>
            </w:r>
          </w:p>
        </w:tc>
        <w:tc>
          <w:tcPr>
            <w:tcW w:w="3591" w:type="dxa"/>
            <w:tcBorders>
              <w:top w:val="single" w:color="auto" w:sz="4" w:space="0"/>
              <w:bottom w:val="single" w:color="auto" w:sz="4" w:space="0"/>
            </w:tcBorders>
            <w:vAlign w:val="center"/>
          </w:tcPr>
          <w:p>
            <w:pPr>
              <w:adjustRightInd w:val="0"/>
              <w:snapToGrid w:val="0"/>
              <w:jc w:val="center"/>
              <w:textAlignment w:val="center"/>
              <w:rPr>
                <w:rFonts w:ascii="Arial" w:hAnsi="Arial" w:cs="Arial"/>
                <w:b/>
                <w:kern w:val="0"/>
                <w:sz w:val="16"/>
                <w:szCs w:val="16"/>
              </w:rPr>
            </w:pPr>
            <w:r>
              <w:rPr>
                <w:rFonts w:hint="eastAsia" w:ascii="Arial" w:hAnsi="Arial" w:cs="Arial"/>
                <w:b/>
                <w:kern w:val="0"/>
                <w:sz w:val="16"/>
                <w:szCs w:val="16"/>
              </w:rPr>
              <w:t>P</w:t>
            </w:r>
            <w:r>
              <w:rPr>
                <w:rFonts w:ascii="Arial" w:hAnsi="Arial" w:cs="Arial"/>
                <w:b/>
                <w:kern w:val="0"/>
                <w:sz w:val="16"/>
                <w:szCs w:val="16"/>
              </w:rPr>
              <w:t>rimer</w:t>
            </w:r>
          </w:p>
        </w:tc>
        <w:tc>
          <w:tcPr>
            <w:tcW w:w="1611" w:type="dxa"/>
            <w:tcBorders>
              <w:top w:val="single" w:color="auto" w:sz="4" w:space="0"/>
              <w:bottom w:val="single" w:color="auto" w:sz="4" w:space="0"/>
            </w:tcBorders>
            <w:vAlign w:val="center"/>
          </w:tcPr>
          <w:p>
            <w:pPr>
              <w:adjustRightInd w:val="0"/>
              <w:snapToGrid w:val="0"/>
              <w:jc w:val="center"/>
              <w:textAlignment w:val="center"/>
              <w:rPr>
                <w:rFonts w:ascii="Arial" w:hAnsi="Arial" w:cs="Arial"/>
                <w:sz w:val="16"/>
                <w:szCs w:val="16"/>
              </w:rPr>
            </w:pPr>
            <w:r>
              <w:rPr>
                <w:rFonts w:ascii="Arial" w:hAnsi="Arial" w:cs="Arial"/>
                <w:b/>
                <w:kern w:val="0"/>
                <w:sz w:val="16"/>
                <w:szCs w:val="16"/>
              </w:rPr>
              <w:t xml:space="preserve">Product </w:t>
            </w:r>
            <w:r>
              <w:rPr>
                <w:rFonts w:hint="eastAsia" w:ascii="Arial" w:hAnsi="Arial" w:cs="Arial"/>
                <w:b/>
                <w:kern w:val="0"/>
                <w:sz w:val="16"/>
                <w:szCs w:val="16"/>
              </w:rPr>
              <w:t>size (bp)</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restart"/>
            <w:tcBorders>
              <w:top w:val="single" w:color="auto" w:sz="4" w:space="0"/>
            </w:tcBorders>
            <w:vAlign w:val="center"/>
          </w:tcPr>
          <w:p>
            <w:pPr>
              <w:adjustRightInd w:val="0"/>
              <w:snapToGrid w:val="0"/>
              <w:jc w:val="center"/>
              <w:rPr>
                <w:rFonts w:ascii="Arial" w:hAnsi="Arial" w:cs="Arial"/>
                <w:sz w:val="16"/>
                <w:szCs w:val="16"/>
              </w:rPr>
            </w:pPr>
            <w:r>
              <w:rPr>
                <w:rFonts w:ascii="Arial" w:hAnsi="Arial" w:cs="Arial"/>
                <w:sz w:val="16"/>
                <w:szCs w:val="16"/>
              </w:rPr>
              <w:t>DMR-1</w:t>
            </w:r>
          </w:p>
        </w:tc>
        <w:tc>
          <w:tcPr>
            <w:tcW w:w="1985" w:type="dxa"/>
            <w:vMerge w:val="restart"/>
            <w:tcBorders>
              <w:top w:val="single" w:color="auto" w:sz="4" w:space="0"/>
            </w:tcBorders>
            <w:vAlign w:val="center"/>
          </w:tcPr>
          <w:p>
            <w:pPr>
              <w:adjustRightInd w:val="0"/>
              <w:snapToGrid w:val="0"/>
              <w:jc w:val="center"/>
              <w:rPr>
                <w:rFonts w:ascii="Arial" w:hAnsi="Arial" w:cs="Arial"/>
                <w:sz w:val="16"/>
                <w:szCs w:val="16"/>
              </w:rPr>
            </w:pPr>
            <w:r>
              <w:rPr>
                <w:rFonts w:ascii="Arial" w:hAnsi="Arial" w:cs="Arial"/>
                <w:sz w:val="16"/>
                <w:szCs w:val="16"/>
              </w:rPr>
              <w:t>LOC_Os03g63810</w:t>
            </w:r>
          </w:p>
        </w:tc>
        <w:tc>
          <w:tcPr>
            <w:tcW w:w="1890" w:type="dxa"/>
            <w:vMerge w:val="restart"/>
            <w:tcBorders>
              <w:top w:val="single" w:color="auto" w:sz="4" w:space="0"/>
            </w:tcBorders>
            <w:vAlign w:val="center"/>
          </w:tcPr>
          <w:p>
            <w:pPr>
              <w:adjustRightInd w:val="0"/>
              <w:snapToGrid w:val="0"/>
              <w:jc w:val="center"/>
              <w:rPr>
                <w:rFonts w:ascii="Arial" w:hAnsi="Arial" w:cs="Arial"/>
                <w:sz w:val="16"/>
                <w:szCs w:val="16"/>
              </w:rPr>
            </w:pPr>
            <w:r>
              <w:rPr>
                <w:rFonts w:ascii="Arial" w:hAnsi="Arial" w:cs="Arial"/>
                <w:sz w:val="16"/>
                <w:szCs w:val="16"/>
              </w:rPr>
              <w:t>Dns_1347-1439</w:t>
            </w:r>
          </w:p>
        </w:tc>
        <w:tc>
          <w:tcPr>
            <w:tcW w:w="3591" w:type="dxa"/>
            <w:tcBorders>
              <w:top w:val="single" w:color="auto" w:sz="4" w:space="0"/>
            </w:tcBorders>
            <w:vAlign w:val="center"/>
          </w:tcPr>
          <w:p>
            <w:pPr>
              <w:adjustRightInd w:val="0"/>
              <w:snapToGrid w:val="0"/>
              <w:jc w:val="left"/>
              <w:rPr>
                <w:rFonts w:ascii="Arial" w:hAnsi="Arial" w:cs="Arial"/>
                <w:sz w:val="16"/>
                <w:szCs w:val="16"/>
              </w:rPr>
            </w:pPr>
            <w:r>
              <w:rPr>
                <w:rFonts w:ascii="Arial" w:hAnsi="Arial" w:eastAsia="Times New Roman" w:cs="Arial"/>
                <w:sz w:val="16"/>
                <w:szCs w:val="16"/>
              </w:rPr>
              <w:t>F: GTTGGTAATATTAATYGGGATTAA</w:t>
            </w:r>
          </w:p>
        </w:tc>
        <w:tc>
          <w:tcPr>
            <w:tcW w:w="1611" w:type="dxa"/>
            <w:vMerge w:val="restart"/>
            <w:tcBorders>
              <w:top w:val="single" w:color="auto" w:sz="4" w:space="0"/>
            </w:tcBorders>
            <w:vAlign w:val="center"/>
          </w:tcPr>
          <w:p>
            <w:pPr>
              <w:adjustRightInd w:val="0"/>
              <w:snapToGrid w:val="0"/>
              <w:jc w:val="center"/>
              <w:rPr>
                <w:rFonts w:ascii="Arial" w:hAnsi="Arial" w:cs="Arial"/>
                <w:sz w:val="16"/>
                <w:szCs w:val="16"/>
              </w:rPr>
            </w:pPr>
            <w:r>
              <w:rPr>
                <w:rFonts w:ascii="Arial" w:hAnsi="Arial" w:cs="Arial"/>
                <w:sz w:val="16"/>
                <w:szCs w:val="16"/>
              </w:rPr>
              <w:t>275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continue"/>
            <w:vAlign w:val="center"/>
          </w:tcPr>
          <w:p>
            <w:pPr>
              <w:adjustRightInd w:val="0"/>
              <w:snapToGrid w:val="0"/>
              <w:jc w:val="center"/>
              <w:rPr>
                <w:rFonts w:ascii="Arial" w:hAnsi="Arial" w:cs="Arial"/>
                <w:sz w:val="16"/>
                <w:szCs w:val="16"/>
              </w:rPr>
            </w:pPr>
          </w:p>
        </w:tc>
        <w:tc>
          <w:tcPr>
            <w:tcW w:w="1985" w:type="dxa"/>
            <w:vMerge w:val="continue"/>
            <w:vAlign w:val="center"/>
          </w:tcPr>
          <w:p>
            <w:pPr>
              <w:adjustRightInd w:val="0"/>
              <w:snapToGrid w:val="0"/>
              <w:jc w:val="center"/>
              <w:rPr>
                <w:rFonts w:ascii="Arial" w:hAnsi="Arial" w:cs="Arial"/>
                <w:sz w:val="16"/>
                <w:szCs w:val="16"/>
              </w:rPr>
            </w:pPr>
          </w:p>
        </w:tc>
        <w:tc>
          <w:tcPr>
            <w:tcW w:w="1890" w:type="dxa"/>
            <w:vMerge w:val="continue"/>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R: AAAAATTTTTTTTCTTCTTCTTTTTAA</w:t>
            </w:r>
          </w:p>
        </w:tc>
        <w:tc>
          <w:tcPr>
            <w:tcW w:w="1611" w:type="dxa"/>
            <w:vMerge w:val="continue"/>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851" w:type="dxa"/>
            <w:vAlign w:val="center"/>
          </w:tcPr>
          <w:p>
            <w:pPr>
              <w:adjustRightInd w:val="0"/>
              <w:snapToGrid w:val="0"/>
              <w:jc w:val="center"/>
              <w:rPr>
                <w:rFonts w:ascii="Arial" w:hAnsi="Arial" w:cs="Arial"/>
                <w:sz w:val="16"/>
                <w:szCs w:val="16"/>
              </w:rPr>
            </w:pPr>
          </w:p>
        </w:tc>
        <w:tc>
          <w:tcPr>
            <w:tcW w:w="1985" w:type="dxa"/>
            <w:vAlign w:val="center"/>
          </w:tcPr>
          <w:p>
            <w:pPr>
              <w:adjustRightInd w:val="0"/>
              <w:snapToGrid w:val="0"/>
              <w:jc w:val="center"/>
              <w:rPr>
                <w:rFonts w:ascii="Arial" w:hAnsi="Arial" w:cs="Arial"/>
                <w:sz w:val="16"/>
                <w:szCs w:val="16"/>
              </w:rPr>
            </w:pPr>
          </w:p>
        </w:tc>
        <w:tc>
          <w:tcPr>
            <w:tcW w:w="1890" w:type="dxa"/>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center"/>
              <w:rPr>
                <w:rFonts w:ascii="Arial" w:hAnsi="Arial" w:cs="Arial"/>
                <w:sz w:val="16"/>
                <w:szCs w:val="16"/>
              </w:rPr>
            </w:pPr>
          </w:p>
        </w:tc>
        <w:tc>
          <w:tcPr>
            <w:tcW w:w="1611" w:type="dxa"/>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restart"/>
            <w:vAlign w:val="center"/>
          </w:tcPr>
          <w:p>
            <w:pPr>
              <w:adjustRightInd w:val="0"/>
              <w:snapToGrid w:val="0"/>
              <w:jc w:val="center"/>
              <w:rPr>
                <w:rFonts w:ascii="Arial" w:hAnsi="Arial" w:cs="Arial"/>
                <w:sz w:val="16"/>
                <w:szCs w:val="16"/>
              </w:rPr>
            </w:pPr>
            <w:r>
              <w:rPr>
                <w:rFonts w:ascii="Arial" w:hAnsi="Arial" w:cs="Arial"/>
                <w:sz w:val="16"/>
                <w:szCs w:val="16"/>
              </w:rPr>
              <w:t>DMR-2</w:t>
            </w:r>
          </w:p>
        </w:tc>
        <w:tc>
          <w:tcPr>
            <w:tcW w:w="1985" w:type="dxa"/>
            <w:vMerge w:val="restart"/>
            <w:vAlign w:val="center"/>
          </w:tcPr>
          <w:p>
            <w:pPr>
              <w:adjustRightInd w:val="0"/>
              <w:snapToGrid w:val="0"/>
              <w:jc w:val="center"/>
              <w:rPr>
                <w:rFonts w:ascii="Arial" w:hAnsi="Arial" w:cs="Arial"/>
                <w:sz w:val="16"/>
                <w:szCs w:val="16"/>
              </w:rPr>
            </w:pPr>
            <w:r>
              <w:rPr>
                <w:rFonts w:ascii="Arial" w:hAnsi="Arial" w:cs="Arial"/>
                <w:sz w:val="16"/>
                <w:szCs w:val="16"/>
              </w:rPr>
              <w:t>LOC_Os04g02030</w:t>
            </w:r>
          </w:p>
        </w:tc>
        <w:tc>
          <w:tcPr>
            <w:tcW w:w="1890" w:type="dxa"/>
            <w:vMerge w:val="restart"/>
            <w:vAlign w:val="center"/>
          </w:tcPr>
          <w:p>
            <w:pPr>
              <w:adjustRightInd w:val="0"/>
              <w:snapToGrid w:val="0"/>
              <w:jc w:val="center"/>
              <w:rPr>
                <w:rFonts w:ascii="Arial" w:hAnsi="Arial" w:cs="Arial"/>
                <w:sz w:val="16"/>
                <w:szCs w:val="16"/>
              </w:rPr>
            </w:pPr>
            <w:r>
              <w:rPr>
                <w:rFonts w:ascii="Arial" w:hAnsi="Arial" w:cs="Arial"/>
                <w:sz w:val="16"/>
                <w:szCs w:val="16"/>
              </w:rPr>
              <w:t>Dns_1903-1949</w:t>
            </w: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F: AGTTAGGTTAGGTTAATATTTTTGGT</w:t>
            </w:r>
          </w:p>
        </w:tc>
        <w:tc>
          <w:tcPr>
            <w:tcW w:w="1611" w:type="dxa"/>
            <w:vMerge w:val="restart"/>
            <w:vAlign w:val="center"/>
          </w:tcPr>
          <w:p>
            <w:pPr>
              <w:adjustRightInd w:val="0"/>
              <w:snapToGrid w:val="0"/>
              <w:jc w:val="center"/>
              <w:rPr>
                <w:rFonts w:ascii="Arial" w:hAnsi="Arial" w:cs="Arial"/>
                <w:sz w:val="16"/>
                <w:szCs w:val="16"/>
              </w:rPr>
            </w:pPr>
            <w:r>
              <w:rPr>
                <w:rFonts w:hint="eastAsia" w:ascii="Arial" w:hAnsi="Arial" w:cs="Arial"/>
                <w:sz w:val="16"/>
                <w:szCs w:val="16"/>
              </w:rPr>
              <w:t>320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continue"/>
            <w:vAlign w:val="center"/>
          </w:tcPr>
          <w:p>
            <w:pPr>
              <w:adjustRightInd w:val="0"/>
              <w:snapToGrid w:val="0"/>
              <w:jc w:val="center"/>
              <w:rPr>
                <w:rFonts w:ascii="Arial" w:hAnsi="Arial" w:cs="Arial"/>
                <w:sz w:val="16"/>
                <w:szCs w:val="16"/>
              </w:rPr>
            </w:pPr>
          </w:p>
        </w:tc>
        <w:tc>
          <w:tcPr>
            <w:tcW w:w="1985" w:type="dxa"/>
            <w:vMerge w:val="continue"/>
            <w:vAlign w:val="center"/>
          </w:tcPr>
          <w:p>
            <w:pPr>
              <w:adjustRightInd w:val="0"/>
              <w:snapToGrid w:val="0"/>
              <w:jc w:val="center"/>
              <w:rPr>
                <w:rFonts w:ascii="Arial" w:hAnsi="Arial" w:cs="Arial"/>
                <w:sz w:val="16"/>
                <w:szCs w:val="16"/>
              </w:rPr>
            </w:pPr>
          </w:p>
        </w:tc>
        <w:tc>
          <w:tcPr>
            <w:tcW w:w="1890" w:type="dxa"/>
            <w:vMerge w:val="continue"/>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R: AAATAATCTTCCTCTCTTATCTATCC</w:t>
            </w:r>
          </w:p>
        </w:tc>
        <w:tc>
          <w:tcPr>
            <w:tcW w:w="1611" w:type="dxa"/>
            <w:vMerge w:val="continue"/>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851" w:type="dxa"/>
            <w:vAlign w:val="center"/>
          </w:tcPr>
          <w:p>
            <w:pPr>
              <w:adjustRightInd w:val="0"/>
              <w:snapToGrid w:val="0"/>
              <w:jc w:val="center"/>
              <w:rPr>
                <w:rFonts w:ascii="Arial" w:hAnsi="Arial" w:cs="Arial"/>
                <w:sz w:val="16"/>
                <w:szCs w:val="16"/>
              </w:rPr>
            </w:pPr>
          </w:p>
        </w:tc>
        <w:tc>
          <w:tcPr>
            <w:tcW w:w="1985" w:type="dxa"/>
            <w:vAlign w:val="center"/>
          </w:tcPr>
          <w:p>
            <w:pPr>
              <w:adjustRightInd w:val="0"/>
              <w:snapToGrid w:val="0"/>
              <w:jc w:val="center"/>
              <w:rPr>
                <w:rFonts w:ascii="Arial" w:hAnsi="Arial" w:cs="Arial"/>
                <w:sz w:val="16"/>
                <w:szCs w:val="16"/>
              </w:rPr>
            </w:pPr>
          </w:p>
        </w:tc>
        <w:tc>
          <w:tcPr>
            <w:tcW w:w="1890" w:type="dxa"/>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p>
        </w:tc>
        <w:tc>
          <w:tcPr>
            <w:tcW w:w="1611" w:type="dxa"/>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restart"/>
            <w:vAlign w:val="center"/>
          </w:tcPr>
          <w:p>
            <w:pPr>
              <w:adjustRightInd w:val="0"/>
              <w:snapToGrid w:val="0"/>
              <w:jc w:val="center"/>
              <w:rPr>
                <w:rFonts w:ascii="Arial" w:hAnsi="Arial" w:cs="Arial"/>
                <w:sz w:val="16"/>
                <w:szCs w:val="16"/>
              </w:rPr>
            </w:pPr>
            <w:r>
              <w:rPr>
                <w:rFonts w:ascii="Arial" w:hAnsi="Arial" w:cs="Arial"/>
                <w:sz w:val="16"/>
                <w:szCs w:val="16"/>
              </w:rPr>
              <w:t>DMR-3</w:t>
            </w:r>
          </w:p>
        </w:tc>
        <w:tc>
          <w:tcPr>
            <w:tcW w:w="1985" w:type="dxa"/>
            <w:vMerge w:val="restart"/>
            <w:vAlign w:val="center"/>
          </w:tcPr>
          <w:p>
            <w:pPr>
              <w:adjustRightInd w:val="0"/>
              <w:snapToGrid w:val="0"/>
              <w:jc w:val="center"/>
              <w:rPr>
                <w:rFonts w:ascii="Arial" w:hAnsi="Arial" w:cs="Arial"/>
                <w:sz w:val="16"/>
                <w:szCs w:val="16"/>
              </w:rPr>
            </w:pPr>
            <w:r>
              <w:rPr>
                <w:rFonts w:ascii="Arial" w:hAnsi="Arial" w:cs="Arial"/>
                <w:sz w:val="16"/>
                <w:szCs w:val="16"/>
              </w:rPr>
              <w:t>LOC_Os07g40460</w:t>
            </w:r>
          </w:p>
        </w:tc>
        <w:tc>
          <w:tcPr>
            <w:tcW w:w="1890" w:type="dxa"/>
            <w:vMerge w:val="restart"/>
            <w:vAlign w:val="center"/>
          </w:tcPr>
          <w:p>
            <w:pPr>
              <w:adjustRightInd w:val="0"/>
              <w:snapToGrid w:val="0"/>
              <w:jc w:val="center"/>
              <w:rPr>
                <w:rFonts w:ascii="Arial" w:hAnsi="Arial" w:cs="Arial"/>
                <w:sz w:val="16"/>
                <w:szCs w:val="16"/>
              </w:rPr>
            </w:pPr>
            <w:r>
              <w:rPr>
                <w:rFonts w:ascii="Arial" w:hAnsi="Arial" w:cs="Arial"/>
                <w:sz w:val="16"/>
                <w:szCs w:val="16"/>
              </w:rPr>
              <w:t>Dns_1286-1314</w:t>
            </w: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F: GGAAAATGAGTTGTTATTTTTTTTA</w:t>
            </w:r>
          </w:p>
        </w:tc>
        <w:tc>
          <w:tcPr>
            <w:tcW w:w="1611" w:type="dxa"/>
            <w:vMerge w:val="restart"/>
            <w:vAlign w:val="center"/>
          </w:tcPr>
          <w:p>
            <w:pPr>
              <w:adjustRightInd w:val="0"/>
              <w:snapToGrid w:val="0"/>
              <w:jc w:val="center"/>
              <w:rPr>
                <w:rFonts w:ascii="Arial" w:hAnsi="Arial" w:cs="Arial"/>
                <w:sz w:val="16"/>
                <w:szCs w:val="16"/>
              </w:rPr>
            </w:pPr>
            <w:r>
              <w:rPr>
                <w:rFonts w:ascii="Arial" w:hAnsi="Arial" w:cs="Arial"/>
                <w:sz w:val="16"/>
                <w:szCs w:val="16"/>
              </w:rPr>
              <w:t>353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continue"/>
            <w:vAlign w:val="center"/>
          </w:tcPr>
          <w:p>
            <w:pPr>
              <w:adjustRightInd w:val="0"/>
              <w:snapToGrid w:val="0"/>
              <w:jc w:val="center"/>
              <w:rPr>
                <w:rFonts w:ascii="Arial" w:hAnsi="Arial" w:cs="Arial"/>
                <w:sz w:val="16"/>
                <w:szCs w:val="16"/>
              </w:rPr>
            </w:pPr>
          </w:p>
        </w:tc>
        <w:tc>
          <w:tcPr>
            <w:tcW w:w="1985" w:type="dxa"/>
            <w:vMerge w:val="continue"/>
            <w:vAlign w:val="center"/>
          </w:tcPr>
          <w:p>
            <w:pPr>
              <w:adjustRightInd w:val="0"/>
              <w:snapToGrid w:val="0"/>
              <w:jc w:val="center"/>
              <w:rPr>
                <w:rFonts w:ascii="Arial" w:hAnsi="Arial" w:cs="Arial"/>
                <w:sz w:val="16"/>
                <w:szCs w:val="16"/>
              </w:rPr>
            </w:pPr>
          </w:p>
        </w:tc>
        <w:tc>
          <w:tcPr>
            <w:tcW w:w="1890" w:type="dxa"/>
            <w:vMerge w:val="continue"/>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R: CCACTTTCTCATAAAAAACTCATA</w:t>
            </w:r>
          </w:p>
        </w:tc>
        <w:tc>
          <w:tcPr>
            <w:tcW w:w="1611" w:type="dxa"/>
            <w:vMerge w:val="continue"/>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851" w:type="dxa"/>
            <w:vAlign w:val="center"/>
          </w:tcPr>
          <w:p>
            <w:pPr>
              <w:adjustRightInd w:val="0"/>
              <w:snapToGrid w:val="0"/>
              <w:jc w:val="center"/>
              <w:rPr>
                <w:rFonts w:ascii="Arial" w:hAnsi="Arial" w:cs="Arial"/>
                <w:sz w:val="16"/>
                <w:szCs w:val="16"/>
              </w:rPr>
            </w:pPr>
          </w:p>
        </w:tc>
        <w:tc>
          <w:tcPr>
            <w:tcW w:w="1985" w:type="dxa"/>
            <w:vAlign w:val="center"/>
          </w:tcPr>
          <w:p>
            <w:pPr>
              <w:adjustRightInd w:val="0"/>
              <w:snapToGrid w:val="0"/>
              <w:jc w:val="center"/>
              <w:rPr>
                <w:rFonts w:ascii="Arial" w:hAnsi="Arial" w:cs="Arial"/>
                <w:sz w:val="16"/>
                <w:szCs w:val="16"/>
              </w:rPr>
            </w:pPr>
          </w:p>
        </w:tc>
        <w:tc>
          <w:tcPr>
            <w:tcW w:w="1890" w:type="dxa"/>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p>
        </w:tc>
        <w:tc>
          <w:tcPr>
            <w:tcW w:w="1611" w:type="dxa"/>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restart"/>
            <w:vAlign w:val="center"/>
          </w:tcPr>
          <w:p>
            <w:pPr>
              <w:adjustRightInd w:val="0"/>
              <w:snapToGrid w:val="0"/>
              <w:jc w:val="center"/>
              <w:rPr>
                <w:rFonts w:ascii="Arial" w:hAnsi="Arial" w:cs="Arial"/>
                <w:sz w:val="16"/>
                <w:szCs w:val="16"/>
              </w:rPr>
            </w:pPr>
            <w:r>
              <w:rPr>
                <w:rFonts w:ascii="Arial" w:hAnsi="Arial" w:cs="Arial"/>
                <w:sz w:val="16"/>
                <w:szCs w:val="16"/>
              </w:rPr>
              <w:t>DMR-4</w:t>
            </w:r>
          </w:p>
        </w:tc>
        <w:tc>
          <w:tcPr>
            <w:tcW w:w="1985" w:type="dxa"/>
            <w:vMerge w:val="restart"/>
            <w:vAlign w:val="center"/>
          </w:tcPr>
          <w:p>
            <w:pPr>
              <w:adjustRightInd w:val="0"/>
              <w:snapToGrid w:val="0"/>
              <w:jc w:val="center"/>
              <w:rPr>
                <w:rFonts w:ascii="Arial" w:hAnsi="Arial" w:cs="Arial"/>
                <w:sz w:val="16"/>
                <w:szCs w:val="16"/>
              </w:rPr>
            </w:pPr>
            <w:r>
              <w:rPr>
                <w:rFonts w:ascii="Arial" w:hAnsi="Arial" w:cs="Arial"/>
                <w:sz w:val="16"/>
                <w:szCs w:val="16"/>
              </w:rPr>
              <w:t>LOC_Os08g09750</w:t>
            </w:r>
          </w:p>
        </w:tc>
        <w:tc>
          <w:tcPr>
            <w:tcW w:w="1890" w:type="dxa"/>
            <w:vMerge w:val="restart"/>
            <w:vAlign w:val="center"/>
          </w:tcPr>
          <w:p>
            <w:pPr>
              <w:adjustRightInd w:val="0"/>
              <w:snapToGrid w:val="0"/>
              <w:jc w:val="center"/>
              <w:rPr>
                <w:rFonts w:ascii="Arial" w:hAnsi="Arial" w:cs="Arial"/>
                <w:sz w:val="16"/>
                <w:szCs w:val="16"/>
              </w:rPr>
            </w:pPr>
            <w:r>
              <w:rPr>
                <w:rFonts w:ascii="Arial" w:hAnsi="Arial" w:cs="Arial"/>
                <w:sz w:val="16"/>
                <w:szCs w:val="16"/>
              </w:rPr>
              <w:t>Ups_326-264</w:t>
            </w: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F: GAGATTGGGATTAAAAATTAAATTTT</w:t>
            </w:r>
          </w:p>
        </w:tc>
        <w:tc>
          <w:tcPr>
            <w:tcW w:w="1611" w:type="dxa"/>
            <w:vMerge w:val="restart"/>
            <w:vAlign w:val="center"/>
          </w:tcPr>
          <w:p>
            <w:pPr>
              <w:adjustRightInd w:val="0"/>
              <w:snapToGrid w:val="0"/>
              <w:jc w:val="center"/>
              <w:rPr>
                <w:rFonts w:ascii="Arial" w:hAnsi="Arial" w:cs="Arial"/>
                <w:sz w:val="16"/>
                <w:szCs w:val="16"/>
              </w:rPr>
            </w:pPr>
            <w:r>
              <w:rPr>
                <w:rFonts w:ascii="Arial" w:hAnsi="Arial" w:cs="Arial"/>
                <w:sz w:val="16"/>
                <w:szCs w:val="16"/>
              </w:rPr>
              <w:t>3</w:t>
            </w:r>
            <w:r>
              <w:rPr>
                <w:rFonts w:hint="eastAsia" w:ascii="Arial" w:hAnsi="Arial" w:cs="Arial"/>
                <w:sz w:val="16"/>
                <w:szCs w:val="16"/>
              </w:rPr>
              <w:t>21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continue"/>
            <w:vAlign w:val="center"/>
          </w:tcPr>
          <w:p>
            <w:pPr>
              <w:adjustRightInd w:val="0"/>
              <w:snapToGrid w:val="0"/>
              <w:jc w:val="center"/>
              <w:rPr>
                <w:rFonts w:ascii="Arial" w:hAnsi="Arial" w:cs="Arial"/>
                <w:sz w:val="16"/>
                <w:szCs w:val="16"/>
              </w:rPr>
            </w:pPr>
          </w:p>
        </w:tc>
        <w:tc>
          <w:tcPr>
            <w:tcW w:w="1985" w:type="dxa"/>
            <w:vMerge w:val="continue"/>
            <w:vAlign w:val="center"/>
          </w:tcPr>
          <w:p>
            <w:pPr>
              <w:adjustRightInd w:val="0"/>
              <w:snapToGrid w:val="0"/>
              <w:jc w:val="center"/>
              <w:rPr>
                <w:rFonts w:ascii="Arial" w:hAnsi="Arial" w:cs="Arial"/>
                <w:sz w:val="16"/>
                <w:szCs w:val="16"/>
              </w:rPr>
            </w:pPr>
          </w:p>
        </w:tc>
        <w:tc>
          <w:tcPr>
            <w:tcW w:w="1890" w:type="dxa"/>
            <w:vMerge w:val="continue"/>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R:</w:t>
            </w:r>
            <w:r>
              <w:rPr>
                <w:rFonts w:hint="eastAsia" w:ascii="Arial" w:hAnsi="Arial" w:cs="Arial"/>
                <w:sz w:val="16"/>
                <w:szCs w:val="16"/>
              </w:rPr>
              <w:t xml:space="preserve"> </w:t>
            </w:r>
            <w:r>
              <w:rPr>
                <w:rFonts w:ascii="Arial" w:hAnsi="Arial" w:eastAsia="Times New Roman" w:cs="Arial"/>
                <w:sz w:val="16"/>
                <w:szCs w:val="16"/>
              </w:rPr>
              <w:t>ATCCTAACCCACCCACTTATAT</w:t>
            </w:r>
          </w:p>
        </w:tc>
        <w:tc>
          <w:tcPr>
            <w:tcW w:w="1611" w:type="dxa"/>
            <w:vMerge w:val="continue"/>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851" w:type="dxa"/>
            <w:vAlign w:val="center"/>
          </w:tcPr>
          <w:p>
            <w:pPr>
              <w:adjustRightInd w:val="0"/>
              <w:snapToGrid w:val="0"/>
              <w:jc w:val="center"/>
              <w:rPr>
                <w:rFonts w:ascii="Arial" w:hAnsi="Arial" w:cs="Arial"/>
                <w:sz w:val="16"/>
                <w:szCs w:val="16"/>
              </w:rPr>
            </w:pPr>
          </w:p>
        </w:tc>
        <w:tc>
          <w:tcPr>
            <w:tcW w:w="1985" w:type="dxa"/>
            <w:vAlign w:val="center"/>
          </w:tcPr>
          <w:p>
            <w:pPr>
              <w:adjustRightInd w:val="0"/>
              <w:snapToGrid w:val="0"/>
              <w:jc w:val="center"/>
              <w:rPr>
                <w:rFonts w:ascii="Arial" w:hAnsi="Arial" w:cs="Arial"/>
                <w:sz w:val="16"/>
                <w:szCs w:val="16"/>
              </w:rPr>
            </w:pPr>
          </w:p>
        </w:tc>
        <w:tc>
          <w:tcPr>
            <w:tcW w:w="1890" w:type="dxa"/>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p>
        </w:tc>
        <w:tc>
          <w:tcPr>
            <w:tcW w:w="1611" w:type="dxa"/>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restart"/>
            <w:vAlign w:val="center"/>
          </w:tcPr>
          <w:p>
            <w:pPr>
              <w:adjustRightInd w:val="0"/>
              <w:snapToGrid w:val="0"/>
              <w:jc w:val="center"/>
              <w:rPr>
                <w:rFonts w:ascii="Arial" w:hAnsi="Arial" w:cs="Arial"/>
                <w:sz w:val="16"/>
                <w:szCs w:val="16"/>
              </w:rPr>
            </w:pPr>
            <w:r>
              <w:rPr>
                <w:rFonts w:ascii="Arial" w:hAnsi="Arial" w:cs="Arial"/>
                <w:sz w:val="16"/>
                <w:szCs w:val="16"/>
              </w:rPr>
              <w:t>DMR-5</w:t>
            </w:r>
          </w:p>
        </w:tc>
        <w:tc>
          <w:tcPr>
            <w:tcW w:w="1985" w:type="dxa"/>
            <w:vMerge w:val="restart"/>
            <w:vAlign w:val="center"/>
          </w:tcPr>
          <w:p>
            <w:pPr>
              <w:adjustRightInd w:val="0"/>
              <w:snapToGrid w:val="0"/>
              <w:jc w:val="center"/>
              <w:rPr>
                <w:rFonts w:ascii="Arial" w:hAnsi="Arial" w:cs="Arial"/>
                <w:sz w:val="16"/>
                <w:szCs w:val="16"/>
              </w:rPr>
            </w:pPr>
            <w:r>
              <w:rPr>
                <w:rFonts w:ascii="Arial" w:hAnsi="Arial" w:cs="Arial"/>
                <w:sz w:val="16"/>
                <w:szCs w:val="16"/>
              </w:rPr>
              <w:t>LOC_Os08g03440</w:t>
            </w:r>
          </w:p>
        </w:tc>
        <w:tc>
          <w:tcPr>
            <w:tcW w:w="1890" w:type="dxa"/>
            <w:vMerge w:val="restart"/>
            <w:vAlign w:val="center"/>
          </w:tcPr>
          <w:p>
            <w:pPr>
              <w:adjustRightInd w:val="0"/>
              <w:snapToGrid w:val="0"/>
              <w:jc w:val="center"/>
              <w:rPr>
                <w:rFonts w:ascii="Arial" w:hAnsi="Arial" w:cs="Arial"/>
                <w:sz w:val="16"/>
                <w:szCs w:val="16"/>
              </w:rPr>
            </w:pPr>
            <w:r>
              <w:rPr>
                <w:rFonts w:ascii="Arial" w:hAnsi="Arial" w:cs="Arial"/>
                <w:sz w:val="16"/>
                <w:szCs w:val="16"/>
              </w:rPr>
              <w:t>Ups_1778-1722</w:t>
            </w: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F:</w:t>
            </w:r>
            <w:r>
              <w:rPr>
                <w:rFonts w:hint="eastAsia" w:ascii="Arial" w:hAnsi="Arial" w:cs="Arial"/>
                <w:sz w:val="16"/>
                <w:szCs w:val="16"/>
              </w:rPr>
              <w:t xml:space="preserve"> </w:t>
            </w:r>
            <w:r>
              <w:rPr>
                <w:rFonts w:ascii="Arial" w:hAnsi="Arial" w:eastAsia="Times New Roman" w:cs="Arial"/>
                <w:sz w:val="16"/>
                <w:szCs w:val="16"/>
              </w:rPr>
              <w:t>TTTTGTGTGGTGATTTTTTAATT</w:t>
            </w:r>
          </w:p>
        </w:tc>
        <w:tc>
          <w:tcPr>
            <w:tcW w:w="1611" w:type="dxa"/>
            <w:vMerge w:val="restart"/>
            <w:vAlign w:val="center"/>
          </w:tcPr>
          <w:p>
            <w:pPr>
              <w:adjustRightInd w:val="0"/>
              <w:snapToGrid w:val="0"/>
              <w:jc w:val="center"/>
              <w:rPr>
                <w:rFonts w:ascii="Arial" w:hAnsi="Arial" w:cs="Arial"/>
                <w:sz w:val="16"/>
                <w:szCs w:val="16"/>
              </w:rPr>
            </w:pPr>
            <w:r>
              <w:rPr>
                <w:rFonts w:hint="eastAsia" w:ascii="Arial" w:hAnsi="Arial" w:cs="Arial"/>
                <w:sz w:val="16"/>
                <w:szCs w:val="16"/>
              </w:rPr>
              <w:t>399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continue"/>
            <w:vAlign w:val="center"/>
          </w:tcPr>
          <w:p>
            <w:pPr>
              <w:adjustRightInd w:val="0"/>
              <w:snapToGrid w:val="0"/>
              <w:jc w:val="center"/>
              <w:rPr>
                <w:rFonts w:ascii="Arial" w:hAnsi="Arial" w:cs="Arial"/>
                <w:sz w:val="16"/>
                <w:szCs w:val="16"/>
              </w:rPr>
            </w:pPr>
          </w:p>
        </w:tc>
        <w:tc>
          <w:tcPr>
            <w:tcW w:w="1985" w:type="dxa"/>
            <w:vMerge w:val="continue"/>
            <w:vAlign w:val="center"/>
          </w:tcPr>
          <w:p>
            <w:pPr>
              <w:adjustRightInd w:val="0"/>
              <w:snapToGrid w:val="0"/>
              <w:jc w:val="center"/>
              <w:rPr>
                <w:rFonts w:ascii="Arial" w:hAnsi="Arial" w:cs="Arial"/>
                <w:sz w:val="16"/>
                <w:szCs w:val="16"/>
              </w:rPr>
            </w:pPr>
          </w:p>
        </w:tc>
        <w:tc>
          <w:tcPr>
            <w:tcW w:w="1890" w:type="dxa"/>
            <w:vMerge w:val="continue"/>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R:</w:t>
            </w:r>
            <w:r>
              <w:rPr>
                <w:rFonts w:hint="eastAsia" w:ascii="Arial" w:hAnsi="Arial" w:cs="Arial"/>
                <w:sz w:val="16"/>
                <w:szCs w:val="16"/>
              </w:rPr>
              <w:t xml:space="preserve"> </w:t>
            </w:r>
            <w:r>
              <w:rPr>
                <w:rFonts w:ascii="Arial" w:hAnsi="Arial" w:eastAsia="Times New Roman" w:cs="Arial"/>
                <w:sz w:val="16"/>
                <w:szCs w:val="16"/>
              </w:rPr>
              <w:t>CCAATTATATTCCATCAAATTCATA</w:t>
            </w:r>
          </w:p>
        </w:tc>
        <w:tc>
          <w:tcPr>
            <w:tcW w:w="1611" w:type="dxa"/>
            <w:vMerge w:val="continue"/>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3" w:hRule="exact"/>
          <w:jc w:val="center"/>
        </w:trPr>
        <w:tc>
          <w:tcPr>
            <w:tcW w:w="851" w:type="dxa"/>
            <w:vAlign w:val="center"/>
          </w:tcPr>
          <w:p>
            <w:pPr>
              <w:adjustRightInd w:val="0"/>
              <w:snapToGrid w:val="0"/>
              <w:jc w:val="center"/>
              <w:rPr>
                <w:rFonts w:ascii="Arial" w:hAnsi="Arial" w:cs="Arial"/>
                <w:sz w:val="16"/>
                <w:szCs w:val="16"/>
              </w:rPr>
            </w:pPr>
          </w:p>
        </w:tc>
        <w:tc>
          <w:tcPr>
            <w:tcW w:w="1985" w:type="dxa"/>
            <w:vAlign w:val="center"/>
          </w:tcPr>
          <w:p>
            <w:pPr>
              <w:adjustRightInd w:val="0"/>
              <w:snapToGrid w:val="0"/>
              <w:jc w:val="center"/>
              <w:rPr>
                <w:rFonts w:ascii="Arial" w:hAnsi="Arial" w:cs="Arial"/>
                <w:sz w:val="16"/>
                <w:szCs w:val="16"/>
              </w:rPr>
            </w:pPr>
          </w:p>
        </w:tc>
        <w:tc>
          <w:tcPr>
            <w:tcW w:w="1890" w:type="dxa"/>
            <w:vAlign w:val="center"/>
          </w:tcPr>
          <w:p>
            <w:pPr>
              <w:adjustRightInd w:val="0"/>
              <w:snapToGrid w:val="0"/>
              <w:jc w:val="center"/>
              <w:rPr>
                <w:rFonts w:ascii="Arial" w:hAnsi="Arial" w:cs="Arial"/>
                <w:sz w:val="16"/>
                <w:szCs w:val="16"/>
              </w:rPr>
            </w:pPr>
          </w:p>
        </w:tc>
        <w:tc>
          <w:tcPr>
            <w:tcW w:w="3591" w:type="dxa"/>
            <w:vAlign w:val="center"/>
          </w:tcPr>
          <w:p>
            <w:pPr>
              <w:adjustRightInd w:val="0"/>
              <w:snapToGrid w:val="0"/>
              <w:jc w:val="left"/>
              <w:rPr>
                <w:rFonts w:ascii="Arial" w:hAnsi="Arial" w:cs="Arial"/>
                <w:sz w:val="16"/>
                <w:szCs w:val="16"/>
              </w:rPr>
            </w:pPr>
          </w:p>
        </w:tc>
        <w:tc>
          <w:tcPr>
            <w:tcW w:w="1611" w:type="dxa"/>
            <w:vAlign w:val="center"/>
          </w:tcPr>
          <w:p>
            <w:pPr>
              <w:adjustRightInd w:val="0"/>
              <w:snapToGrid w:val="0"/>
              <w:jc w:val="center"/>
              <w:rPr>
                <w:rFonts w:ascii="Arial" w:hAnsi="Arial" w:cs="Arial"/>
                <w:sz w:val="16"/>
                <w:szCs w:val="16"/>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restart"/>
            <w:vAlign w:val="center"/>
          </w:tcPr>
          <w:p>
            <w:pPr>
              <w:adjustRightInd w:val="0"/>
              <w:snapToGrid w:val="0"/>
              <w:jc w:val="center"/>
              <w:rPr>
                <w:rFonts w:ascii="Arial" w:hAnsi="Arial" w:cs="Arial"/>
                <w:sz w:val="16"/>
                <w:szCs w:val="16"/>
              </w:rPr>
            </w:pPr>
            <w:r>
              <w:rPr>
                <w:rFonts w:ascii="Arial" w:hAnsi="Arial" w:cs="Arial"/>
                <w:sz w:val="16"/>
                <w:szCs w:val="16"/>
              </w:rPr>
              <w:t>DMR-6</w:t>
            </w:r>
          </w:p>
        </w:tc>
        <w:tc>
          <w:tcPr>
            <w:tcW w:w="1985" w:type="dxa"/>
            <w:vMerge w:val="restart"/>
            <w:vAlign w:val="center"/>
          </w:tcPr>
          <w:p>
            <w:pPr>
              <w:adjustRightInd w:val="0"/>
              <w:snapToGrid w:val="0"/>
              <w:jc w:val="center"/>
              <w:rPr>
                <w:rFonts w:ascii="Arial" w:hAnsi="Arial" w:cs="Arial"/>
                <w:sz w:val="16"/>
                <w:szCs w:val="16"/>
              </w:rPr>
            </w:pPr>
            <w:r>
              <w:rPr>
                <w:rFonts w:ascii="Arial" w:hAnsi="Arial" w:cs="Arial"/>
                <w:sz w:val="16"/>
                <w:szCs w:val="16"/>
              </w:rPr>
              <w:t>LOC_Os08g36820</w:t>
            </w:r>
          </w:p>
        </w:tc>
        <w:tc>
          <w:tcPr>
            <w:tcW w:w="1890" w:type="dxa"/>
            <w:vMerge w:val="restart"/>
            <w:vAlign w:val="center"/>
          </w:tcPr>
          <w:p>
            <w:pPr>
              <w:adjustRightInd w:val="0"/>
              <w:snapToGrid w:val="0"/>
              <w:jc w:val="center"/>
              <w:rPr>
                <w:rFonts w:ascii="Arial" w:hAnsi="Arial" w:cs="Arial"/>
                <w:sz w:val="16"/>
                <w:szCs w:val="16"/>
              </w:rPr>
            </w:pPr>
            <w:r>
              <w:rPr>
                <w:rFonts w:ascii="Arial" w:hAnsi="Arial" w:cs="Arial"/>
                <w:sz w:val="16"/>
                <w:szCs w:val="16"/>
              </w:rPr>
              <w:t>Dns_686-747</w:t>
            </w: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F: TTAAAAAYGGTGGAAATTTATT</w:t>
            </w:r>
          </w:p>
        </w:tc>
        <w:tc>
          <w:tcPr>
            <w:tcW w:w="1611" w:type="dxa"/>
            <w:vMerge w:val="restart"/>
            <w:vAlign w:val="center"/>
          </w:tcPr>
          <w:p>
            <w:pPr>
              <w:adjustRightInd w:val="0"/>
              <w:snapToGrid w:val="0"/>
              <w:jc w:val="center"/>
              <w:rPr>
                <w:rFonts w:ascii="Arial" w:hAnsi="Arial" w:cs="Arial"/>
                <w:sz w:val="16"/>
                <w:szCs w:val="16"/>
              </w:rPr>
            </w:pPr>
            <w:r>
              <w:rPr>
                <w:rFonts w:hint="eastAsia" w:ascii="Arial" w:hAnsi="Arial" w:cs="Arial"/>
                <w:sz w:val="16"/>
                <w:szCs w:val="16"/>
              </w:rPr>
              <w:t>302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jc w:val="center"/>
        </w:trPr>
        <w:tc>
          <w:tcPr>
            <w:tcW w:w="851" w:type="dxa"/>
            <w:vMerge w:val="continue"/>
            <w:vAlign w:val="center"/>
          </w:tcPr>
          <w:p>
            <w:pPr>
              <w:adjustRightInd w:val="0"/>
              <w:snapToGrid w:val="0"/>
              <w:jc w:val="center"/>
              <w:rPr>
                <w:rFonts w:ascii="宋体" w:hAnsi="宋体"/>
                <w:sz w:val="16"/>
                <w:szCs w:val="16"/>
              </w:rPr>
            </w:pPr>
          </w:p>
        </w:tc>
        <w:tc>
          <w:tcPr>
            <w:tcW w:w="1985" w:type="dxa"/>
            <w:vMerge w:val="continue"/>
            <w:vAlign w:val="center"/>
          </w:tcPr>
          <w:p>
            <w:pPr>
              <w:adjustRightInd w:val="0"/>
              <w:snapToGrid w:val="0"/>
              <w:jc w:val="center"/>
              <w:rPr>
                <w:rFonts w:ascii="宋体" w:hAnsi="宋体"/>
                <w:sz w:val="16"/>
                <w:szCs w:val="16"/>
              </w:rPr>
            </w:pPr>
          </w:p>
        </w:tc>
        <w:tc>
          <w:tcPr>
            <w:tcW w:w="1890" w:type="dxa"/>
            <w:vMerge w:val="continue"/>
            <w:vAlign w:val="center"/>
          </w:tcPr>
          <w:p>
            <w:pPr>
              <w:adjustRightInd w:val="0"/>
              <w:snapToGrid w:val="0"/>
              <w:jc w:val="center"/>
              <w:rPr>
                <w:rFonts w:ascii="宋体" w:hAnsi="宋体"/>
                <w:sz w:val="16"/>
                <w:szCs w:val="16"/>
              </w:rPr>
            </w:pPr>
          </w:p>
        </w:tc>
        <w:tc>
          <w:tcPr>
            <w:tcW w:w="3591" w:type="dxa"/>
            <w:vAlign w:val="center"/>
          </w:tcPr>
          <w:p>
            <w:pPr>
              <w:adjustRightInd w:val="0"/>
              <w:snapToGrid w:val="0"/>
              <w:jc w:val="left"/>
              <w:rPr>
                <w:rFonts w:ascii="Arial" w:hAnsi="Arial" w:cs="Arial"/>
                <w:sz w:val="16"/>
                <w:szCs w:val="16"/>
              </w:rPr>
            </w:pPr>
            <w:r>
              <w:rPr>
                <w:rFonts w:ascii="Arial" w:hAnsi="Arial" w:eastAsia="Times New Roman" w:cs="Arial"/>
                <w:sz w:val="16"/>
                <w:szCs w:val="16"/>
              </w:rPr>
              <w:t>R: ATACCCTACCAATTCATTAACAA</w:t>
            </w:r>
          </w:p>
        </w:tc>
        <w:tc>
          <w:tcPr>
            <w:tcW w:w="1611" w:type="dxa"/>
            <w:vMerge w:val="continue"/>
            <w:vAlign w:val="center"/>
          </w:tcPr>
          <w:p>
            <w:pPr>
              <w:adjustRightInd w:val="0"/>
              <w:snapToGrid w:val="0"/>
              <w:jc w:val="center"/>
              <w:rPr>
                <w:rFonts w:ascii="宋体" w:hAnsi="宋体"/>
                <w:sz w:val="16"/>
                <w:szCs w:val="16"/>
              </w:rPr>
            </w:pPr>
          </w:p>
        </w:tc>
      </w:tr>
    </w:tbl>
    <w:p>
      <w:pPr>
        <w:adjustRightInd w:val="0"/>
        <w:snapToGrid w:val="0"/>
        <w:spacing w:line="480" w:lineRule="auto"/>
        <w:outlineLvl w:val="0"/>
        <w:rPr>
          <w:rFonts w:ascii="Arial" w:hAnsi="Arial"/>
          <w:b/>
          <w:sz w:val="24"/>
        </w:rPr>
      </w:pPr>
    </w:p>
    <w:p>
      <w:pPr>
        <w:adjustRightInd w:val="0"/>
        <w:snapToGrid w:val="0"/>
        <w:spacing w:line="480" w:lineRule="auto"/>
        <w:outlineLvl w:val="0"/>
        <w:rPr>
          <w:rFonts w:ascii="Times New Roman" w:hAnsi="Times New Roman" w:cs="Times New Roman"/>
          <w:b/>
          <w:bCs/>
          <w:sz w:val="24"/>
        </w:rPr>
      </w:pPr>
      <w:r>
        <w:rPr>
          <w:rFonts w:ascii="Times New Roman" w:hAnsi="Times New Roman" w:cs="Times New Roman"/>
          <w:b/>
          <w:bCs/>
          <w:sz w:val="24"/>
        </w:rPr>
        <w:t>Supplementary Figures</w:t>
      </w:r>
    </w:p>
    <w:p>
      <w:pPr>
        <w:adjustRightInd w:val="0"/>
        <w:snapToGrid w:val="0"/>
        <w:spacing w:line="480" w:lineRule="auto"/>
        <w:outlineLvl w:val="0"/>
        <w:rPr>
          <w:rFonts w:ascii="Times New Roman" w:hAnsi="Times New Roman" w:cs="Times New Roman"/>
        </w:rPr>
      </w:pPr>
      <w:r>
        <w:rPr>
          <w:rFonts w:ascii="Times New Roman" w:hAnsi="Times New Roman" w:cs="Times New Roman"/>
          <w:b/>
          <w:bCs/>
        </w:rPr>
        <w:t xml:space="preserve">Figure </w:t>
      </w:r>
      <w:r>
        <w:rPr>
          <w:rFonts w:hint="eastAsia" w:ascii="Times New Roman" w:hAnsi="Times New Roman" w:cs="Times New Roman"/>
          <w:b/>
          <w:bCs/>
        </w:rPr>
        <w:t>S</w:t>
      </w:r>
      <w:r>
        <w:rPr>
          <w:rFonts w:ascii="Times New Roman" w:hAnsi="Times New Roman" w:cs="Times New Roman"/>
          <w:b/>
          <w:bCs/>
        </w:rPr>
        <w:t>1</w:t>
      </w:r>
      <w:r>
        <w:rPr>
          <w:rFonts w:hint="eastAsia" w:ascii="Times New Roman" w:hAnsi="Times New Roman" w:cs="Times New Roman"/>
        </w:rPr>
        <w:t>:</w:t>
      </w:r>
      <w:r>
        <w:rPr>
          <w:rFonts w:ascii="Times New Roman" w:hAnsi="Times New Roman" w:cs="Times New Roman"/>
        </w:rPr>
        <w:t xml:space="preserve"> Positions of the cytosines and differentially methylated regions in the target genes. HTS and HSS indicate the heat-tolerant strain and heat-sensitive strain, respectively. Dots along the horizontal axes represent cytosines. Areas boxed in red</w:t>
      </w:r>
      <w:r>
        <w:rPr>
          <w:rFonts w:hint="eastAsia" w:ascii="Times New Roman" w:hAnsi="Times New Roman" w:cs="Times New Roman"/>
        </w:rPr>
        <w:t>, blue</w:t>
      </w:r>
      <w:r>
        <w:rPr>
          <w:rFonts w:ascii="Times New Roman" w:hAnsi="Times New Roman" w:cs="Times New Roman"/>
        </w:rPr>
        <w:t>,</w:t>
      </w:r>
      <w:r>
        <w:rPr>
          <w:rFonts w:hint="eastAsia" w:ascii="Times New Roman" w:hAnsi="Times New Roman" w:cs="Times New Roman"/>
        </w:rPr>
        <w:t xml:space="preserve"> and green</w:t>
      </w:r>
      <w:r>
        <w:rPr>
          <w:rFonts w:ascii="Times New Roman" w:hAnsi="Times New Roman" w:cs="Times New Roman"/>
        </w:rPr>
        <w:t xml:space="preserve"> dashed lines are the differentially methylated regions (DMRs): regions that are consistently methylated or demethylated by HNT in the successive cytosines genome-wide but showed a different methylation pattern between the heat-tolerant and heat-sensitive rice strains. </w:t>
      </w:r>
      <w:r>
        <w:rPr>
          <w:rFonts w:hint="eastAsia" w:ascii="Times New Roman" w:hAnsi="Times New Roman" w:cs="Times New Roman"/>
        </w:rPr>
        <w:t>T</w:t>
      </w:r>
      <w:r>
        <w:rPr>
          <w:rFonts w:ascii="Times New Roman" w:hAnsi="Times New Roman" w:cs="Times New Roman"/>
        </w:rPr>
        <w:t>ype</w:t>
      </w:r>
      <w:r>
        <w:rPr>
          <w:rFonts w:hint="eastAsia" w:ascii="Times New Roman" w:hAnsi="Times New Roman" w:cs="Times New Roman"/>
        </w:rPr>
        <w:t xml:space="preserve"> </w:t>
      </w:r>
      <w:r>
        <w:rPr>
          <w:rFonts w:ascii="Times New Roman" w:hAnsi="Times New Roman" w:cs="Times New Roman"/>
        </w:rPr>
        <w:t>I</w:t>
      </w:r>
      <w:r>
        <w:rPr>
          <w:rFonts w:hint="eastAsia" w:ascii="Times New Roman" w:hAnsi="Times New Roman" w:cs="Times New Roman"/>
        </w:rPr>
        <w:t xml:space="preserve"> (in red dashed line</w:t>
      </w:r>
      <w:r>
        <w:rPr>
          <w:rFonts w:ascii="Times New Roman" w:hAnsi="Times New Roman" w:cs="Times New Roman"/>
        </w:rPr>
        <w:t xml:space="preserve">s): the </w:t>
      </w:r>
      <w:r>
        <w:rPr>
          <w:rFonts w:hint="eastAsia" w:ascii="Times New Roman" w:hAnsi="Times New Roman" w:cs="Times New Roman"/>
        </w:rPr>
        <w:t>DMC</w:t>
      </w:r>
      <w:r>
        <w:rPr>
          <w:rFonts w:ascii="Times New Roman" w:hAnsi="Times New Roman" w:cs="Times New Roman"/>
        </w:rPr>
        <w:t xml:space="preserve"> in the heat-tolerant strain was methylated by HNT, but the corresponding cytosine in the heat-sensitive strain was either unchanged</w:t>
      </w:r>
      <w:r>
        <w:rPr>
          <w:rFonts w:hint="eastAsia" w:ascii="Times New Roman" w:hAnsi="Times New Roman" w:cs="Times New Roman"/>
        </w:rPr>
        <w:t xml:space="preserve"> </w:t>
      </w:r>
      <w:r>
        <w:rPr>
          <w:rFonts w:ascii="Times New Roman" w:hAnsi="Times New Roman" w:cs="Times New Roman"/>
        </w:rPr>
        <w:t xml:space="preserve">or demethylated </w:t>
      </w:r>
      <w:r>
        <w:rPr>
          <w:rFonts w:hint="eastAsia" w:ascii="Times New Roman" w:hAnsi="Times New Roman" w:cs="Times New Roman"/>
        </w:rPr>
        <w:t xml:space="preserve">after </w:t>
      </w:r>
      <w:r>
        <w:rPr>
          <w:rFonts w:ascii="Times New Roman" w:hAnsi="Times New Roman" w:cs="Times New Roman"/>
        </w:rPr>
        <w:t>HNT exposure; Type</w:t>
      </w:r>
      <w:r>
        <w:rPr>
          <w:rFonts w:hint="eastAsia" w:ascii="Times New Roman" w:hAnsi="Times New Roman" w:cs="Times New Roman"/>
        </w:rPr>
        <w:t xml:space="preserve"> </w:t>
      </w:r>
      <w:r>
        <w:rPr>
          <w:rFonts w:ascii="Times New Roman" w:hAnsi="Times New Roman" w:cs="Times New Roman"/>
        </w:rPr>
        <w:t>II</w:t>
      </w:r>
      <w:r>
        <w:rPr>
          <w:rFonts w:hint="eastAsia" w:ascii="Times New Roman" w:hAnsi="Times New Roman" w:cs="Times New Roman"/>
        </w:rPr>
        <w:t xml:space="preserve"> (in blue dashed line)</w:t>
      </w:r>
      <w:r>
        <w:rPr>
          <w:rFonts w:ascii="Times New Roman" w:hAnsi="Times New Roman" w:cs="Times New Roman"/>
        </w:rPr>
        <w:t xml:space="preserve">: the </w:t>
      </w:r>
      <w:r>
        <w:rPr>
          <w:rFonts w:hint="eastAsia" w:ascii="Times New Roman" w:hAnsi="Times New Roman" w:cs="Times New Roman"/>
        </w:rPr>
        <w:t>DMC</w:t>
      </w:r>
      <w:r>
        <w:rPr>
          <w:rFonts w:ascii="Times New Roman" w:hAnsi="Times New Roman" w:cs="Times New Roman"/>
        </w:rPr>
        <w:t xml:space="preserve"> in the heat-tolerant strain was demethylated by HNT, but the corresponding cytosine in the heat-sensitive strain was either unchanged</w:t>
      </w:r>
      <w:r>
        <w:rPr>
          <w:rFonts w:hint="eastAsia" w:ascii="Times New Roman" w:hAnsi="Times New Roman" w:cs="Times New Roman"/>
        </w:rPr>
        <w:t xml:space="preserve"> </w:t>
      </w:r>
      <w:r>
        <w:rPr>
          <w:rFonts w:ascii="Times New Roman" w:hAnsi="Times New Roman" w:cs="Times New Roman"/>
        </w:rPr>
        <w:t xml:space="preserve">or methylated </w:t>
      </w:r>
      <w:r>
        <w:rPr>
          <w:rFonts w:hint="eastAsia" w:ascii="Times New Roman" w:hAnsi="Times New Roman" w:cs="Times New Roman"/>
        </w:rPr>
        <w:t xml:space="preserve">after </w:t>
      </w:r>
      <w:r>
        <w:rPr>
          <w:rFonts w:ascii="Times New Roman" w:hAnsi="Times New Roman" w:cs="Times New Roman"/>
        </w:rPr>
        <w:t>HNT exposure; Type</w:t>
      </w:r>
      <w:r>
        <w:rPr>
          <w:rFonts w:hint="eastAsia" w:ascii="Times New Roman" w:hAnsi="Times New Roman" w:cs="Times New Roman"/>
        </w:rPr>
        <w:t xml:space="preserve"> </w:t>
      </w:r>
      <w:r>
        <w:rPr>
          <w:rFonts w:ascii="Times New Roman" w:hAnsi="Times New Roman" w:cs="Times New Roman"/>
        </w:rPr>
        <w:t>III</w:t>
      </w:r>
      <w:r>
        <w:rPr>
          <w:rFonts w:hint="eastAsia" w:ascii="Times New Roman" w:hAnsi="Times New Roman" w:cs="Times New Roman"/>
        </w:rPr>
        <w:t xml:space="preserve"> (in green dashed line)</w:t>
      </w:r>
      <w:r>
        <w:rPr>
          <w:rFonts w:ascii="Times New Roman" w:hAnsi="Times New Roman" w:cs="Times New Roman"/>
        </w:rPr>
        <w:t xml:space="preserve">: the </w:t>
      </w:r>
      <w:r>
        <w:rPr>
          <w:rFonts w:hint="eastAsia" w:ascii="Times New Roman" w:hAnsi="Times New Roman" w:cs="Times New Roman"/>
        </w:rPr>
        <w:t>DMC</w:t>
      </w:r>
      <w:r>
        <w:rPr>
          <w:rFonts w:ascii="Times New Roman" w:hAnsi="Times New Roman" w:cs="Times New Roman"/>
        </w:rPr>
        <w:t xml:space="preserve"> in the heat-tolerant strain was unchanged </w:t>
      </w:r>
      <w:r>
        <w:rPr>
          <w:rFonts w:hint="eastAsia" w:ascii="Times New Roman" w:hAnsi="Times New Roman" w:cs="Times New Roman"/>
        </w:rPr>
        <w:t xml:space="preserve">after </w:t>
      </w:r>
      <w:r>
        <w:rPr>
          <w:rFonts w:ascii="Times New Roman" w:hAnsi="Times New Roman" w:cs="Times New Roman"/>
        </w:rPr>
        <w:t>HNT exposure, but the corresponding cytosine in the heat-sensitive strain was either methylated or demethylated by HNT. Vertical bars extending above the horizontal axes represent cytosines methylated by HNT, while vertical bars extending below the horizontal axes represent cytosines demethylated by HNT.</w:t>
      </w:r>
    </w:p>
    <w:p>
      <w:pPr>
        <w:adjustRightInd w:val="0"/>
        <w:snapToGrid w:val="0"/>
        <w:spacing w:line="480" w:lineRule="auto"/>
        <w:rPr>
          <w:rFonts w:ascii="Arial" w:hAnsi="Arial" w:cs="Arial"/>
          <w:b/>
          <w:bCs/>
          <w:sz w:val="20"/>
          <w:szCs w:val="20"/>
        </w:rPr>
        <w:sectPr>
          <w:pgSz w:w="11906" w:h="16838"/>
          <w:pgMar w:top="1440" w:right="1080" w:bottom="1440" w:left="1080" w:header="851" w:footer="992" w:gutter="0"/>
          <w:cols w:space="720" w:num="1"/>
          <w:docGrid w:type="lines" w:linePitch="312" w:charSpace="0"/>
        </w:sectPr>
      </w:pPr>
      <w:r>
        <w:rPr>
          <w:rFonts w:ascii="Arial" w:hAnsi="Arial" w:cs="Arial"/>
          <w:b/>
          <w:bCs/>
          <w:sz w:val="20"/>
          <w:szCs w:val="20"/>
        </w:rPr>
        <w:drawing>
          <wp:inline distT="0" distB="0" distL="0" distR="0">
            <wp:extent cx="5762625" cy="8991600"/>
            <wp:effectExtent l="0" t="0" r="9525" b="0"/>
            <wp:docPr id="9" name="Picture 1" descr="Supplementary 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Supplementary Fig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62625" cy="8991600"/>
                    </a:xfrm>
                    <a:prstGeom prst="rect">
                      <a:avLst/>
                    </a:prstGeom>
                    <a:noFill/>
                    <a:ln>
                      <a:noFill/>
                    </a:ln>
                  </pic:spPr>
                </pic:pic>
              </a:graphicData>
            </a:graphic>
          </wp:inline>
        </w:drawing>
      </w:r>
    </w:p>
    <w:p>
      <w:pPr>
        <w:adjustRightInd w:val="0"/>
        <w:snapToGrid w:val="0"/>
        <w:spacing w:line="480" w:lineRule="auto"/>
        <w:rPr>
          <w:rFonts w:ascii="Arial" w:hAnsi="Arial" w:cs="Arial"/>
          <w:b/>
          <w:bCs/>
          <w:sz w:val="20"/>
          <w:szCs w:val="20"/>
        </w:rPr>
      </w:pPr>
      <w:r>
        <w:rPr>
          <w:rFonts w:ascii="Arial" w:hAnsi="Arial" w:cs="Arial"/>
          <w:b/>
          <w:bCs/>
          <w:sz w:val="20"/>
          <w:szCs w:val="20"/>
        </w:rPr>
        <w:drawing>
          <wp:inline distT="0" distB="0" distL="0" distR="0">
            <wp:extent cx="5753100" cy="8315325"/>
            <wp:effectExtent l="0" t="0" r="0" b="9525"/>
            <wp:docPr id="8" name="Picture 2" descr="Supplementary 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upplementary Fig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753100" cy="8315325"/>
                    </a:xfrm>
                    <a:prstGeom prst="rect">
                      <a:avLst/>
                    </a:prstGeom>
                    <a:noFill/>
                    <a:ln>
                      <a:noFill/>
                    </a:ln>
                  </pic:spPr>
                </pic:pic>
              </a:graphicData>
            </a:graphic>
          </wp:inline>
        </w:drawing>
      </w:r>
    </w:p>
    <w:p>
      <w:pPr>
        <w:adjustRightInd w:val="0"/>
        <w:snapToGrid w:val="0"/>
        <w:spacing w:line="480" w:lineRule="auto"/>
        <w:rPr>
          <w:rFonts w:ascii="Arial" w:hAnsi="Arial" w:cs="Arial"/>
          <w:b/>
          <w:bCs/>
          <w:sz w:val="20"/>
          <w:szCs w:val="20"/>
        </w:rPr>
      </w:pPr>
    </w:p>
    <w:p>
      <w:pPr>
        <w:adjustRightInd w:val="0"/>
        <w:snapToGrid w:val="0"/>
        <w:spacing w:line="480" w:lineRule="auto"/>
        <w:outlineLvl w:val="0"/>
        <w:rPr>
          <w:rFonts w:ascii="Times New Roman" w:hAnsi="Times New Roman" w:cs="Times New Roman"/>
        </w:rPr>
      </w:pPr>
      <w:r>
        <w:rPr>
          <w:rFonts w:hint="eastAsia" w:ascii="Times New Roman" w:hAnsi="Times New Roman" w:cs="Times New Roman"/>
          <w:b/>
          <w:bCs/>
        </w:rPr>
        <w:t>Figure S2</w:t>
      </w:r>
      <w:r>
        <w:rPr>
          <w:rFonts w:hint="eastAsia" w:ascii="Times New Roman" w:hAnsi="Times New Roman" w:cs="Times New Roman"/>
        </w:rPr>
        <w:t xml:space="preserve">: </w:t>
      </w:r>
      <w:r>
        <w:rPr>
          <w:rFonts w:ascii="Times New Roman" w:hAnsi="Times New Roman" w:cs="Times New Roman"/>
        </w:rPr>
        <w:t>Methylation or demethylation ratio of cytosine</w:t>
      </w:r>
      <w:r>
        <w:rPr>
          <w:rFonts w:hint="eastAsia" w:ascii="Times New Roman" w:hAnsi="Times New Roman" w:cs="Times New Roman"/>
        </w:rPr>
        <w:t xml:space="preserve">s </w:t>
      </w:r>
      <w:r>
        <w:rPr>
          <w:rFonts w:ascii="Times New Roman" w:hAnsi="Times New Roman" w:cs="Times New Roman"/>
        </w:rPr>
        <w:t>for six selected target DMRs. DMR</w:t>
      </w:r>
      <w:r>
        <w:rPr>
          <w:rFonts w:hint="eastAsia" w:ascii="Times New Roman" w:hAnsi="Times New Roman" w:cs="Times New Roman"/>
        </w:rPr>
        <w:t xml:space="preserve"> indicates</w:t>
      </w:r>
      <w:r>
        <w:rPr>
          <w:rFonts w:ascii="Times New Roman" w:hAnsi="Times New Roman" w:cs="Times New Roman"/>
        </w:rPr>
        <w:t xml:space="preserve"> differentially methylated region; WGBS</w:t>
      </w:r>
      <w:r>
        <w:rPr>
          <w:rFonts w:hint="eastAsia" w:ascii="Times New Roman" w:hAnsi="Times New Roman" w:cs="Times New Roman"/>
        </w:rPr>
        <w:t xml:space="preserve"> indicates</w:t>
      </w:r>
      <w:r>
        <w:rPr>
          <w:rFonts w:ascii="Times New Roman" w:hAnsi="Times New Roman" w:cs="Times New Roman"/>
        </w:rPr>
        <w:t xml:space="preserve"> whole-genome bisulfite sequencing; BSP</w:t>
      </w:r>
      <w:r>
        <w:rPr>
          <w:rFonts w:hint="eastAsia" w:ascii="Times New Roman" w:hAnsi="Times New Roman" w:cs="Times New Roman"/>
        </w:rPr>
        <w:t xml:space="preserve"> indicates</w:t>
      </w:r>
      <w:r>
        <w:rPr>
          <w:rFonts w:ascii="Times New Roman" w:hAnsi="Times New Roman" w:cs="Times New Roman"/>
        </w:rPr>
        <w:t xml:space="preserve"> bisulfite-sequencing PCR; TC and TT represent the heat-tolerant rice strain under control and experimental conditions, respectively; SC and ST represent the heat-sensitive rice strain under control and experimental conditions, respectively. The nucleotide sequences of the DMRs are plotted along the horizontal axes. Black pillars represent the methylation rate generated from WGBS, and purple pillars represent the methylation rate generated from BSP.</w:t>
      </w:r>
    </w:p>
    <w:p>
      <w:pPr>
        <w:adjustRightInd w:val="0"/>
        <w:snapToGrid w:val="0"/>
        <w:spacing w:line="480" w:lineRule="auto"/>
        <w:rPr>
          <w:rFonts w:ascii="Arial" w:hAnsi="Arial" w:cs="Arial"/>
          <w:b/>
          <w:bCs/>
          <w:sz w:val="20"/>
          <w:szCs w:val="20"/>
        </w:rPr>
      </w:pPr>
      <w:r>
        <w:rPr>
          <w:rFonts w:ascii="Arial" w:hAnsi="Arial" w:cs="Arial"/>
          <w:b/>
          <w:bCs/>
          <w:sz w:val="20"/>
          <w:szCs w:val="20"/>
        </w:rPr>
        <w:drawing>
          <wp:inline distT="0" distB="0" distL="0" distR="0">
            <wp:extent cx="5267325" cy="7972425"/>
            <wp:effectExtent l="0" t="0" r="9525" b="9525"/>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7972425"/>
                    </a:xfrm>
                    <a:prstGeom prst="rect">
                      <a:avLst/>
                    </a:prstGeom>
                    <a:noFill/>
                    <a:ln>
                      <a:noFill/>
                    </a:ln>
                  </pic:spPr>
                </pic:pic>
              </a:graphicData>
            </a:graphic>
          </wp:inline>
        </w:drawing>
      </w:r>
    </w:p>
    <w:p>
      <w:pPr>
        <w:adjustRightInd w:val="0"/>
        <w:snapToGrid w:val="0"/>
        <w:spacing w:line="480" w:lineRule="auto"/>
        <w:rPr>
          <w:rFonts w:ascii="Arial" w:hAnsi="Arial" w:cs="Arial"/>
          <w:b/>
          <w:sz w:val="28"/>
          <w:szCs w:val="28"/>
        </w:rPr>
      </w:pPr>
      <w:r>
        <w:rPr>
          <w:rFonts w:ascii="Arial" w:hAnsi="Arial" w:cs="Arial"/>
          <w:b/>
          <w:sz w:val="28"/>
          <w:szCs w:val="28"/>
        </w:rPr>
        <w:drawing>
          <wp:inline distT="0" distB="0" distL="0" distR="0">
            <wp:extent cx="5267325" cy="7924800"/>
            <wp:effectExtent l="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67325" cy="7924800"/>
                    </a:xfrm>
                    <a:prstGeom prst="rect">
                      <a:avLst/>
                    </a:prstGeom>
                    <a:noFill/>
                    <a:ln>
                      <a:noFill/>
                    </a:ln>
                  </pic:spPr>
                </pic:pic>
              </a:graphicData>
            </a:graphic>
          </wp:inline>
        </w:drawing>
      </w:r>
    </w:p>
    <w:p>
      <w:pPr>
        <w:adjustRightInd w:val="0"/>
        <w:snapToGrid w:val="0"/>
        <w:spacing w:line="480" w:lineRule="auto"/>
        <w:outlineLvl w:val="0"/>
        <w:rPr>
          <w:rFonts w:ascii="Times New Roman" w:hAnsi="Times New Roman" w:cs="Times New Roman"/>
        </w:rPr>
      </w:pPr>
      <w:r>
        <w:rPr>
          <w:rFonts w:hint="eastAsia" w:ascii="Times New Roman" w:hAnsi="Times New Roman" w:cs="Times New Roman"/>
          <w:b/>
          <w:bCs/>
        </w:rPr>
        <w:t>Figure S3</w:t>
      </w:r>
      <w:r>
        <w:t xml:space="preserve">. </w:t>
      </w:r>
      <w:r>
        <w:rPr>
          <w:rFonts w:ascii="Times New Roman" w:hAnsi="Times New Roman" w:cs="Times New Roman"/>
          <w:sz w:val="20"/>
          <w:szCs w:val="20"/>
        </w:rPr>
        <w:t>T</w:t>
      </w:r>
      <w:r>
        <w:rPr>
          <w:rFonts w:hint="eastAsia" w:ascii="Times New Roman" w:hAnsi="Times New Roman" w:cs="Times New Roman"/>
          <w:sz w:val="20"/>
          <w:szCs w:val="20"/>
        </w:rPr>
        <w:t>he activit</w:t>
      </w:r>
      <w:r>
        <w:rPr>
          <w:rFonts w:ascii="Times New Roman" w:hAnsi="Times New Roman" w:cs="Times New Roman"/>
          <w:sz w:val="20"/>
          <w:szCs w:val="20"/>
        </w:rPr>
        <w:t>y levels</w:t>
      </w:r>
      <w:r>
        <w:rPr>
          <w:rFonts w:hint="eastAsia" w:ascii="Times New Roman" w:hAnsi="Times New Roman"/>
          <w:sz w:val="20"/>
        </w:rPr>
        <w:t xml:space="preserve"> of </w:t>
      </w:r>
      <w:r>
        <w:rPr>
          <w:rFonts w:hint="eastAsia" w:ascii="Times New Roman" w:hAnsi="Times New Roman" w:cs="Times New Roman"/>
        </w:rPr>
        <w:t>superoxide dismutase (</w:t>
      </w:r>
      <w:r>
        <w:rPr>
          <w:rFonts w:hint="eastAsia" w:ascii="Times New Roman" w:hAnsi="Times New Roman"/>
        </w:rPr>
        <w:t>SOD</w:t>
      </w:r>
      <w:r>
        <w:rPr>
          <w:rFonts w:hint="eastAsia" w:ascii="Times New Roman" w:hAnsi="Times New Roman" w:cs="Times New Roman"/>
        </w:rPr>
        <w:t>)</w:t>
      </w:r>
      <w:r>
        <w:rPr>
          <w:rFonts w:ascii="Times New Roman" w:hAnsi="Times New Roman"/>
        </w:rPr>
        <w:t xml:space="preserve"> (a)</w:t>
      </w:r>
      <w:r>
        <w:rPr>
          <w:rFonts w:hint="eastAsia" w:ascii="Times New Roman" w:hAnsi="Times New Roman"/>
        </w:rPr>
        <w:t xml:space="preserve">, </w:t>
      </w:r>
      <w:r>
        <w:rPr>
          <w:rFonts w:hint="eastAsia" w:ascii="Times New Roman" w:hAnsi="Times New Roman" w:cs="Times New Roman"/>
        </w:rPr>
        <w:t>peroxidase (</w:t>
      </w:r>
      <w:r>
        <w:rPr>
          <w:rFonts w:hint="eastAsia" w:ascii="Times New Roman" w:hAnsi="Times New Roman"/>
        </w:rPr>
        <w:t>POD</w:t>
      </w:r>
      <w:r>
        <w:rPr>
          <w:rFonts w:hint="eastAsia" w:ascii="Times New Roman" w:hAnsi="Times New Roman" w:cs="Times New Roman"/>
        </w:rPr>
        <w:t>)</w:t>
      </w:r>
      <w:r>
        <w:rPr>
          <w:rFonts w:hint="eastAsia" w:ascii="Times New Roman" w:hAnsi="Times New Roman"/>
        </w:rPr>
        <w:t xml:space="preserve"> </w:t>
      </w:r>
      <w:r>
        <w:rPr>
          <w:rFonts w:ascii="Times New Roman" w:hAnsi="Times New Roman"/>
        </w:rPr>
        <w:t>(b</w:t>
      </w:r>
      <w:r>
        <w:rPr>
          <w:rFonts w:ascii="Times New Roman" w:hAnsi="Times New Roman" w:cs="Times New Roman"/>
        </w:rPr>
        <w:t>),</w:t>
      </w:r>
      <w:r>
        <w:rPr>
          <w:rFonts w:ascii="Times New Roman" w:hAnsi="Times New Roman"/>
        </w:rPr>
        <w:t xml:space="preserve"> </w:t>
      </w:r>
      <w:r>
        <w:rPr>
          <w:rFonts w:hint="eastAsia" w:ascii="Times New Roman" w:hAnsi="Times New Roman"/>
        </w:rPr>
        <w:t xml:space="preserve">and </w:t>
      </w:r>
      <w:r>
        <w:rPr>
          <w:rFonts w:hint="eastAsia" w:ascii="Times New Roman" w:hAnsi="Times New Roman" w:cs="Times New Roman"/>
        </w:rPr>
        <w:t>catalase (</w:t>
      </w:r>
      <w:r>
        <w:rPr>
          <w:rFonts w:hint="eastAsia" w:ascii="Times New Roman" w:hAnsi="Times New Roman"/>
        </w:rPr>
        <w:t>CAT</w:t>
      </w:r>
      <w:r>
        <w:rPr>
          <w:rFonts w:hint="eastAsia" w:ascii="Times New Roman" w:hAnsi="Times New Roman" w:cs="Times New Roman"/>
        </w:rPr>
        <w:t>)</w:t>
      </w:r>
      <w:r>
        <w:rPr>
          <w:rFonts w:hint="eastAsia" w:ascii="Times New Roman" w:hAnsi="Times New Roman"/>
        </w:rPr>
        <w:t xml:space="preserve"> </w:t>
      </w:r>
      <w:r>
        <w:rPr>
          <w:rFonts w:hint="eastAsia" w:ascii="Times New Roman" w:hAnsi="Times New Roman"/>
          <w:sz w:val="20"/>
        </w:rPr>
        <w:t>(c</w:t>
      </w:r>
      <w:r>
        <w:rPr>
          <w:rFonts w:hint="eastAsia" w:ascii="Times New Roman" w:hAnsi="Times New Roman" w:cs="Times New Roman"/>
          <w:sz w:val="20"/>
          <w:szCs w:val="20"/>
        </w:rPr>
        <w:t>)</w:t>
      </w:r>
      <w:r>
        <w:rPr>
          <w:rFonts w:ascii="Times New Roman" w:hAnsi="Times New Roman" w:cs="Times New Roman"/>
          <w:sz w:val="20"/>
          <w:szCs w:val="20"/>
        </w:rPr>
        <w:t>,</w:t>
      </w:r>
      <w:r>
        <w:rPr>
          <w:rFonts w:hint="eastAsia" w:ascii="Times New Roman" w:hAnsi="Times New Roman" w:cs="Times New Roman"/>
          <w:sz w:val="20"/>
          <w:szCs w:val="20"/>
        </w:rPr>
        <w:t xml:space="preserve"> </w:t>
      </w:r>
      <w:r>
        <w:rPr>
          <w:rFonts w:ascii="Times New Roman" w:hAnsi="Times New Roman" w:cs="Times New Roman"/>
          <w:sz w:val="20"/>
          <w:szCs w:val="20"/>
        </w:rPr>
        <w:t>as well as</w:t>
      </w:r>
      <w:r>
        <w:rPr>
          <w:rFonts w:hint="eastAsia" w:ascii="Times New Roman" w:hAnsi="Times New Roman" w:cs="Times New Roman"/>
          <w:sz w:val="20"/>
          <w:szCs w:val="20"/>
        </w:rPr>
        <w:t xml:space="preserve"> </w:t>
      </w:r>
      <w:r>
        <w:rPr>
          <w:rFonts w:hint="eastAsia" w:ascii="Times New Roman" w:hAnsi="Times New Roman"/>
          <w:sz w:val="20"/>
        </w:rPr>
        <w:t xml:space="preserve">endogenous </w:t>
      </w:r>
      <w:r>
        <w:rPr>
          <w:rFonts w:hint="eastAsia" w:ascii="Times New Roman" w:hAnsi="Times New Roman" w:cs="Times New Roman"/>
          <w:sz w:val="20"/>
        </w:rPr>
        <w:t>abscisic acid (</w:t>
      </w:r>
      <w:r>
        <w:rPr>
          <w:rFonts w:hint="eastAsia" w:ascii="Times New Roman" w:hAnsi="Times New Roman"/>
          <w:sz w:val="20"/>
        </w:rPr>
        <w:t xml:space="preserve">ABA) concentrations (d) </w:t>
      </w:r>
      <w:r>
        <w:rPr>
          <w:rFonts w:ascii="Times New Roman" w:hAnsi="Times New Roman" w:cs="Times New Roman"/>
          <w:sz w:val="20"/>
          <w:szCs w:val="20"/>
        </w:rPr>
        <w:t>in</w:t>
      </w:r>
      <w:r>
        <w:rPr>
          <w:rFonts w:ascii="Times New Roman" w:hAnsi="Times New Roman"/>
          <w:sz w:val="20"/>
        </w:rPr>
        <w:t xml:space="preserve"> the</w:t>
      </w:r>
      <w:r>
        <w:rPr>
          <w:rFonts w:hint="eastAsia" w:ascii="Times New Roman" w:hAnsi="Times New Roman"/>
          <w:sz w:val="20"/>
        </w:rPr>
        <w:t xml:space="preserve"> </w:t>
      </w:r>
      <w:r>
        <w:rPr>
          <w:rFonts w:ascii="Times New Roman" w:hAnsi="Times New Roman"/>
          <w:sz w:val="20"/>
        </w:rPr>
        <w:t xml:space="preserve">heat-tolerant rice </w:t>
      </w:r>
      <w:r>
        <w:rPr>
          <w:rFonts w:hint="eastAsia" w:ascii="Times New Roman" w:hAnsi="Times New Roman"/>
          <w:sz w:val="20"/>
        </w:rPr>
        <w:t xml:space="preserve">germplasms </w:t>
      </w:r>
      <w:r>
        <w:rPr>
          <w:rFonts w:ascii="Times New Roman" w:hAnsi="Times New Roman" w:cs="Times New Roman"/>
          <w:sz w:val="20"/>
          <w:szCs w:val="20"/>
        </w:rPr>
        <w:t>(</w:t>
      </w:r>
      <w:r>
        <w:rPr>
          <w:rFonts w:ascii="Times New Roman" w:hAnsi="Times New Roman"/>
          <w:sz w:val="20"/>
        </w:rPr>
        <w:t xml:space="preserve">Huazhan, </w:t>
      </w:r>
      <w:r>
        <w:rPr>
          <w:rFonts w:hint="eastAsia" w:ascii="Times New Roman" w:hAnsi="Times New Roman"/>
          <w:sz w:val="20"/>
        </w:rPr>
        <w:t>Qiyinzhan,</w:t>
      </w:r>
      <w:r>
        <w:rPr>
          <w:rFonts w:ascii="Times New Roman" w:hAnsi="Times New Roman"/>
          <w:sz w:val="20"/>
        </w:rPr>
        <w:t xml:space="preserve"> </w:t>
      </w:r>
      <w:r>
        <w:rPr>
          <w:rFonts w:ascii="Times New Roman" w:hAnsi="Times New Roman" w:cs="Times New Roman"/>
          <w:sz w:val="20"/>
          <w:szCs w:val="20"/>
        </w:rPr>
        <w:t xml:space="preserve">and </w:t>
      </w:r>
      <w:r>
        <w:rPr>
          <w:rFonts w:ascii="Times New Roman" w:hAnsi="Times New Roman"/>
          <w:sz w:val="20"/>
        </w:rPr>
        <w:t>Simiao</w:t>
      </w:r>
      <w:r>
        <w:rPr>
          <w:rFonts w:ascii="Times New Roman" w:hAnsi="Times New Roman" w:cs="Times New Roman"/>
          <w:sz w:val="20"/>
          <w:szCs w:val="20"/>
        </w:rPr>
        <w:t>)</w:t>
      </w:r>
      <w:r>
        <w:rPr>
          <w:rFonts w:ascii="Times New Roman" w:hAnsi="Times New Roman"/>
          <w:sz w:val="20"/>
        </w:rPr>
        <w:t xml:space="preserve"> and </w:t>
      </w:r>
      <w:r>
        <w:rPr>
          <w:rFonts w:hint="eastAsia" w:ascii="Times New Roman" w:hAnsi="Times New Roman"/>
          <w:sz w:val="20"/>
        </w:rPr>
        <w:t>the</w:t>
      </w:r>
      <w:r>
        <w:rPr>
          <w:rFonts w:ascii="Times New Roman" w:hAnsi="Times New Roman"/>
          <w:sz w:val="20"/>
        </w:rPr>
        <w:t xml:space="preserve"> heat-</w:t>
      </w:r>
      <w:r>
        <w:rPr>
          <w:rFonts w:hint="eastAsia" w:ascii="Times New Roman" w:hAnsi="Times New Roman"/>
          <w:sz w:val="20"/>
        </w:rPr>
        <w:t>sensitive</w:t>
      </w:r>
      <w:r>
        <w:rPr>
          <w:rFonts w:ascii="Times New Roman" w:hAnsi="Times New Roman"/>
          <w:sz w:val="20"/>
        </w:rPr>
        <w:t xml:space="preserve"> rice </w:t>
      </w:r>
      <w:r>
        <w:rPr>
          <w:rFonts w:hint="eastAsia" w:ascii="Times New Roman" w:hAnsi="Times New Roman"/>
          <w:sz w:val="20"/>
        </w:rPr>
        <w:t xml:space="preserve">germplasms </w:t>
      </w:r>
      <w:r>
        <w:rPr>
          <w:rFonts w:ascii="Times New Roman" w:hAnsi="Times New Roman" w:cs="Times New Roman"/>
          <w:sz w:val="20"/>
          <w:szCs w:val="20"/>
        </w:rPr>
        <w:t>(</w:t>
      </w:r>
      <w:r>
        <w:rPr>
          <w:rFonts w:hint="eastAsia" w:ascii="Times New Roman" w:hAnsi="Times New Roman"/>
          <w:sz w:val="20"/>
        </w:rPr>
        <w:t>Labelle, Ko</w:t>
      </w:r>
      <w:r>
        <w:rPr>
          <w:rFonts w:ascii="Times New Roman" w:hAnsi="Times New Roman"/>
          <w:sz w:val="20"/>
        </w:rPr>
        <w:t>shihikari</w:t>
      </w:r>
      <w:r>
        <w:rPr>
          <w:rFonts w:ascii="Times New Roman" w:hAnsi="Times New Roman" w:cs="Times New Roman"/>
          <w:sz w:val="20"/>
          <w:szCs w:val="20"/>
        </w:rPr>
        <w:t>,</w:t>
      </w:r>
      <w:r>
        <w:rPr>
          <w:rFonts w:ascii="Times New Roman" w:hAnsi="Times New Roman"/>
          <w:sz w:val="20"/>
        </w:rPr>
        <w:t xml:space="preserve"> and OM997</w:t>
      </w:r>
      <w:r>
        <w:rPr>
          <w:rFonts w:ascii="Times New Roman" w:hAnsi="Times New Roman" w:cs="Times New Roman"/>
          <w:sz w:val="20"/>
          <w:szCs w:val="20"/>
        </w:rPr>
        <w:t>)</w:t>
      </w:r>
      <w:r>
        <w:rPr>
          <w:rFonts w:hint="eastAsia" w:ascii="Times New Roman" w:hAnsi="Times New Roman" w:cs="Times New Roman"/>
          <w:sz w:val="20"/>
          <w:szCs w:val="20"/>
        </w:rPr>
        <w:t>.</w:t>
      </w:r>
      <w:r>
        <w:rPr>
          <w:rFonts w:ascii="Times New Roman" w:hAnsi="Times New Roman"/>
          <w:color w:val="FF0000"/>
          <w:sz w:val="20"/>
        </w:rPr>
        <w:t xml:space="preserve"> </w:t>
      </w:r>
      <w:r>
        <w:rPr>
          <w:rFonts w:hint="eastAsia" w:ascii="Times New Roman" w:hAnsi="Times New Roman" w:cs="Times New Roman"/>
        </w:rPr>
        <w:t>The activit</w:t>
      </w:r>
      <w:r>
        <w:rPr>
          <w:rFonts w:ascii="Times New Roman" w:hAnsi="Times New Roman" w:cs="Times New Roman"/>
        </w:rPr>
        <w:t xml:space="preserve">y </w:t>
      </w:r>
      <w:r>
        <w:rPr>
          <w:rFonts w:hint="eastAsia" w:ascii="Times New Roman" w:hAnsi="Times New Roman" w:cs="Times New Roman"/>
        </w:rPr>
        <w:t xml:space="preserve">levels of </w:t>
      </w:r>
      <w:r>
        <w:rPr>
          <w:rFonts w:ascii="Times New Roman" w:hAnsi="Times New Roman" w:cs="Times New Roman"/>
        </w:rPr>
        <w:t xml:space="preserve">the </w:t>
      </w:r>
      <w:r>
        <w:rPr>
          <w:rFonts w:hint="eastAsia" w:ascii="Times New Roman" w:hAnsi="Times New Roman" w:cs="Times New Roman"/>
        </w:rPr>
        <w:t xml:space="preserve">ROS-related enzymes </w:t>
      </w:r>
      <w:r>
        <w:rPr>
          <w:rFonts w:ascii="Times New Roman" w:hAnsi="Times New Roman" w:cs="Times New Roman"/>
        </w:rPr>
        <w:t xml:space="preserve">(SOD, POD, and CAT) </w:t>
      </w:r>
      <w:r>
        <w:rPr>
          <w:rFonts w:hint="eastAsia" w:ascii="Times New Roman" w:hAnsi="Times New Roman" w:cs="Times New Roman"/>
        </w:rPr>
        <w:t>and the endogenous ABA concentrations in the rice grains were detected using specific assay kits (Suzhou Comin Co., Ltd, Suzhou, China)</w:t>
      </w:r>
      <w:r>
        <w:rPr>
          <w:rFonts w:ascii="Times New Roman" w:hAnsi="Times New Roman" w:cs="Times New Roman"/>
        </w:rPr>
        <w:t>, following the manufacturer's instructions</w:t>
      </w:r>
      <w:r>
        <w:rPr>
          <w:rFonts w:hint="eastAsia" w:ascii="Times New Roman" w:hAnsi="Times New Roman" w:cs="Times New Roman"/>
        </w:rPr>
        <w:t xml:space="preserve">. </w:t>
      </w:r>
      <w:r>
        <w:rPr>
          <w:rFonts w:ascii="Times New Roman" w:hAnsi="Times New Roman" w:cs="Times New Roman"/>
        </w:rPr>
        <w:t xml:space="preserve">ABA levels were detected using ultra-high-performance liquid chromatography coupled to tandem mass spectrometry (UHPLC-MS/MS). </w:t>
      </w:r>
      <w:r>
        <w:rPr>
          <w:rFonts w:hint="eastAsia" w:ascii="Times New Roman" w:hAnsi="Times New Roman" w:cs="Times New Roman"/>
        </w:rPr>
        <w:t xml:space="preserve">First, </w:t>
      </w:r>
      <w:r>
        <w:rPr>
          <w:rFonts w:ascii="Times New Roman" w:hAnsi="Times New Roman" w:cs="Times New Roman"/>
        </w:rPr>
        <w:t>rice grains (100 mg per sample)</w:t>
      </w:r>
      <w:r>
        <w:rPr>
          <w:rFonts w:hint="eastAsia" w:ascii="Times New Roman" w:hAnsi="Times New Roman" w:cs="Times New Roman"/>
        </w:rPr>
        <w:t xml:space="preserve"> were frozen in liquid nitrogen and ground into</w:t>
      </w:r>
      <w:r>
        <w:rPr>
          <w:rFonts w:ascii="Times New Roman" w:hAnsi="Times New Roman" w:cs="Times New Roman"/>
        </w:rPr>
        <w:t xml:space="preserve"> a</w:t>
      </w:r>
      <w:r>
        <w:rPr>
          <w:rFonts w:hint="eastAsia" w:ascii="Times New Roman" w:hAnsi="Times New Roman" w:cs="Times New Roman"/>
        </w:rPr>
        <w:t xml:space="preserve"> powder. </w:t>
      </w:r>
      <w:r>
        <w:rPr>
          <w:rFonts w:ascii="Times New Roman" w:hAnsi="Times New Roman" w:cs="Times New Roman"/>
        </w:rPr>
        <w:t>Then</w:t>
      </w:r>
      <w:r>
        <w:rPr>
          <w:rFonts w:hint="eastAsia" w:ascii="Times New Roman" w:hAnsi="Times New Roman" w:cs="Times New Roman"/>
        </w:rPr>
        <w:t xml:space="preserve">, 50 mg </w:t>
      </w:r>
      <w:r>
        <w:rPr>
          <w:rFonts w:ascii="Times New Roman" w:hAnsi="Times New Roman" w:cs="Times New Roman"/>
        </w:rPr>
        <w:t xml:space="preserve">of </w:t>
      </w:r>
      <w:r>
        <w:rPr>
          <w:rFonts w:hint="eastAsia" w:ascii="Times New Roman" w:hAnsi="Times New Roman" w:cs="Times New Roman"/>
        </w:rPr>
        <w:t xml:space="preserve">powder </w:t>
      </w:r>
      <w:r>
        <w:rPr>
          <w:rFonts w:ascii="Times New Roman" w:hAnsi="Times New Roman" w:cs="Times New Roman"/>
        </w:rPr>
        <w:t xml:space="preserve">per sample </w:t>
      </w:r>
      <w:r>
        <w:rPr>
          <w:rFonts w:hint="eastAsia" w:ascii="Times New Roman" w:hAnsi="Times New Roman" w:cs="Times New Roman"/>
        </w:rPr>
        <w:t>w</w:t>
      </w:r>
      <w:r>
        <w:rPr>
          <w:rFonts w:ascii="Times New Roman" w:hAnsi="Times New Roman" w:cs="Times New Roman"/>
        </w:rPr>
        <w:t>as</w:t>
      </w:r>
      <w:r>
        <w:rPr>
          <w:rFonts w:hint="eastAsia" w:ascii="Times New Roman" w:hAnsi="Times New Roman" w:cs="Times New Roman"/>
        </w:rPr>
        <w:t xml:space="preserve"> mixed with </w:t>
      </w:r>
      <w:r>
        <w:rPr>
          <w:rFonts w:ascii="Times New Roman" w:hAnsi="Times New Roman" w:cs="Times New Roman"/>
        </w:rPr>
        <w:t>20 μl of internal standard</w:t>
      </w:r>
      <w:r>
        <w:rPr>
          <w:rFonts w:hint="eastAsia" w:ascii="Times New Roman" w:hAnsi="Times New Roman" w:cs="Times New Roman"/>
        </w:rPr>
        <w:t xml:space="preserve"> </w:t>
      </w:r>
      <w:r>
        <w:rPr>
          <w:rFonts w:ascii="Times New Roman" w:hAnsi="Times New Roman" w:cs="Times New Roman"/>
        </w:rPr>
        <w:t>solution</w:t>
      </w:r>
      <w:r>
        <w:rPr>
          <w:rFonts w:hint="eastAsia" w:ascii="Times New Roman" w:hAnsi="Times New Roman" w:cs="Times New Roman"/>
        </w:rPr>
        <w:t xml:space="preserve"> (Sigma-Aldrich, Steinheim, Canada)</w:t>
      </w:r>
      <w:r>
        <w:rPr>
          <w:rFonts w:ascii="Times New Roman" w:hAnsi="Times New Roman" w:cs="Times New Roman"/>
        </w:rPr>
        <w:t xml:space="preserve"> and 1 ml precooled 50% ACN/H</w:t>
      </w:r>
      <w:r>
        <w:rPr>
          <w:rFonts w:ascii="Times New Roman" w:hAnsi="Times New Roman" w:cs="Times New Roman"/>
          <w:vertAlign w:val="subscript"/>
        </w:rPr>
        <w:t>2</w:t>
      </w:r>
      <w:r>
        <w:rPr>
          <w:rFonts w:ascii="Times New Roman" w:hAnsi="Times New Roman" w:cs="Times New Roman"/>
        </w:rPr>
        <w:t>O (v/v). Each mixture was</w:t>
      </w:r>
      <w:r>
        <w:rPr>
          <w:rFonts w:hint="eastAsia" w:ascii="Times New Roman" w:hAnsi="Times New Roman" w:cs="Times New Roman"/>
        </w:rPr>
        <w:t xml:space="preserve"> vortexed and sonicated in </w:t>
      </w:r>
      <w:r>
        <w:rPr>
          <w:rFonts w:ascii="Times New Roman" w:hAnsi="Times New Roman" w:cs="Times New Roman"/>
        </w:rPr>
        <w:t>an</w:t>
      </w:r>
      <w:r>
        <w:rPr>
          <w:rFonts w:hint="eastAsia" w:ascii="Times New Roman" w:hAnsi="Times New Roman" w:cs="Times New Roman"/>
        </w:rPr>
        <w:t xml:space="preserve"> ice-water bath</w:t>
      </w:r>
      <w:r>
        <w:rPr>
          <w:rFonts w:ascii="Times New Roman" w:hAnsi="Times New Roman" w:cs="Times New Roman"/>
        </w:rPr>
        <w:t xml:space="preserve"> twice</w:t>
      </w:r>
      <w:r>
        <w:rPr>
          <w:rFonts w:hint="eastAsia" w:ascii="Times New Roman" w:hAnsi="Times New Roman" w:cs="Times New Roman"/>
        </w:rPr>
        <w:t xml:space="preserve">. </w:t>
      </w:r>
      <w:r>
        <w:rPr>
          <w:rFonts w:ascii="Times New Roman" w:hAnsi="Times New Roman" w:cs="Times New Roman"/>
        </w:rPr>
        <w:t xml:space="preserve">Next, </w:t>
      </w:r>
      <w:r>
        <w:rPr>
          <w:rFonts w:hint="eastAsia" w:ascii="Times New Roman" w:hAnsi="Times New Roman" w:cs="Times New Roman"/>
        </w:rPr>
        <w:t xml:space="preserve">samples were centrifuged and the </w:t>
      </w:r>
      <w:r>
        <w:rPr>
          <w:rFonts w:ascii="Times New Roman" w:hAnsi="Times New Roman" w:cs="Times New Roman"/>
        </w:rPr>
        <w:t xml:space="preserve">supernatants </w:t>
      </w:r>
      <w:r>
        <w:rPr>
          <w:rFonts w:hint="eastAsia" w:ascii="Times New Roman" w:hAnsi="Times New Roman" w:cs="Times New Roman"/>
        </w:rPr>
        <w:t>(</w:t>
      </w:r>
      <w:r>
        <w:rPr>
          <w:rFonts w:ascii="Times New Roman" w:hAnsi="Times New Roman" w:cs="Times New Roman"/>
        </w:rPr>
        <w:t>800 μ</w:t>
      </w:r>
      <w:r>
        <w:rPr>
          <w:rFonts w:hint="eastAsia" w:ascii="Times New Roman" w:hAnsi="Times New Roman" w:cs="Times New Roman"/>
        </w:rPr>
        <w:t>l</w:t>
      </w:r>
      <w:r>
        <w:rPr>
          <w:rFonts w:ascii="Times New Roman" w:hAnsi="Times New Roman" w:cs="Times New Roman"/>
        </w:rPr>
        <w:t xml:space="preserve"> per sample</w:t>
      </w:r>
      <w:r>
        <w:rPr>
          <w:rFonts w:hint="eastAsia" w:ascii="Times New Roman" w:hAnsi="Times New Roman" w:cs="Times New Roman"/>
        </w:rPr>
        <w:t>) were purified using solid phase extraction cartridges (Waters Corporation, Milford, MA</w:t>
      </w:r>
      <w:r>
        <w:rPr>
          <w:rFonts w:ascii="Times New Roman" w:hAnsi="Times New Roman" w:cs="Times New Roman"/>
        </w:rPr>
        <w:t>, USA</w:t>
      </w:r>
      <w:r>
        <w:rPr>
          <w:rFonts w:hint="eastAsia" w:ascii="Times New Roman" w:hAnsi="Times New Roman" w:cs="Times New Roman"/>
        </w:rPr>
        <w:t xml:space="preserve">). </w:t>
      </w:r>
      <w:r>
        <w:rPr>
          <w:rFonts w:ascii="Times New Roman" w:hAnsi="Times New Roman" w:cs="Times New Roman"/>
        </w:rPr>
        <w:t>T</w:t>
      </w:r>
      <w:r>
        <w:rPr>
          <w:rFonts w:hint="eastAsia" w:ascii="Times New Roman" w:hAnsi="Times New Roman" w:cs="Times New Roman"/>
        </w:rPr>
        <w:t>he purified samples were load</w:t>
      </w:r>
      <w:r>
        <w:rPr>
          <w:rFonts w:ascii="Times New Roman" w:hAnsi="Times New Roman" w:cs="Times New Roman"/>
        </w:rPr>
        <w:t>ed</w:t>
      </w:r>
      <w:r>
        <w:rPr>
          <w:rFonts w:hint="eastAsia" w:ascii="Times New Roman" w:hAnsi="Times New Roman" w:cs="Times New Roman"/>
        </w:rPr>
        <w:t xml:space="preserve"> into </w:t>
      </w:r>
      <w:r>
        <w:rPr>
          <w:rFonts w:ascii="Times New Roman" w:hAnsi="Times New Roman" w:cs="Times New Roman"/>
        </w:rPr>
        <w:t>an</w:t>
      </w:r>
      <w:r>
        <w:rPr>
          <w:rFonts w:hint="eastAsia" w:ascii="Times New Roman" w:hAnsi="Times New Roman" w:cs="Times New Roman"/>
        </w:rPr>
        <w:t xml:space="preserve"> EXIONLC System (AB Sciex) equipped with a Waters ACQUITY UPLC CSH C18 </w:t>
      </w:r>
      <w:r>
        <w:rPr>
          <w:rFonts w:ascii="Times New Roman" w:hAnsi="Times New Roman" w:cs="Times New Roman"/>
        </w:rPr>
        <w:t xml:space="preserve">column </w:t>
      </w:r>
      <w:r>
        <w:rPr>
          <w:rFonts w:hint="eastAsia" w:ascii="Times New Roman" w:hAnsi="Times New Roman" w:cs="Times New Roman"/>
        </w:rPr>
        <w:t xml:space="preserve">(150 </w:t>
      </w:r>
      <w:r>
        <w:rPr>
          <w:rFonts w:ascii="Times New Roman" w:hAnsi="Times New Roman" w:cs="Times New Roman"/>
        </w:rPr>
        <w:t>×</w:t>
      </w:r>
      <w:r>
        <w:rPr>
          <w:rFonts w:hint="eastAsia" w:ascii="Times New Roman" w:hAnsi="Times New Roman" w:cs="Times New Roman"/>
        </w:rPr>
        <w:t xml:space="preserve"> 2.1 mm, 1.7 </w:t>
      </w:r>
      <w:r>
        <w:rPr>
          <w:rFonts w:ascii="Times New Roman" w:hAnsi="Times New Roman" w:cs="Times New Roman"/>
        </w:rPr>
        <w:t>μ</w:t>
      </w:r>
      <w:r>
        <w:rPr>
          <w:rFonts w:hint="eastAsia" w:ascii="Times New Roman" w:hAnsi="Times New Roman" w:cs="Times New Roman"/>
        </w:rPr>
        <w:t>m, Waters)</w:t>
      </w:r>
      <w:r>
        <w:rPr>
          <w:rFonts w:ascii="Times New Roman" w:hAnsi="Times New Roman" w:cs="Times New Roman"/>
        </w:rPr>
        <w:t xml:space="preserve"> for</w:t>
      </w:r>
      <w:r>
        <w:rPr>
          <w:rFonts w:hint="eastAsia" w:ascii="Times New Roman" w:hAnsi="Times New Roman" w:cs="Times New Roman"/>
        </w:rPr>
        <w:t xml:space="preserve"> UHPLC separation. </w:t>
      </w:r>
      <w:r>
        <w:rPr>
          <w:rFonts w:ascii="Times New Roman" w:hAnsi="Times New Roman" w:cs="Times New Roman"/>
        </w:rPr>
        <w:t>M</w:t>
      </w:r>
      <w:r>
        <w:rPr>
          <w:rFonts w:hint="eastAsia" w:ascii="Times New Roman" w:hAnsi="Times New Roman" w:cs="Times New Roman"/>
        </w:rPr>
        <w:t xml:space="preserve">obile phase A was 0.01% formic acid in ultrapure water, </w:t>
      </w:r>
      <w:r>
        <w:rPr>
          <w:rFonts w:ascii="Times New Roman" w:hAnsi="Times New Roman" w:cs="Times New Roman"/>
        </w:rPr>
        <w:t xml:space="preserve">and </w:t>
      </w:r>
      <w:r>
        <w:rPr>
          <w:rFonts w:hint="eastAsia" w:ascii="Times New Roman" w:hAnsi="Times New Roman" w:cs="Times New Roman"/>
        </w:rPr>
        <w:t xml:space="preserve">mobile phase B was 0.01% formic acid in acetonitrile. The column temperature was set </w:t>
      </w:r>
      <w:r>
        <w:rPr>
          <w:rFonts w:ascii="Times New Roman" w:hAnsi="Times New Roman" w:cs="Times New Roman"/>
        </w:rPr>
        <w:t>to</w:t>
      </w:r>
      <w:r>
        <w:rPr>
          <w:rFonts w:hint="eastAsia" w:ascii="Times New Roman" w:hAnsi="Times New Roman" w:cs="Times New Roman"/>
        </w:rPr>
        <w:t xml:space="preserve"> 50</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t</w:t>
      </w:r>
      <w:r>
        <w:rPr>
          <w:rFonts w:hint="eastAsia" w:ascii="Times New Roman" w:hAnsi="Times New Roman" w:cs="Times New Roman"/>
        </w:rPr>
        <w:t xml:space="preserve">he auto-sampler temperature was set </w:t>
      </w:r>
      <w:r>
        <w:rPr>
          <w:rFonts w:ascii="Times New Roman" w:hAnsi="Times New Roman" w:cs="Times New Roman"/>
        </w:rPr>
        <w:t>to</w:t>
      </w:r>
      <w:r>
        <w:rPr>
          <w:rFonts w:hint="eastAsia" w:ascii="Times New Roman" w:hAnsi="Times New Roman" w:cs="Times New Roman"/>
        </w:rPr>
        <w:t xml:space="preserve"> 4</w:t>
      </w:r>
      <w:r>
        <w:rPr>
          <w:rFonts w:ascii="Times New Roman" w:hAnsi="Times New Roman" w:cs="Times New Roman"/>
        </w:rPr>
        <w:t>℃,</w:t>
      </w:r>
      <w:r>
        <w:rPr>
          <w:rFonts w:hint="eastAsia" w:ascii="Times New Roman" w:hAnsi="Times New Roman" w:cs="Times New Roman"/>
        </w:rPr>
        <w:t xml:space="preserve"> and the injection volume was 1 </w:t>
      </w:r>
      <w:r>
        <w:rPr>
          <w:rFonts w:ascii="Times New Roman" w:hAnsi="Times New Roman" w:cs="Times New Roman"/>
        </w:rPr>
        <w:t>μ</w:t>
      </w:r>
      <w:r>
        <w:rPr>
          <w:rFonts w:hint="eastAsia" w:ascii="Times New Roman" w:hAnsi="Times New Roman" w:cs="Times New Roman"/>
        </w:rPr>
        <w:t xml:space="preserve">l. </w:t>
      </w:r>
      <w:r>
        <w:rPr>
          <w:rFonts w:ascii="Times New Roman" w:hAnsi="Times New Roman" w:cs="Times New Roman"/>
        </w:rPr>
        <w:t>T</w:t>
      </w:r>
      <w:r>
        <w:rPr>
          <w:rFonts w:hint="eastAsia" w:ascii="Times New Roman" w:hAnsi="Times New Roman" w:cs="Times New Roman"/>
        </w:rPr>
        <w:t>he separated ABA was qualified using multiple reaction monitoring (MRM)</w:t>
      </w:r>
      <w:r>
        <w:rPr>
          <w:rFonts w:ascii="Times New Roman" w:hAnsi="Times New Roman" w:cs="Times New Roman"/>
        </w:rPr>
        <w:t xml:space="preserve"> via an </w:t>
      </w:r>
      <w:r>
        <w:rPr>
          <w:rFonts w:hint="eastAsia" w:ascii="Times New Roman" w:hAnsi="Times New Roman" w:cs="Times New Roman"/>
        </w:rPr>
        <w:t>AB SCIEX 6500 QTRAP + triple quadrupole mass spectrometer (AB Sciex) equipped with an electrospray ionization (ESI) interface. The MRM parameters were optimized using flow injection analysis by injecting the standard solutions of the individual analytes into the API source of the mass spectrometer. The</w:t>
      </w:r>
      <w:r>
        <w:rPr>
          <w:rFonts w:ascii="Times New Roman" w:hAnsi="Times New Roman" w:cs="Times New Roman"/>
        </w:rPr>
        <w:t xml:space="preserve"> ion source parameters were as follows:</w:t>
      </w:r>
      <w:r>
        <w:rPr>
          <w:rFonts w:hint="eastAsia" w:ascii="Times New Roman" w:hAnsi="Times New Roman" w:cs="Times New Roman"/>
        </w:rPr>
        <w:t xml:space="preserve"> curtain gas</w:t>
      </w:r>
      <w:r>
        <w:rPr>
          <w:rFonts w:ascii="Times New Roman" w:hAnsi="Times New Roman" w:cs="Times New Roman"/>
        </w:rPr>
        <w:t xml:space="preserve">, </w:t>
      </w:r>
      <w:r>
        <w:rPr>
          <w:rFonts w:hint="eastAsia" w:ascii="Times New Roman" w:hAnsi="Times New Roman" w:cs="Times New Roman"/>
        </w:rPr>
        <w:t>40 psi</w:t>
      </w:r>
      <w:r>
        <w:rPr>
          <w:rFonts w:ascii="Times New Roman" w:hAnsi="Times New Roman" w:cs="Times New Roman"/>
        </w:rPr>
        <w:t>;</w:t>
      </w:r>
      <w:r>
        <w:rPr>
          <w:rFonts w:hint="eastAsia" w:ascii="Times New Roman" w:hAnsi="Times New Roman" w:cs="Times New Roman"/>
        </w:rPr>
        <w:t xml:space="preserve"> ionspray voltage</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w:t>
      </w:r>
      <w:r>
        <w:rPr>
          <w:rFonts w:hint="eastAsia" w:ascii="Times New Roman" w:hAnsi="Times New Roman" w:cs="Times New Roman"/>
        </w:rPr>
        <w:t>4500 V</w:t>
      </w:r>
      <w:r>
        <w:rPr>
          <w:rFonts w:ascii="Times New Roman" w:hAnsi="Times New Roman" w:cs="Times New Roman"/>
        </w:rPr>
        <w:t>;</w:t>
      </w:r>
      <w:r>
        <w:rPr>
          <w:rFonts w:hint="eastAsia" w:ascii="Times New Roman" w:hAnsi="Times New Roman" w:cs="Times New Roman"/>
        </w:rPr>
        <w:t xml:space="preserve"> temperature</w:t>
      </w:r>
      <w:r>
        <w:rPr>
          <w:rFonts w:ascii="Times New Roman" w:hAnsi="Times New Roman" w:cs="Times New Roman"/>
        </w:rPr>
        <w:t>,</w:t>
      </w:r>
      <w:r>
        <w:rPr>
          <w:rFonts w:hint="eastAsia" w:ascii="Times New Roman" w:hAnsi="Times New Roman" w:cs="Times New Roman"/>
        </w:rPr>
        <w:t xml:space="preserve"> 475</w:t>
      </w:r>
      <w:r>
        <w:rPr>
          <w:rFonts w:ascii="Times New Roman" w:hAnsi="Times New Roman" w:cs="Times New Roman"/>
        </w:rPr>
        <w:t>℃;</w:t>
      </w:r>
      <w:r>
        <w:rPr>
          <w:rFonts w:hint="eastAsia" w:ascii="Times New Roman" w:hAnsi="Times New Roman" w:cs="Times New Roman"/>
        </w:rPr>
        <w:t xml:space="preserve"> ion source gas 1</w:t>
      </w:r>
      <w:r>
        <w:rPr>
          <w:rFonts w:ascii="Times New Roman" w:hAnsi="Times New Roman" w:cs="Times New Roman"/>
        </w:rPr>
        <w:t>,</w:t>
      </w:r>
      <w:r>
        <w:rPr>
          <w:rFonts w:hint="eastAsia" w:ascii="Times New Roman" w:hAnsi="Times New Roman" w:cs="Times New Roman"/>
        </w:rPr>
        <w:t xml:space="preserve"> 30 psi</w:t>
      </w:r>
      <w:r>
        <w:rPr>
          <w:rFonts w:ascii="Times New Roman" w:hAnsi="Times New Roman" w:cs="Times New Roman"/>
        </w:rPr>
        <w:t xml:space="preserve">; </w:t>
      </w:r>
      <w:r>
        <w:rPr>
          <w:rFonts w:hint="eastAsia" w:ascii="Times New Roman" w:hAnsi="Times New Roman" w:cs="Times New Roman"/>
        </w:rPr>
        <w:t>and ion source gas 2</w:t>
      </w:r>
      <w:r>
        <w:rPr>
          <w:rFonts w:ascii="Times New Roman" w:hAnsi="Times New Roman" w:cs="Times New Roman"/>
        </w:rPr>
        <w:t>,</w:t>
      </w:r>
      <w:r>
        <w:rPr>
          <w:rFonts w:hint="eastAsia" w:ascii="Times New Roman" w:hAnsi="Times New Roman" w:cs="Times New Roman"/>
        </w:rPr>
        <w:t xml:space="preserve"> 30 psi. AB SCIEX Analyst Work Station Software (1.6.3 AB SCIEX) and Sciex OS Version 1.4.0</w:t>
      </w:r>
      <w:r>
        <w:rPr>
          <w:rFonts w:ascii="Times New Roman" w:hAnsi="Times New Roman" w:cs="Times New Roman"/>
        </w:rPr>
        <w:t xml:space="preserve"> </w:t>
      </w:r>
      <w:r>
        <w:rPr>
          <w:rFonts w:hint="eastAsia" w:ascii="Times New Roman" w:hAnsi="Times New Roman" w:cs="Times New Roman"/>
        </w:rPr>
        <w:t xml:space="preserve">were </w:t>
      </w:r>
      <w:r>
        <w:rPr>
          <w:rFonts w:ascii="Times New Roman" w:hAnsi="Times New Roman" w:cs="Times New Roman"/>
        </w:rPr>
        <w:t>used</w:t>
      </w:r>
      <w:r>
        <w:rPr>
          <w:rFonts w:hint="eastAsia" w:ascii="Times New Roman" w:hAnsi="Times New Roman" w:cs="Times New Roman"/>
        </w:rPr>
        <w:t xml:space="preserve"> for MRM data acquisition and processing. The results </w:t>
      </w:r>
      <w:r>
        <w:rPr>
          <w:rFonts w:ascii="Times New Roman" w:hAnsi="Times New Roman" w:cs="Times New Roman"/>
        </w:rPr>
        <w:t xml:space="preserve">are shown as </w:t>
      </w:r>
      <w:r>
        <w:rPr>
          <w:rFonts w:hint="eastAsia" w:ascii="Times New Roman" w:hAnsi="Times New Roman" w:cs="Times New Roman"/>
        </w:rPr>
        <w:t xml:space="preserve">means of three biological replicates. </w:t>
      </w:r>
      <w:r>
        <w:rPr>
          <w:rFonts w:ascii="Times New Roman" w:hAnsi="Times New Roman" w:cs="Times New Roman"/>
        </w:rPr>
        <w:t>In response</w:t>
      </w:r>
      <w:r>
        <w:rPr>
          <w:rFonts w:hint="eastAsia" w:ascii="Times New Roman" w:hAnsi="Times New Roman" w:cs="Times New Roman"/>
        </w:rPr>
        <w:t xml:space="preserve"> HNT stress, the </w:t>
      </w:r>
      <w:r>
        <w:rPr>
          <w:rFonts w:ascii="Times New Roman" w:hAnsi="Times New Roman" w:cs="Times New Roman"/>
        </w:rPr>
        <w:t xml:space="preserve">activity levels of SOD, POD, and CAT were </w:t>
      </w:r>
      <w:r>
        <w:rPr>
          <w:rFonts w:hint="eastAsia" w:ascii="Times New Roman" w:hAnsi="Times New Roman" w:cs="Times New Roman"/>
        </w:rPr>
        <w:t xml:space="preserve">elevated in </w:t>
      </w:r>
      <w:r>
        <w:rPr>
          <w:rFonts w:ascii="Times New Roman" w:hAnsi="Times New Roman" w:cs="Times New Roman"/>
        </w:rPr>
        <w:t xml:space="preserve">both </w:t>
      </w:r>
      <w:r>
        <w:rPr>
          <w:rFonts w:hint="eastAsia" w:ascii="Times New Roman" w:hAnsi="Times New Roman" w:cs="Times New Roman"/>
        </w:rPr>
        <w:t>the heat-tolerant and the heat-sensitive rice germplasms</w:t>
      </w:r>
      <w:r>
        <w:rPr>
          <w:rFonts w:ascii="Times New Roman" w:hAnsi="Times New Roman" w:cs="Times New Roman"/>
        </w:rPr>
        <w:t xml:space="preserve">. However, these levels were higher in the heat-tolerant germplasms as compared to the heat-sensitive germplasms </w:t>
      </w:r>
      <w:r>
        <w:rPr>
          <w:rFonts w:hint="eastAsia" w:ascii="Times New Roman" w:hAnsi="Times New Roman" w:cs="Times New Roman"/>
        </w:rPr>
        <w:t xml:space="preserve">(Fig. S3). </w:t>
      </w:r>
      <w:r>
        <w:rPr>
          <w:rFonts w:ascii="Times New Roman" w:hAnsi="Times New Roman" w:cs="Times New Roman"/>
        </w:rPr>
        <w:t>E</w:t>
      </w:r>
      <w:r>
        <w:rPr>
          <w:rFonts w:hint="eastAsia" w:ascii="Times New Roman" w:hAnsi="Times New Roman" w:cs="Times New Roman"/>
        </w:rPr>
        <w:t xml:space="preserve">ndogenous ABA concentrations in the heat-tolerant germplasms were similar to </w:t>
      </w:r>
      <w:r>
        <w:rPr>
          <w:rFonts w:ascii="Times New Roman" w:hAnsi="Times New Roman" w:cs="Times New Roman"/>
        </w:rPr>
        <w:t>those in the</w:t>
      </w:r>
      <w:r>
        <w:rPr>
          <w:rFonts w:hint="eastAsia" w:ascii="Times New Roman" w:hAnsi="Times New Roman" w:cs="Times New Roman"/>
        </w:rPr>
        <w:t xml:space="preserve"> heat-sensitive rice germplasms under normal condition</w:t>
      </w:r>
      <w:r>
        <w:rPr>
          <w:rFonts w:ascii="Times New Roman" w:hAnsi="Times New Roman" w:cs="Times New Roman"/>
        </w:rPr>
        <w:t>s</w:t>
      </w:r>
      <w:r>
        <w:rPr>
          <w:rFonts w:hint="eastAsia" w:ascii="Times New Roman" w:hAnsi="Times New Roman" w:cs="Times New Roman"/>
        </w:rPr>
        <w:t xml:space="preserve">, and HNT stress significantly increased ABA concentration both </w:t>
      </w:r>
      <w:r>
        <w:rPr>
          <w:rFonts w:ascii="Times New Roman" w:hAnsi="Times New Roman" w:cs="Times New Roman"/>
        </w:rPr>
        <w:t xml:space="preserve">strains. However, the increase in ABA content was noticeably greater in the </w:t>
      </w:r>
      <w:r>
        <w:rPr>
          <w:rFonts w:hint="eastAsia" w:ascii="Times New Roman" w:hAnsi="Times New Roman" w:cs="Times New Roman"/>
        </w:rPr>
        <w:t>heat-tolerant germplasms.</w:t>
      </w:r>
    </w:p>
    <w:p>
      <w:pPr>
        <w:adjustRightInd w:val="0"/>
        <w:snapToGrid w:val="0"/>
        <w:spacing w:line="480" w:lineRule="auto"/>
        <w:jc w:val="center"/>
      </w:pPr>
      <w:r>
        <w:drawing>
          <wp:inline distT="0" distB="0" distL="0" distR="0">
            <wp:extent cx="5667375" cy="4876800"/>
            <wp:effectExtent l="0" t="0" r="9525"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667375" cy="4876800"/>
                    </a:xfrm>
                    <a:prstGeom prst="rect">
                      <a:avLst/>
                    </a:prstGeom>
                    <a:noFill/>
                    <a:ln>
                      <a:noFill/>
                    </a:ln>
                  </pic:spPr>
                </pic:pic>
              </a:graphicData>
            </a:graphic>
          </wp:inline>
        </w:drawing>
      </w:r>
    </w:p>
    <w:sectPr>
      <w:footerReference r:id="rId4"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rutigerLTStd-Roman-Identity-H">
    <w:altName w:val="Segoe Print"/>
    <w:panose1 w:val="00000000000000000000"/>
    <w:charset w:val="00"/>
    <w:family w:val="auto"/>
    <w:pitch w:val="default"/>
    <w:sig w:usb0="00000000" w:usb1="00000000" w:usb2="00000000" w:usb3="00000000" w:csb0="00040001" w:csb1="00000000"/>
  </w:font>
  <w:font w:name="FrutigerLTStd-Italic">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ascii="Arial" w:hAnsi="Arial" w:cs="Arial"/>
        <w:lang w:val="zh-CN"/>
      </w:rPr>
      <w:t xml:space="preserve"> </w:t>
    </w:r>
    <w:r>
      <w:rPr>
        <w:rFonts w:ascii="Arial" w:hAnsi="Arial" w:cs="Arial"/>
        <w:b/>
        <w:bCs/>
        <w:sz w:val="24"/>
      </w:rPr>
      <w:fldChar w:fldCharType="begin"/>
    </w:r>
    <w:r>
      <w:rPr>
        <w:rFonts w:ascii="Arial" w:hAnsi="Arial" w:cs="Arial"/>
        <w:b/>
        <w:bCs/>
      </w:rPr>
      <w:instrText xml:space="preserve">PAGE</w:instrText>
    </w:r>
    <w:r>
      <w:rPr>
        <w:rFonts w:ascii="Arial" w:hAnsi="Arial" w:cs="Arial"/>
        <w:b/>
        <w:bCs/>
        <w:sz w:val="24"/>
      </w:rPr>
      <w:fldChar w:fldCharType="separate"/>
    </w:r>
    <w:r>
      <w:rPr>
        <w:rFonts w:ascii="Arial" w:hAnsi="Arial" w:cs="Arial"/>
        <w:b/>
        <w:bCs/>
      </w:rPr>
      <w:t>6</w:t>
    </w:r>
    <w:r>
      <w:rPr>
        <w:rFonts w:ascii="Arial" w:hAnsi="Arial" w:cs="Arial"/>
        <w:b/>
        <w:bCs/>
        <w:sz w:val="24"/>
      </w:rPr>
      <w:fldChar w:fldCharType="end"/>
    </w:r>
    <w:r>
      <w:rPr>
        <w:rFonts w:ascii="Arial" w:hAnsi="Arial" w:cs="Arial"/>
        <w:lang w:val="zh-CN"/>
      </w:rPr>
      <w:t xml:space="preserve"> / </w:t>
    </w:r>
    <w:r>
      <w:rPr>
        <w:rFonts w:ascii="Arial" w:hAnsi="Arial" w:cs="Arial"/>
        <w:b/>
        <w:bCs/>
        <w:sz w:val="24"/>
        <w:szCs w:val="24"/>
      </w:rPr>
      <w:fldChar w:fldCharType="begin"/>
    </w:r>
    <w:r>
      <w:rPr>
        <w:rFonts w:ascii="Arial" w:hAnsi="Arial" w:cs="Arial"/>
        <w:b/>
        <w:bCs/>
      </w:rPr>
      <w:instrText xml:space="preserve">NUMPAGES</w:instrText>
    </w:r>
    <w:r>
      <w:rPr>
        <w:rFonts w:ascii="Arial" w:hAnsi="Arial" w:cs="Arial"/>
        <w:b/>
        <w:bCs/>
        <w:sz w:val="24"/>
        <w:szCs w:val="24"/>
      </w:rPr>
      <w:fldChar w:fldCharType="separate"/>
    </w:r>
    <w:r>
      <w:rPr>
        <w:rFonts w:ascii="Arial" w:hAnsi="Arial" w:cs="Arial"/>
        <w:b/>
        <w:bCs/>
      </w:rPr>
      <w:t>15</w:t>
    </w:r>
    <w:r>
      <w:rPr>
        <w:rFonts w:ascii="Arial" w:hAnsi="Arial" w:cs="Arial"/>
        <w:b/>
        <w:bCs/>
        <w:sz w:val="24"/>
        <w:szCs w:val="24"/>
      </w:rPr>
      <w:fldChar w:fldCharType="end"/>
    </w:r>
  </w:p>
  <w:p>
    <w:pPr>
      <w:pStyle w:val="7"/>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FEA"/>
    <w:rsid w:val="00012D24"/>
    <w:rsid w:val="000303B2"/>
    <w:rsid w:val="00057541"/>
    <w:rsid w:val="00066CB5"/>
    <w:rsid w:val="000D6B4C"/>
    <w:rsid w:val="000E0701"/>
    <w:rsid w:val="0011068D"/>
    <w:rsid w:val="0011181B"/>
    <w:rsid w:val="001527CC"/>
    <w:rsid w:val="001618DA"/>
    <w:rsid w:val="00176C66"/>
    <w:rsid w:val="001849A7"/>
    <w:rsid w:val="00195F1B"/>
    <w:rsid w:val="001B4BDE"/>
    <w:rsid w:val="001B6478"/>
    <w:rsid w:val="001D5238"/>
    <w:rsid w:val="001E0901"/>
    <w:rsid w:val="001E5DBD"/>
    <w:rsid w:val="001F2E20"/>
    <w:rsid w:val="001F4E62"/>
    <w:rsid w:val="00201AC3"/>
    <w:rsid w:val="00203B11"/>
    <w:rsid w:val="0020719D"/>
    <w:rsid w:val="002101B7"/>
    <w:rsid w:val="00231887"/>
    <w:rsid w:val="00232154"/>
    <w:rsid w:val="0024785B"/>
    <w:rsid w:val="002516B1"/>
    <w:rsid w:val="00276132"/>
    <w:rsid w:val="002C1C2E"/>
    <w:rsid w:val="002C1FEA"/>
    <w:rsid w:val="002C2063"/>
    <w:rsid w:val="002D49F6"/>
    <w:rsid w:val="0032071E"/>
    <w:rsid w:val="003516E4"/>
    <w:rsid w:val="00366406"/>
    <w:rsid w:val="003705D3"/>
    <w:rsid w:val="003E44EC"/>
    <w:rsid w:val="00401674"/>
    <w:rsid w:val="004160EF"/>
    <w:rsid w:val="00444E25"/>
    <w:rsid w:val="00454E33"/>
    <w:rsid w:val="00493BC4"/>
    <w:rsid w:val="00495919"/>
    <w:rsid w:val="004A1CFE"/>
    <w:rsid w:val="004C2C6E"/>
    <w:rsid w:val="004D28BC"/>
    <w:rsid w:val="004E4B18"/>
    <w:rsid w:val="00512C91"/>
    <w:rsid w:val="00516B78"/>
    <w:rsid w:val="00536314"/>
    <w:rsid w:val="005745F9"/>
    <w:rsid w:val="0058175A"/>
    <w:rsid w:val="005907E0"/>
    <w:rsid w:val="00596DC9"/>
    <w:rsid w:val="005B1070"/>
    <w:rsid w:val="005D4813"/>
    <w:rsid w:val="005E0270"/>
    <w:rsid w:val="0060028B"/>
    <w:rsid w:val="00627054"/>
    <w:rsid w:val="00676975"/>
    <w:rsid w:val="0068256E"/>
    <w:rsid w:val="00690CDD"/>
    <w:rsid w:val="00691644"/>
    <w:rsid w:val="006A401B"/>
    <w:rsid w:val="006A4251"/>
    <w:rsid w:val="006A6DDA"/>
    <w:rsid w:val="006B4158"/>
    <w:rsid w:val="006B53C8"/>
    <w:rsid w:val="006E6CB5"/>
    <w:rsid w:val="00705704"/>
    <w:rsid w:val="007063B1"/>
    <w:rsid w:val="00707042"/>
    <w:rsid w:val="00723861"/>
    <w:rsid w:val="007324C9"/>
    <w:rsid w:val="00767613"/>
    <w:rsid w:val="00785AD4"/>
    <w:rsid w:val="007E0E53"/>
    <w:rsid w:val="007E3064"/>
    <w:rsid w:val="007F3EBA"/>
    <w:rsid w:val="007F5801"/>
    <w:rsid w:val="007F70A2"/>
    <w:rsid w:val="0080054B"/>
    <w:rsid w:val="00813A8A"/>
    <w:rsid w:val="00833F88"/>
    <w:rsid w:val="008A13F2"/>
    <w:rsid w:val="008F3B85"/>
    <w:rsid w:val="0092012C"/>
    <w:rsid w:val="009210E0"/>
    <w:rsid w:val="009629BF"/>
    <w:rsid w:val="00984BC6"/>
    <w:rsid w:val="0099096D"/>
    <w:rsid w:val="009C0EA7"/>
    <w:rsid w:val="009D449E"/>
    <w:rsid w:val="00A072BF"/>
    <w:rsid w:val="00A16256"/>
    <w:rsid w:val="00AA18D7"/>
    <w:rsid w:val="00AA2FA1"/>
    <w:rsid w:val="00AA60A5"/>
    <w:rsid w:val="00AB5E1D"/>
    <w:rsid w:val="00AB6E92"/>
    <w:rsid w:val="00AC0424"/>
    <w:rsid w:val="00B036B1"/>
    <w:rsid w:val="00B54B8B"/>
    <w:rsid w:val="00B736E1"/>
    <w:rsid w:val="00B7767A"/>
    <w:rsid w:val="00B92287"/>
    <w:rsid w:val="00B93F18"/>
    <w:rsid w:val="00BB3655"/>
    <w:rsid w:val="00BF1A9E"/>
    <w:rsid w:val="00BF47B6"/>
    <w:rsid w:val="00C13015"/>
    <w:rsid w:val="00C131E0"/>
    <w:rsid w:val="00C22B79"/>
    <w:rsid w:val="00C313BA"/>
    <w:rsid w:val="00C51881"/>
    <w:rsid w:val="00C51D8F"/>
    <w:rsid w:val="00C76A8E"/>
    <w:rsid w:val="00C9097C"/>
    <w:rsid w:val="00CA0049"/>
    <w:rsid w:val="00CA3913"/>
    <w:rsid w:val="00CC1E8C"/>
    <w:rsid w:val="00D01620"/>
    <w:rsid w:val="00D3020F"/>
    <w:rsid w:val="00D50799"/>
    <w:rsid w:val="00D615D4"/>
    <w:rsid w:val="00D72113"/>
    <w:rsid w:val="00D829A8"/>
    <w:rsid w:val="00DB3287"/>
    <w:rsid w:val="00DC10F3"/>
    <w:rsid w:val="00DC7E31"/>
    <w:rsid w:val="00DD5865"/>
    <w:rsid w:val="00DE2EB3"/>
    <w:rsid w:val="00DF1058"/>
    <w:rsid w:val="00DF249A"/>
    <w:rsid w:val="00E82917"/>
    <w:rsid w:val="00EB50CE"/>
    <w:rsid w:val="00EC686B"/>
    <w:rsid w:val="00ED7257"/>
    <w:rsid w:val="00EF33AA"/>
    <w:rsid w:val="00F155E5"/>
    <w:rsid w:val="00F83CCD"/>
    <w:rsid w:val="00F90DF1"/>
    <w:rsid w:val="00FB391A"/>
    <w:rsid w:val="00FB4C8B"/>
    <w:rsid w:val="02155A53"/>
    <w:rsid w:val="1A3C5113"/>
    <w:rsid w:val="1CFB7F94"/>
    <w:rsid w:val="295920B5"/>
    <w:rsid w:val="306A2F6B"/>
    <w:rsid w:val="31E45A37"/>
    <w:rsid w:val="32CF0AB4"/>
    <w:rsid w:val="3D262C58"/>
    <w:rsid w:val="42EA6043"/>
    <w:rsid w:val="4BAA4182"/>
    <w:rsid w:val="628E4B46"/>
    <w:rsid w:val="65AF0B02"/>
    <w:rsid w:val="74186B7B"/>
    <w:rsid w:val="78276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0"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link w:val="28"/>
    <w:qFormat/>
    <w:uiPriority w:val="0"/>
    <w:pPr>
      <w:jc w:val="left"/>
      <w:outlineLvl w:val="0"/>
    </w:pPr>
    <w:rPr>
      <w:rFonts w:hint="eastAsia" w:ascii="宋体" w:hAnsi="宋体" w:cs="Times New Roman"/>
      <w:b/>
      <w:kern w:val="44"/>
      <w:sz w:val="48"/>
      <w:szCs w:val="48"/>
    </w:rPr>
  </w:style>
  <w:style w:type="character" w:default="1" w:styleId="10">
    <w:name w:val="Default Paragraph Font"/>
    <w:semiHidden/>
    <w:unhideWhenUsed/>
    <w:uiPriority w:val="1"/>
  </w:style>
  <w:style w:type="table" w:default="1" w:styleId="16">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23"/>
    <w:qFormat/>
    <w:uiPriority w:val="0"/>
    <w:pPr>
      <w:jc w:val="both"/>
    </w:pPr>
    <w:rPr>
      <w:b/>
      <w:bCs/>
      <w:sz w:val="20"/>
      <w:szCs w:val="20"/>
    </w:rPr>
  </w:style>
  <w:style w:type="paragraph" w:styleId="4">
    <w:name w:val="annotation text"/>
    <w:basedOn w:val="1"/>
    <w:link w:val="31"/>
    <w:unhideWhenUsed/>
    <w:qFormat/>
    <w:uiPriority w:val="0"/>
    <w:pPr>
      <w:jc w:val="left"/>
    </w:pPr>
  </w:style>
  <w:style w:type="paragraph" w:styleId="5">
    <w:name w:val="Document Map"/>
    <w:basedOn w:val="1"/>
    <w:link w:val="21"/>
    <w:unhideWhenUsed/>
    <w:qFormat/>
    <w:uiPriority w:val="99"/>
    <w:rPr>
      <w:rFonts w:ascii="宋体"/>
      <w:sz w:val="18"/>
      <w:szCs w:val="18"/>
    </w:rPr>
  </w:style>
  <w:style w:type="paragraph" w:styleId="6">
    <w:name w:val="Balloon Text"/>
    <w:basedOn w:val="1"/>
    <w:link w:val="33"/>
    <w:qFormat/>
    <w:uiPriority w:val="0"/>
    <w:rPr>
      <w:rFonts w:cs="Times New Roman"/>
      <w:sz w:val="18"/>
      <w:szCs w:val="18"/>
    </w:rPr>
  </w:style>
  <w:style w:type="paragraph" w:styleId="7">
    <w:name w:val="footer"/>
    <w:basedOn w:val="1"/>
    <w:link w:val="24"/>
    <w:unhideWhenUsed/>
    <w:qFormat/>
    <w:uiPriority w:val="0"/>
    <w:pPr>
      <w:tabs>
        <w:tab w:val="center" w:pos="4153"/>
        <w:tab w:val="right" w:pos="8306"/>
      </w:tabs>
      <w:snapToGrid w:val="0"/>
      <w:jc w:val="left"/>
    </w:pPr>
    <w:rPr>
      <w:rFonts w:cs="Times New Roman"/>
      <w:sz w:val="18"/>
      <w:szCs w:val="18"/>
    </w:rPr>
  </w:style>
  <w:style w:type="paragraph" w:styleId="8">
    <w:name w:val="header"/>
    <w:basedOn w:val="1"/>
    <w:link w:val="20"/>
    <w:unhideWhenUsed/>
    <w:qFormat/>
    <w:uiPriority w:val="0"/>
    <w:pPr>
      <w:pBdr>
        <w:bottom w:val="single" w:color="auto" w:sz="6" w:space="1"/>
      </w:pBdr>
      <w:tabs>
        <w:tab w:val="center" w:pos="4153"/>
        <w:tab w:val="right" w:pos="8306"/>
      </w:tabs>
      <w:snapToGrid w:val="0"/>
      <w:jc w:val="center"/>
    </w:pPr>
    <w:rPr>
      <w:rFonts w:cs="Times New Roman"/>
      <w:sz w:val="18"/>
      <w:szCs w:val="18"/>
    </w:rPr>
  </w:style>
  <w:style w:type="paragraph" w:styleId="9">
    <w:name w:val="Normal (Web)"/>
    <w:basedOn w:val="1"/>
    <w:qFormat/>
    <w:uiPriority w:val="0"/>
    <w:rPr>
      <w:sz w:val="24"/>
    </w:rPr>
  </w:style>
  <w:style w:type="character" w:styleId="11">
    <w:name w:val="FollowedHyperlink"/>
    <w:qFormat/>
    <w:uiPriority w:val="0"/>
    <w:rPr>
      <w:color w:val="336666"/>
      <w:u w:val="none"/>
    </w:rPr>
  </w:style>
  <w:style w:type="character" w:styleId="12">
    <w:name w:val="Emphasis"/>
    <w:basedOn w:val="10"/>
    <w:qFormat/>
    <w:uiPriority w:val="0"/>
  </w:style>
  <w:style w:type="character" w:styleId="13">
    <w:name w:val="line number"/>
    <w:basedOn w:val="10"/>
    <w:qFormat/>
    <w:uiPriority w:val="0"/>
  </w:style>
  <w:style w:type="character" w:styleId="14">
    <w:name w:val="Hyperlink"/>
    <w:qFormat/>
    <w:uiPriority w:val="0"/>
    <w:rPr>
      <w:color w:val="336666"/>
      <w:u w:val="none"/>
    </w:rPr>
  </w:style>
  <w:style w:type="character" w:styleId="15">
    <w:name w:val="annotation reference"/>
    <w:qFormat/>
    <w:uiPriority w:val="0"/>
    <w:rPr>
      <w:sz w:val="18"/>
      <w:szCs w:val="18"/>
    </w:rPr>
  </w:style>
  <w:style w:type="table" w:styleId="17">
    <w:name w:val="Table Grid"/>
    <w:basedOn w:val="1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8">
    <w:name w:val="页脚 Char1"/>
    <w:semiHidden/>
    <w:qFormat/>
    <w:uiPriority w:val="99"/>
    <w:rPr>
      <w:rFonts w:ascii="Calibri" w:hAnsi="Calibri" w:cs="宋体"/>
      <w:kern w:val="2"/>
      <w:sz w:val="18"/>
      <w:szCs w:val="18"/>
    </w:rPr>
  </w:style>
  <w:style w:type="character" w:customStyle="1" w:styleId="19">
    <w:name w:val="font11"/>
    <w:qFormat/>
    <w:uiPriority w:val="0"/>
    <w:rPr>
      <w:rFonts w:hint="default" w:ascii="Times New Roman" w:hAnsi="Times New Roman" w:cs="Times New Roman"/>
      <w:color w:val="000000"/>
      <w:sz w:val="22"/>
      <w:szCs w:val="22"/>
      <w:u w:val="none"/>
    </w:rPr>
  </w:style>
  <w:style w:type="character" w:customStyle="1" w:styleId="20">
    <w:name w:val="页眉 Char2"/>
    <w:link w:val="8"/>
    <w:qFormat/>
    <w:uiPriority w:val="0"/>
    <w:rPr>
      <w:rFonts w:ascii="Calibri" w:hAnsi="Calibri"/>
      <w:kern w:val="2"/>
      <w:sz w:val="18"/>
      <w:szCs w:val="18"/>
    </w:rPr>
  </w:style>
  <w:style w:type="character" w:customStyle="1" w:styleId="21">
    <w:name w:val="文档结构图 Char1"/>
    <w:link w:val="5"/>
    <w:qFormat/>
    <w:uiPriority w:val="99"/>
    <w:rPr>
      <w:rFonts w:ascii="宋体" w:cs="宋体"/>
      <w:kern w:val="2"/>
      <w:sz w:val="18"/>
      <w:szCs w:val="18"/>
    </w:rPr>
  </w:style>
  <w:style w:type="character" w:customStyle="1" w:styleId="22">
    <w:name w:val="bds_more2"/>
    <w:qFormat/>
    <w:uiPriority w:val="0"/>
    <w:rPr>
      <w:rFonts w:hint="eastAsia" w:ascii="宋体" w:hAnsi="宋体" w:eastAsia="宋体" w:cs="宋体"/>
    </w:rPr>
  </w:style>
  <w:style w:type="character" w:customStyle="1" w:styleId="23">
    <w:name w:val="批注主题 Char1"/>
    <w:link w:val="3"/>
    <w:qFormat/>
    <w:uiPriority w:val="0"/>
    <w:rPr>
      <w:rFonts w:ascii="Calibri" w:hAnsi="Calibri" w:eastAsia="宋体" w:cs="宋体"/>
      <w:b/>
      <w:bCs/>
      <w:kern w:val="2"/>
      <w:sz w:val="20"/>
      <w:szCs w:val="20"/>
    </w:rPr>
  </w:style>
  <w:style w:type="character" w:customStyle="1" w:styleId="24">
    <w:name w:val="页脚 Char2"/>
    <w:link w:val="7"/>
    <w:qFormat/>
    <w:uiPriority w:val="0"/>
    <w:rPr>
      <w:rFonts w:ascii="Calibri" w:hAnsi="Calibri"/>
      <w:kern w:val="2"/>
      <w:sz w:val="18"/>
      <w:szCs w:val="18"/>
    </w:rPr>
  </w:style>
  <w:style w:type="character" w:customStyle="1" w:styleId="25">
    <w:name w:val="bds_more3"/>
    <w:basedOn w:val="10"/>
    <w:qFormat/>
    <w:uiPriority w:val="0"/>
  </w:style>
  <w:style w:type="character" w:customStyle="1" w:styleId="26">
    <w:name w:val="fontstyle01"/>
    <w:qFormat/>
    <w:uiPriority w:val="0"/>
    <w:rPr>
      <w:rFonts w:ascii="FrutigerLTStd-Roman-Identity-H" w:hAnsi="FrutigerLTStd-Roman-Identity-H" w:eastAsia="FrutigerLTStd-Roman-Identity-H" w:cs="FrutigerLTStd-Roman-Identity-H"/>
      <w:color w:val="231F20"/>
      <w:sz w:val="18"/>
      <w:szCs w:val="18"/>
    </w:rPr>
  </w:style>
  <w:style w:type="character" w:customStyle="1" w:styleId="27">
    <w:name w:val="bds_more4"/>
    <w:basedOn w:val="10"/>
    <w:qFormat/>
    <w:uiPriority w:val="0"/>
  </w:style>
  <w:style w:type="character" w:customStyle="1" w:styleId="28">
    <w:name w:val="标题 1 Char1"/>
    <w:link w:val="2"/>
    <w:qFormat/>
    <w:uiPriority w:val="0"/>
    <w:rPr>
      <w:rFonts w:ascii="宋体" w:hAnsi="宋体" w:eastAsia="宋体" w:cs="Times New Roman"/>
      <w:b/>
      <w:kern w:val="44"/>
      <w:sz w:val="48"/>
      <w:szCs w:val="48"/>
    </w:rPr>
  </w:style>
  <w:style w:type="character" w:customStyle="1" w:styleId="29">
    <w:name w:val="font21"/>
    <w:qFormat/>
    <w:uiPriority w:val="0"/>
    <w:rPr>
      <w:rFonts w:hint="default" w:ascii="Times New Roman" w:hAnsi="Times New Roman" w:cs="Times New Roman"/>
      <w:color w:val="000000"/>
      <w:sz w:val="22"/>
      <w:szCs w:val="22"/>
      <w:u w:val="none"/>
    </w:rPr>
  </w:style>
  <w:style w:type="character" w:customStyle="1" w:styleId="30">
    <w:name w:val="fontstyle21"/>
    <w:qFormat/>
    <w:uiPriority w:val="0"/>
    <w:rPr>
      <w:rFonts w:ascii="FrutigerLTStd-Italic" w:hAnsi="FrutigerLTStd-Italic" w:eastAsia="FrutigerLTStd-Italic" w:cs="FrutigerLTStd-Italic"/>
      <w:i/>
      <w:color w:val="231F20"/>
      <w:sz w:val="18"/>
      <w:szCs w:val="18"/>
    </w:rPr>
  </w:style>
  <w:style w:type="character" w:customStyle="1" w:styleId="31">
    <w:name w:val="批注文字 Char1"/>
    <w:link w:val="4"/>
    <w:qFormat/>
    <w:uiPriority w:val="0"/>
    <w:rPr>
      <w:rFonts w:ascii="Calibri" w:hAnsi="Calibri" w:eastAsia="宋体" w:cs="宋体"/>
      <w:kern w:val="2"/>
      <w:sz w:val="21"/>
      <w:szCs w:val="24"/>
    </w:rPr>
  </w:style>
  <w:style w:type="character" w:customStyle="1" w:styleId="32">
    <w:name w:val="页眉 Char1"/>
    <w:semiHidden/>
    <w:qFormat/>
    <w:uiPriority w:val="99"/>
    <w:rPr>
      <w:rFonts w:ascii="Calibri" w:hAnsi="Calibri" w:cs="宋体"/>
      <w:kern w:val="2"/>
      <w:sz w:val="18"/>
      <w:szCs w:val="18"/>
    </w:rPr>
  </w:style>
  <w:style w:type="character" w:customStyle="1" w:styleId="33">
    <w:name w:val="批注框文本 Char2"/>
    <w:link w:val="6"/>
    <w:qFormat/>
    <w:uiPriority w:val="0"/>
    <w:rPr>
      <w:rFonts w:ascii="Calibri" w:hAnsi="Calibri" w:eastAsia="宋体" w:cs="Times New Roman"/>
      <w:sz w:val="18"/>
      <w:szCs w:val="18"/>
    </w:rPr>
  </w:style>
  <w:style w:type="character" w:customStyle="1" w:styleId="34">
    <w:name w:val="sf_right"/>
    <w:basedOn w:val="10"/>
    <w:qFormat/>
    <w:uiPriority w:val="0"/>
  </w:style>
  <w:style w:type="character" w:customStyle="1" w:styleId="35">
    <w:name w:val="sf_left"/>
    <w:basedOn w:val="10"/>
    <w:qFormat/>
    <w:uiPriority w:val="0"/>
  </w:style>
  <w:style w:type="character" w:customStyle="1" w:styleId="36">
    <w:name w:val="bds_nopic2"/>
    <w:basedOn w:val="10"/>
    <w:qFormat/>
    <w:uiPriority w:val="0"/>
  </w:style>
  <w:style w:type="character" w:customStyle="1" w:styleId="37">
    <w:name w:val="批注框文本 Char1"/>
    <w:semiHidden/>
    <w:qFormat/>
    <w:uiPriority w:val="99"/>
    <w:rPr>
      <w:rFonts w:ascii="Calibri" w:hAnsi="Calibri" w:eastAsia="宋体" w:cs="宋体"/>
      <w:sz w:val="18"/>
      <w:szCs w:val="18"/>
    </w:rPr>
  </w:style>
  <w:style w:type="character" w:customStyle="1" w:styleId="38">
    <w:name w:val="font31"/>
    <w:qFormat/>
    <w:uiPriority w:val="0"/>
    <w:rPr>
      <w:rFonts w:hint="default" w:ascii="Times New Roman" w:hAnsi="Times New Roman" w:cs="Times New Roman"/>
      <w:color w:val="000000"/>
      <w:sz w:val="22"/>
      <w:szCs w:val="22"/>
      <w:u w:val="none"/>
    </w:rPr>
  </w:style>
  <w:style w:type="character" w:customStyle="1" w:styleId="39">
    <w:name w:val="bds_nopic"/>
    <w:basedOn w:val="10"/>
    <w:qFormat/>
    <w:uiPriority w:val="0"/>
  </w:style>
  <w:style w:type="character" w:customStyle="1" w:styleId="40">
    <w:name w:val="bds_nopic1"/>
    <w:basedOn w:val="10"/>
    <w:qFormat/>
    <w:uiPriority w:val="0"/>
  </w:style>
  <w:style w:type="paragraph" w:customStyle="1" w:styleId="41">
    <w:name w:val="修订2"/>
    <w:unhideWhenUsed/>
    <w:qFormat/>
    <w:uiPriority w:val="99"/>
    <w:rPr>
      <w:rFonts w:ascii="Calibri" w:hAnsi="Calibri" w:eastAsia="宋体" w:cs="宋体"/>
      <w:kern w:val="2"/>
      <w:sz w:val="21"/>
      <w:szCs w:val="24"/>
      <w:lang w:val="en-US" w:eastAsia="zh-CN" w:bidi="ar-SA"/>
    </w:rPr>
  </w:style>
  <w:style w:type="paragraph" w:customStyle="1" w:styleId="42">
    <w:name w:val="修订1"/>
    <w:unhideWhenUsed/>
    <w:qFormat/>
    <w:uiPriority w:val="99"/>
    <w:rPr>
      <w:rFonts w:ascii="Calibri" w:hAnsi="Calibri" w:eastAsia="宋体" w:cs="宋体"/>
      <w:kern w:val="2"/>
      <w:sz w:val="21"/>
      <w:szCs w:val="24"/>
      <w:lang w:val="en-US" w:eastAsia="zh-CN" w:bidi="ar-SA"/>
    </w:rPr>
  </w:style>
  <w:style w:type="paragraph" w:customStyle="1" w:styleId="43">
    <w:name w:val="修订3"/>
    <w:unhideWhenUsed/>
    <w:qFormat/>
    <w:uiPriority w:val="99"/>
    <w:rPr>
      <w:rFonts w:ascii="Calibri" w:hAnsi="Calibri" w:eastAsia="宋体" w:cs="宋体"/>
      <w:kern w:val="2"/>
      <w:sz w:val="21"/>
      <w:szCs w:val="24"/>
      <w:lang w:val="en-US" w:eastAsia="zh-CN" w:bidi="ar-SA"/>
    </w:rPr>
  </w:style>
  <w:style w:type="paragraph" w:customStyle="1" w:styleId="44">
    <w:name w:val="修订4"/>
    <w:hidden/>
    <w:unhideWhenUsed/>
    <w:qFormat/>
    <w:uiPriority w:val="99"/>
    <w:rPr>
      <w:rFonts w:ascii="Calibri" w:hAnsi="Calibri" w:eastAsia="宋体" w:cs="宋体"/>
      <w:kern w:val="2"/>
      <w:sz w:val="21"/>
      <w:szCs w:val="24"/>
      <w:lang w:val="en-US" w:eastAsia="zh-CN" w:bidi="ar-SA"/>
    </w:rPr>
  </w:style>
  <w:style w:type="character" w:customStyle="1" w:styleId="45">
    <w:name w:val="页眉 Char"/>
    <w:qFormat/>
    <w:uiPriority w:val="0"/>
    <w:rPr>
      <w:kern w:val="2"/>
      <w:sz w:val="18"/>
      <w:szCs w:val="18"/>
    </w:rPr>
  </w:style>
  <w:style w:type="character" w:customStyle="1" w:styleId="46">
    <w:name w:val="文档结构图 Char"/>
    <w:semiHidden/>
    <w:qFormat/>
    <w:uiPriority w:val="99"/>
    <w:rPr>
      <w:rFonts w:ascii="宋体" w:hAnsi="Calibri" w:eastAsia="宋体" w:cs="宋体"/>
      <w:kern w:val="2"/>
      <w:sz w:val="18"/>
      <w:szCs w:val="18"/>
    </w:rPr>
  </w:style>
  <w:style w:type="character" w:customStyle="1" w:styleId="47">
    <w:name w:val="批注主题 Char"/>
    <w:qFormat/>
    <w:uiPriority w:val="0"/>
    <w:rPr>
      <w:rFonts w:ascii="Calibri" w:hAnsi="Calibri" w:eastAsia="宋体" w:cs="宋体"/>
      <w:b/>
      <w:bCs/>
      <w:kern w:val="2"/>
      <w:sz w:val="20"/>
      <w:szCs w:val="20"/>
    </w:rPr>
  </w:style>
  <w:style w:type="character" w:customStyle="1" w:styleId="48">
    <w:name w:val="页脚 Char"/>
    <w:qFormat/>
    <w:uiPriority w:val="0"/>
    <w:rPr>
      <w:kern w:val="2"/>
      <w:sz w:val="18"/>
      <w:szCs w:val="18"/>
    </w:rPr>
  </w:style>
  <w:style w:type="character" w:customStyle="1" w:styleId="49">
    <w:name w:val="标题 1 Char"/>
    <w:qFormat/>
    <w:uiPriority w:val="0"/>
    <w:rPr>
      <w:rFonts w:ascii="宋体" w:hAnsi="宋体" w:eastAsia="宋体" w:cs="Times New Roman"/>
      <w:b/>
      <w:kern w:val="44"/>
      <w:sz w:val="48"/>
      <w:szCs w:val="48"/>
    </w:rPr>
  </w:style>
  <w:style w:type="character" w:customStyle="1" w:styleId="50">
    <w:name w:val="批注文字 Char"/>
    <w:qFormat/>
    <w:uiPriority w:val="0"/>
    <w:rPr>
      <w:rFonts w:ascii="Calibri" w:hAnsi="Calibri" w:eastAsia="宋体" w:cs="宋体"/>
      <w:kern w:val="2"/>
      <w:sz w:val="21"/>
      <w:szCs w:val="24"/>
    </w:rPr>
  </w:style>
  <w:style w:type="character" w:customStyle="1" w:styleId="51">
    <w:name w:val="批注框文本 Char"/>
    <w:qFormat/>
    <w:uiPriority w:val="0"/>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093A59-63AF-4C47-BCDE-1A1731C80335}">
  <ds:schemaRefs/>
</ds:datastoreItem>
</file>

<file path=docProps/app.xml><?xml version="1.0" encoding="utf-8"?>
<Properties xmlns="http://schemas.openxmlformats.org/officeDocument/2006/extended-properties" xmlns:vt="http://schemas.openxmlformats.org/officeDocument/2006/docPropsVTypes">
  <Template>Normal</Template>
  <Pages>15</Pages>
  <Words>2762</Words>
  <Characters>15744</Characters>
  <Lines>131</Lines>
  <Paragraphs>36</Paragraphs>
  <TotalTime>1</TotalTime>
  <ScaleCrop>false</ScaleCrop>
  <LinksUpToDate>false</LinksUpToDate>
  <CharactersWithSpaces>18470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2020-06-24T12:12:00Z</dcterms:created>
  <dc:creator>hechao</dc:creator>
  <cp:lastModifiedBy>Liao</cp:lastModifiedBy>
  <dcterms:modified xsi:type="dcterms:W3CDTF">2020-07-31T00:54:27Z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