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51F6" w:rsidRPr="00F212B9" w:rsidRDefault="00BB51F6" w:rsidP="00BB51F6">
      <w:pPr>
        <w:spacing w:line="480" w:lineRule="auto"/>
        <w:jc w:val="right"/>
        <w:rPr>
          <w:rFonts w:cs="Arial"/>
        </w:rPr>
      </w:pPr>
      <w:r w:rsidRPr="00F212B9">
        <w:rPr>
          <w:rFonts w:cs="Arial"/>
        </w:rPr>
        <w:t xml:space="preserve">Additional file </w:t>
      </w:r>
      <w:r w:rsidR="00E02A50">
        <w:rPr>
          <w:rFonts w:cs="Arial"/>
        </w:rPr>
        <w:t>7</w:t>
      </w:r>
      <w:r w:rsidRPr="00F212B9">
        <w:rPr>
          <w:rFonts w:cs="Arial"/>
        </w:rPr>
        <w:t>: Supplementary Methods</w:t>
      </w:r>
    </w:p>
    <w:p w:rsidR="00BB51F6" w:rsidRDefault="00BB51F6" w:rsidP="00BB51F6">
      <w:pPr>
        <w:spacing w:line="480" w:lineRule="auto"/>
        <w:rPr>
          <w:rFonts w:cs="Arial"/>
          <w:sz w:val="28"/>
          <w:szCs w:val="28"/>
        </w:rPr>
      </w:pPr>
    </w:p>
    <w:p w:rsidR="00BB51F6" w:rsidRPr="00134BAD" w:rsidRDefault="00BB51F6" w:rsidP="00BB51F6">
      <w:pPr>
        <w:spacing w:line="480" w:lineRule="auto"/>
        <w:rPr>
          <w:rFonts w:cs="Arial"/>
          <w:sz w:val="28"/>
          <w:szCs w:val="28"/>
        </w:rPr>
      </w:pPr>
      <w:r w:rsidRPr="00134BAD">
        <w:rPr>
          <w:rFonts w:cs="Arial"/>
          <w:sz w:val="28"/>
          <w:szCs w:val="28"/>
        </w:rPr>
        <w:t>Online supplement</w:t>
      </w:r>
      <w:r>
        <w:rPr>
          <w:rFonts w:cs="Arial"/>
          <w:sz w:val="28"/>
          <w:szCs w:val="28"/>
        </w:rPr>
        <w:t xml:space="preserve"> for</w:t>
      </w:r>
    </w:p>
    <w:p w:rsidR="00BB51F6" w:rsidRPr="00233198" w:rsidRDefault="00BB51F6" w:rsidP="00BB51F6">
      <w:pPr>
        <w:spacing w:line="480" w:lineRule="auto"/>
        <w:rPr>
          <w:rFonts w:cs="Arial"/>
          <w:b/>
          <w:bCs/>
          <w:sz w:val="28"/>
          <w:szCs w:val="28"/>
        </w:rPr>
      </w:pPr>
      <w:r w:rsidRPr="00134BAD">
        <w:rPr>
          <w:rFonts w:cs="Arial"/>
          <w:b/>
          <w:bCs/>
          <w:sz w:val="28"/>
          <w:szCs w:val="28"/>
        </w:rPr>
        <w:t>Exploring protocol bias in airway microbiome studies:</w:t>
      </w:r>
      <w:r>
        <w:rPr>
          <w:rFonts w:cs="Arial"/>
          <w:b/>
          <w:bCs/>
          <w:sz w:val="28"/>
          <w:szCs w:val="28"/>
        </w:rPr>
        <w:t xml:space="preserve"> </w:t>
      </w:r>
      <w:r w:rsidR="000B2C31">
        <w:rPr>
          <w:rFonts w:cs="Arial"/>
          <w:b/>
          <w:bCs/>
          <w:sz w:val="28"/>
          <w:szCs w:val="28"/>
        </w:rPr>
        <w:t>O</w:t>
      </w:r>
      <w:r w:rsidRPr="00134BAD">
        <w:rPr>
          <w:rFonts w:cs="Arial"/>
          <w:b/>
          <w:bCs/>
          <w:sz w:val="28"/>
          <w:szCs w:val="28"/>
        </w:rPr>
        <w:t xml:space="preserve">ne versus two PCR steps </w:t>
      </w:r>
      <w:r>
        <w:rPr>
          <w:rFonts w:cs="Arial"/>
          <w:b/>
          <w:bCs/>
          <w:sz w:val="28"/>
          <w:szCs w:val="28"/>
        </w:rPr>
        <w:t>and 16S rRNA gene region V3 V4 versus V4</w:t>
      </w:r>
    </w:p>
    <w:p w:rsidR="00BB51F6" w:rsidRPr="00233198" w:rsidRDefault="00BB51F6" w:rsidP="00BB51F6">
      <w:pPr>
        <w:spacing w:line="480" w:lineRule="auto"/>
        <w:rPr>
          <w:rFonts w:cs="Arial"/>
        </w:rPr>
      </w:pPr>
      <w:r w:rsidRPr="00233198">
        <w:rPr>
          <w:rFonts w:cs="Arial"/>
        </w:rPr>
        <w:t>Christine Drengenes, Tomas ML Eagan, Ingvild Haaland, Harald G Wiker, Rune Nielsen</w:t>
      </w:r>
    </w:p>
    <w:p w:rsidR="00BB51F6" w:rsidRDefault="00BB51F6" w:rsidP="00BB51F6">
      <w:pPr>
        <w:spacing w:line="360" w:lineRule="auto"/>
        <w:rPr>
          <w:rFonts w:cs="Arial"/>
          <w:b/>
          <w:bCs/>
          <w:sz w:val="32"/>
          <w:szCs w:val="32"/>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BB51F6" w:rsidRDefault="00BB51F6" w:rsidP="00BB51F6">
      <w:pPr>
        <w:spacing w:line="360" w:lineRule="auto"/>
        <w:rPr>
          <w:rFonts w:cs="Arial"/>
          <w:b/>
          <w:bCs/>
        </w:rPr>
      </w:pPr>
    </w:p>
    <w:p w:rsidR="00F164D7" w:rsidRDefault="00F164D7" w:rsidP="00BB51F6">
      <w:pPr>
        <w:spacing w:line="360" w:lineRule="auto"/>
        <w:rPr>
          <w:rFonts w:cs="Arial"/>
          <w:b/>
          <w:bCs/>
        </w:rPr>
      </w:pPr>
    </w:p>
    <w:p w:rsidR="00BB51F6" w:rsidRPr="00D32DCC" w:rsidRDefault="00BB51F6" w:rsidP="00BB51F6">
      <w:pPr>
        <w:spacing w:line="360" w:lineRule="auto"/>
        <w:rPr>
          <w:rFonts w:asciiTheme="majorHAnsi" w:hAnsiTheme="majorHAnsi" w:cstheme="majorHAnsi"/>
          <w:b/>
          <w:bCs/>
          <w:sz w:val="28"/>
          <w:szCs w:val="28"/>
        </w:rPr>
      </w:pPr>
      <w:bookmarkStart w:id="0" w:name="_GoBack"/>
      <w:bookmarkEnd w:id="0"/>
      <w:r w:rsidRPr="00D32DCC">
        <w:rPr>
          <w:rFonts w:asciiTheme="majorHAnsi" w:hAnsiTheme="majorHAnsi" w:cstheme="majorHAnsi"/>
          <w:b/>
          <w:bCs/>
          <w:sz w:val="28"/>
          <w:szCs w:val="28"/>
        </w:rPr>
        <w:lastRenderedPageBreak/>
        <w:t>Mock Community Sample HM-783D</w:t>
      </w:r>
    </w:p>
    <w:p w:rsidR="00BB51F6"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The mock community sample was obtained through BEI Resources, NIAID, NIH, as part of the Human Microbiome Project: Genomic DNA from Microbial Mock Community B (Staggered, Low Concentration), v5.2L, for 16S rRNA Gene Sequencing, HM-783D. The input number of 16S rRNA gene operons was given on the certificate of analysis provided by the </w:t>
      </w:r>
      <w:r>
        <w:rPr>
          <w:rFonts w:asciiTheme="majorHAnsi" w:hAnsiTheme="majorHAnsi" w:cstheme="majorHAnsi"/>
        </w:rPr>
        <w:t>BEI Resources</w:t>
      </w:r>
      <w:r w:rsidRPr="00D32DCC">
        <w:rPr>
          <w:rFonts w:asciiTheme="majorHAnsi" w:hAnsiTheme="majorHAnsi" w:cstheme="majorHAnsi"/>
        </w:rPr>
        <w:t>, and used to calculate the relative abundance of the different bacteria in the sample (Table S.1).</w:t>
      </w:r>
    </w:p>
    <w:p w:rsidR="00BB51F6" w:rsidRPr="00D32DCC" w:rsidRDefault="00BB51F6" w:rsidP="00BB51F6">
      <w:pPr>
        <w:spacing w:line="360" w:lineRule="auto"/>
        <w:rPr>
          <w:rFonts w:asciiTheme="majorHAnsi" w:hAnsiTheme="majorHAnsi" w:cstheme="majorHAnsi"/>
        </w:rPr>
      </w:pPr>
    </w:p>
    <w:p w:rsidR="00BB51F6" w:rsidRPr="00D32DCC"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Table S.1. Mock community HM-783D </w:t>
      </w:r>
    </w:p>
    <w:tbl>
      <w:tblPr>
        <w:tblStyle w:val="Tabellrutenett"/>
        <w:tblW w:w="0" w:type="auto"/>
        <w:tblLook w:val="04A0" w:firstRow="1" w:lastRow="0" w:firstColumn="1" w:lastColumn="0" w:noHBand="0" w:noVBand="1"/>
      </w:tblPr>
      <w:tblGrid>
        <w:gridCol w:w="3018"/>
        <w:gridCol w:w="3019"/>
        <w:gridCol w:w="3019"/>
      </w:tblGrid>
      <w:tr w:rsidR="00BB51F6" w:rsidRPr="00D32DCC" w:rsidTr="00716300">
        <w:tc>
          <w:tcPr>
            <w:tcW w:w="3018" w:type="dxa"/>
          </w:tcPr>
          <w:p w:rsidR="00BB51F6" w:rsidRPr="00E93662" w:rsidRDefault="00BB51F6" w:rsidP="00716300">
            <w:pPr>
              <w:spacing w:line="360" w:lineRule="auto"/>
              <w:rPr>
                <w:rFonts w:asciiTheme="majorHAnsi" w:hAnsiTheme="majorHAnsi" w:cstheme="majorHAnsi"/>
                <w:b/>
                <w:bCs/>
              </w:rPr>
            </w:pPr>
            <w:r w:rsidRPr="00E93662">
              <w:rPr>
                <w:rFonts w:asciiTheme="majorHAnsi" w:hAnsiTheme="majorHAnsi" w:cstheme="majorHAnsi"/>
                <w:b/>
                <w:bCs/>
              </w:rPr>
              <w:t>Species</w:t>
            </w:r>
          </w:p>
        </w:tc>
        <w:tc>
          <w:tcPr>
            <w:tcW w:w="3019" w:type="dxa"/>
          </w:tcPr>
          <w:p w:rsidR="00BB51F6" w:rsidRPr="00E93662" w:rsidRDefault="00BB51F6" w:rsidP="00716300">
            <w:pPr>
              <w:spacing w:line="360" w:lineRule="auto"/>
              <w:rPr>
                <w:rFonts w:asciiTheme="majorHAnsi" w:hAnsiTheme="majorHAnsi" w:cstheme="majorHAnsi"/>
                <w:b/>
                <w:bCs/>
              </w:rPr>
            </w:pPr>
            <w:r w:rsidRPr="00E93662">
              <w:rPr>
                <w:rFonts w:asciiTheme="majorHAnsi" w:hAnsiTheme="majorHAnsi" w:cstheme="majorHAnsi"/>
                <w:b/>
                <w:bCs/>
              </w:rPr>
              <w:t>Number of operons</w:t>
            </w:r>
          </w:p>
        </w:tc>
        <w:tc>
          <w:tcPr>
            <w:tcW w:w="3019" w:type="dxa"/>
          </w:tcPr>
          <w:p w:rsidR="00BB51F6" w:rsidRPr="00E93662" w:rsidRDefault="00BB51F6" w:rsidP="00716300">
            <w:pPr>
              <w:spacing w:line="360" w:lineRule="auto"/>
              <w:rPr>
                <w:rFonts w:asciiTheme="majorHAnsi" w:hAnsiTheme="majorHAnsi" w:cstheme="majorHAnsi"/>
                <w:b/>
                <w:bCs/>
              </w:rPr>
            </w:pPr>
            <w:r w:rsidRPr="00E93662">
              <w:rPr>
                <w:rFonts w:asciiTheme="majorHAnsi" w:hAnsiTheme="majorHAnsi" w:cstheme="majorHAnsi"/>
                <w:b/>
                <w:bCs/>
              </w:rPr>
              <w:t>Relative abundance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Acinetobacter baumannii</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0.22 %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Actinomyces odontolyticus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0.02 %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Bacillus cereus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Bacteroides vulgatus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0.02 %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Clostridium beijerinckii</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Deinococcus radiodurans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0.02 %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Enterococcus faecalis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0.02 %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Escherichia coli</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21.91 %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Helicobacter pylori</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0.22 %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Lactobacillus gasseri</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0.22 %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Listeria monocytogenes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0.22 %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Neisseria meningitidis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0.22 %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Propionibacterium acnes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0.22 %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Pseudomonas aeruginosa</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Rhodobacter sphaeroides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21.91 %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Staphylococcus aureus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Staphylococcus epidermidis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21.91 %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Streptococcus agalactiae</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Streptococcus mutans</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21.91 %</w:t>
            </w:r>
          </w:p>
        </w:tc>
      </w:tr>
      <w:tr w:rsidR="00BB51F6" w:rsidRPr="00D32DCC" w:rsidTr="00716300">
        <w:tc>
          <w:tcPr>
            <w:tcW w:w="3018" w:type="dxa"/>
          </w:tcPr>
          <w:p w:rsidR="00BB51F6" w:rsidRPr="00E93662" w:rsidRDefault="00BB51F6" w:rsidP="00716300">
            <w:pPr>
              <w:spacing w:line="360" w:lineRule="auto"/>
              <w:rPr>
                <w:rFonts w:asciiTheme="majorHAnsi" w:hAnsiTheme="majorHAnsi" w:cstheme="majorHAnsi"/>
                <w:i/>
                <w:iCs/>
              </w:rPr>
            </w:pPr>
            <w:r w:rsidRPr="00E93662">
              <w:rPr>
                <w:rFonts w:asciiTheme="majorHAnsi" w:hAnsiTheme="majorHAnsi" w:cstheme="majorHAnsi"/>
                <w:i/>
                <w:iCs/>
              </w:rPr>
              <w:t>Streptococcus pneumoniae</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1000</w:t>
            </w:r>
          </w:p>
        </w:tc>
        <w:tc>
          <w:tcPr>
            <w:tcW w:w="3019" w:type="dxa"/>
          </w:tcPr>
          <w:p w:rsidR="00BB51F6" w:rsidRPr="00E93662" w:rsidRDefault="00BB51F6" w:rsidP="00716300">
            <w:pPr>
              <w:spacing w:line="360" w:lineRule="auto"/>
              <w:rPr>
                <w:rFonts w:asciiTheme="majorHAnsi" w:hAnsiTheme="majorHAnsi" w:cstheme="majorHAnsi"/>
              </w:rPr>
            </w:pPr>
            <w:r w:rsidRPr="00E93662">
              <w:rPr>
                <w:rFonts w:asciiTheme="majorHAnsi" w:hAnsiTheme="majorHAnsi" w:cstheme="majorHAnsi"/>
              </w:rPr>
              <w:t>0.02 %</w:t>
            </w:r>
          </w:p>
        </w:tc>
      </w:tr>
    </w:tbl>
    <w:p w:rsidR="00BB51F6" w:rsidRDefault="00BB51F6" w:rsidP="00BB51F6">
      <w:pPr>
        <w:spacing w:line="360" w:lineRule="auto"/>
        <w:rPr>
          <w:rFonts w:asciiTheme="majorHAnsi" w:hAnsiTheme="majorHAnsi" w:cstheme="majorHAnsi"/>
          <w:b/>
          <w:bCs/>
          <w:sz w:val="28"/>
          <w:szCs w:val="28"/>
        </w:rPr>
      </w:pPr>
    </w:p>
    <w:p w:rsidR="00BB51F6" w:rsidRPr="00D32DCC" w:rsidRDefault="00BB51F6" w:rsidP="00BB51F6">
      <w:pPr>
        <w:spacing w:line="360" w:lineRule="auto"/>
        <w:rPr>
          <w:rFonts w:asciiTheme="majorHAnsi" w:hAnsiTheme="majorHAnsi" w:cstheme="majorHAnsi"/>
          <w:b/>
          <w:bCs/>
          <w:sz w:val="28"/>
          <w:szCs w:val="28"/>
        </w:rPr>
      </w:pPr>
      <w:r w:rsidRPr="00D32DCC">
        <w:rPr>
          <w:rFonts w:asciiTheme="majorHAnsi" w:hAnsiTheme="majorHAnsi" w:cstheme="majorHAnsi"/>
          <w:b/>
          <w:bCs/>
          <w:sz w:val="28"/>
          <w:szCs w:val="28"/>
        </w:rPr>
        <w:lastRenderedPageBreak/>
        <w:t>Library Preparation for MiSeq Sequencing  (Setups 1, 2 and 3)</w:t>
      </w:r>
    </w:p>
    <w:p w:rsidR="00BB51F6" w:rsidRDefault="00BB51F6" w:rsidP="00BB51F6">
      <w:pPr>
        <w:widowControl w:val="0"/>
        <w:autoSpaceDE w:val="0"/>
        <w:autoSpaceDN w:val="0"/>
        <w:adjustRightInd w:val="0"/>
        <w:spacing w:after="240" w:line="360" w:lineRule="auto"/>
        <w:rPr>
          <w:rFonts w:asciiTheme="majorHAnsi" w:hAnsiTheme="majorHAnsi" w:cstheme="majorHAnsi"/>
        </w:rPr>
      </w:pPr>
      <w:r w:rsidRPr="00D32DCC">
        <w:rPr>
          <w:rFonts w:asciiTheme="majorHAnsi" w:hAnsiTheme="majorHAnsi" w:cstheme="majorHAnsi"/>
        </w:rPr>
        <w:t xml:space="preserve">We compare three different library preparation setups for MiSeq sequencing of the bacterial 16S rRNA gene. The three setups vary with regards to the number of PCR steps (one or two) and the target marker gene region sequenced (16S rRNA gene region V3 V4 or V4): </w:t>
      </w:r>
      <w:r w:rsidRPr="00D32DCC">
        <w:rPr>
          <w:rFonts w:asciiTheme="majorHAnsi" w:hAnsiTheme="majorHAnsi" w:cstheme="majorHAnsi"/>
          <w:bCs/>
        </w:rPr>
        <w:t>Setup 1 (2-step PCR; region V3 V4); Setup 2 (2-step PCR; region V4); Setup 3 (1-step PCR; region V4)</w:t>
      </w:r>
      <w:r w:rsidRPr="00D32DCC">
        <w:rPr>
          <w:rFonts w:asciiTheme="majorHAnsi" w:hAnsiTheme="majorHAnsi" w:cstheme="majorHAnsi"/>
        </w:rPr>
        <w:t>.</w:t>
      </w:r>
      <w:r>
        <w:rPr>
          <w:rFonts w:asciiTheme="majorHAnsi" w:hAnsiTheme="majorHAnsi" w:cstheme="majorHAnsi"/>
        </w:rPr>
        <w:t xml:space="preserve"> </w:t>
      </w:r>
    </w:p>
    <w:p w:rsidR="00BB51F6" w:rsidRPr="00D32DCC" w:rsidRDefault="00BB51F6" w:rsidP="00BB51F6">
      <w:pPr>
        <w:widowControl w:val="0"/>
        <w:autoSpaceDE w:val="0"/>
        <w:autoSpaceDN w:val="0"/>
        <w:adjustRightInd w:val="0"/>
        <w:spacing w:after="240" w:line="360" w:lineRule="auto"/>
        <w:rPr>
          <w:rFonts w:asciiTheme="majorHAnsi" w:hAnsiTheme="majorHAnsi" w:cstheme="majorHAnsi"/>
          <w:u w:val="single"/>
        </w:rPr>
      </w:pPr>
      <w:r w:rsidRPr="00D32DCC">
        <w:rPr>
          <w:rFonts w:asciiTheme="majorHAnsi" w:hAnsiTheme="majorHAnsi" w:cstheme="majorHAnsi"/>
          <w:u w:val="single"/>
        </w:rPr>
        <w:t>Setups 1 and 2</w:t>
      </w:r>
    </w:p>
    <w:p w:rsidR="00BB51F6" w:rsidRPr="00D32DCC"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Setups 1 and 2 were performed according to the the Illumina 16S Metagenomic Sequencing Library Preparation guide (Part no. 15044223 Rev. B). The protocol consists of two PCR steps; the first for amplification of the target marker gene region to be sequenced and the second for the addition of index sequences required for sample multiplexing. </w:t>
      </w:r>
    </w:p>
    <w:p w:rsidR="00BB51F6" w:rsidRPr="00D32DCC" w:rsidRDefault="00BB51F6" w:rsidP="00BB51F6">
      <w:pPr>
        <w:spacing w:line="360" w:lineRule="auto"/>
        <w:rPr>
          <w:rFonts w:asciiTheme="majorHAnsi" w:hAnsiTheme="majorHAnsi" w:cstheme="majorHAnsi"/>
        </w:rPr>
      </w:pPr>
    </w:p>
    <w:p w:rsidR="00BB51F6" w:rsidRPr="00D32DCC" w:rsidRDefault="00BB51F6" w:rsidP="00BB51F6">
      <w:pPr>
        <w:spacing w:line="360" w:lineRule="auto"/>
        <w:rPr>
          <w:rFonts w:asciiTheme="majorHAnsi" w:hAnsiTheme="majorHAnsi" w:cstheme="majorHAnsi"/>
        </w:rPr>
      </w:pPr>
      <w:r w:rsidRPr="00666E2A">
        <w:rPr>
          <w:rFonts w:asciiTheme="majorHAnsi" w:hAnsiTheme="majorHAnsi" w:cstheme="majorHAnsi"/>
          <w:i/>
          <w:iCs/>
        </w:rPr>
        <w:t>Setup 1.</w:t>
      </w:r>
      <w:r>
        <w:rPr>
          <w:rFonts w:asciiTheme="majorHAnsi" w:hAnsiTheme="majorHAnsi" w:cstheme="majorHAnsi"/>
        </w:rPr>
        <w:t xml:space="preserve"> </w:t>
      </w:r>
      <w:r w:rsidRPr="00D32DCC">
        <w:rPr>
          <w:rFonts w:asciiTheme="majorHAnsi" w:hAnsiTheme="majorHAnsi" w:cstheme="majorHAnsi"/>
        </w:rPr>
        <w:t>In the first PCR step</w:t>
      </w:r>
      <w:r>
        <w:rPr>
          <w:rFonts w:asciiTheme="majorHAnsi" w:hAnsiTheme="majorHAnsi" w:cstheme="majorHAnsi"/>
        </w:rPr>
        <w:t xml:space="preserve">, </w:t>
      </w:r>
      <w:r w:rsidRPr="00D32DCC">
        <w:rPr>
          <w:rFonts w:asciiTheme="majorHAnsi" w:hAnsiTheme="majorHAnsi" w:cstheme="majorHAnsi"/>
        </w:rPr>
        <w:t xml:space="preserve">the 16S rRNA gene V3 V4 region was targeted using </w:t>
      </w:r>
      <w:r>
        <w:rPr>
          <w:rFonts w:asciiTheme="majorHAnsi" w:hAnsiTheme="majorHAnsi" w:cstheme="majorHAnsi"/>
        </w:rPr>
        <w:t>primers</w:t>
      </w:r>
      <w:r w:rsidRPr="00D32DCC">
        <w:rPr>
          <w:rFonts w:asciiTheme="majorHAnsi" w:hAnsiTheme="majorHAnsi" w:cstheme="majorHAnsi"/>
        </w:rPr>
        <w:t>:</w:t>
      </w:r>
    </w:p>
    <w:p w:rsidR="00BB51F6" w:rsidRPr="00D32DCC" w:rsidRDefault="00BB51F6" w:rsidP="00BB51F6">
      <w:pPr>
        <w:spacing w:line="360" w:lineRule="auto"/>
        <w:rPr>
          <w:rFonts w:asciiTheme="majorHAnsi" w:hAnsiTheme="majorHAnsi" w:cstheme="majorHAnsi"/>
          <w:sz w:val="22"/>
          <w:szCs w:val="22"/>
        </w:rPr>
      </w:pPr>
      <w:r w:rsidRPr="00D32DCC">
        <w:rPr>
          <w:rFonts w:asciiTheme="majorHAnsi" w:eastAsia="Times New Roman" w:hAnsiTheme="majorHAnsi" w:cstheme="majorHAnsi"/>
          <w:sz w:val="22"/>
          <w:szCs w:val="22"/>
        </w:rPr>
        <w:t>5′-</w:t>
      </w:r>
      <w:r w:rsidRPr="00D32DCC">
        <w:rPr>
          <w:rStyle w:val="underline"/>
          <w:rFonts w:asciiTheme="majorHAnsi" w:eastAsia="Times New Roman" w:hAnsiTheme="majorHAnsi" w:cstheme="majorHAnsi"/>
          <w:i/>
          <w:iCs/>
          <w:sz w:val="22"/>
          <w:szCs w:val="22"/>
        </w:rPr>
        <w:t>TCGTCGGCAGCGTCAGATGTGTATAAGAGACAG</w:t>
      </w:r>
      <w:r w:rsidRPr="00D32DCC">
        <w:rPr>
          <w:rFonts w:asciiTheme="majorHAnsi" w:eastAsia="Times New Roman" w:hAnsiTheme="majorHAnsi" w:cstheme="majorHAnsi"/>
          <w:sz w:val="22"/>
          <w:szCs w:val="22"/>
          <w:u w:val="single"/>
        </w:rPr>
        <w:t>CCTACGGGNGGCWGCAG</w:t>
      </w:r>
      <w:r w:rsidRPr="00D32DCC">
        <w:rPr>
          <w:rFonts w:asciiTheme="majorHAnsi" w:eastAsia="Times New Roman" w:hAnsiTheme="majorHAnsi" w:cstheme="majorHAnsi"/>
          <w:sz w:val="22"/>
          <w:szCs w:val="22"/>
        </w:rPr>
        <w:t xml:space="preserve">-3′ (forward) </w:t>
      </w:r>
      <w:r w:rsidRPr="00D32DCC">
        <w:rPr>
          <w:rFonts w:asciiTheme="majorHAnsi" w:eastAsia="Times New Roman" w:hAnsiTheme="majorHAnsi" w:cstheme="majorHAnsi"/>
        </w:rPr>
        <w:t xml:space="preserve">and </w:t>
      </w:r>
    </w:p>
    <w:p w:rsidR="00BB51F6" w:rsidRPr="00D32DCC" w:rsidRDefault="00BB51F6" w:rsidP="00BB51F6">
      <w:pPr>
        <w:spacing w:line="360" w:lineRule="auto"/>
        <w:jc w:val="both"/>
        <w:rPr>
          <w:rFonts w:asciiTheme="majorHAnsi" w:eastAsia="Times New Roman" w:hAnsiTheme="majorHAnsi" w:cstheme="majorHAnsi"/>
          <w:sz w:val="22"/>
          <w:szCs w:val="22"/>
        </w:rPr>
      </w:pPr>
      <w:r w:rsidRPr="00D32DCC">
        <w:rPr>
          <w:rFonts w:asciiTheme="majorHAnsi" w:eastAsia="Times New Roman" w:hAnsiTheme="majorHAnsi" w:cstheme="majorHAnsi"/>
          <w:sz w:val="22"/>
          <w:szCs w:val="22"/>
        </w:rPr>
        <w:t>5′-</w:t>
      </w:r>
      <w:r w:rsidRPr="00D32DCC">
        <w:rPr>
          <w:rStyle w:val="underline"/>
          <w:rFonts w:asciiTheme="majorHAnsi" w:eastAsia="Times New Roman" w:hAnsiTheme="majorHAnsi" w:cstheme="majorHAnsi"/>
          <w:i/>
          <w:iCs/>
          <w:sz w:val="22"/>
          <w:szCs w:val="22"/>
        </w:rPr>
        <w:t>GTCTCGTGGGCTCGGAGATGTGTATAAGAGACAG</w:t>
      </w:r>
      <w:r w:rsidRPr="00D32DCC">
        <w:rPr>
          <w:rFonts w:asciiTheme="majorHAnsi" w:eastAsia="Times New Roman" w:hAnsiTheme="majorHAnsi" w:cstheme="majorHAnsi"/>
          <w:sz w:val="22"/>
          <w:szCs w:val="22"/>
          <w:u w:val="single"/>
        </w:rPr>
        <w:t>GACTACHVGGGTATCTAATCC</w:t>
      </w:r>
      <w:r w:rsidRPr="00D32DCC">
        <w:rPr>
          <w:rFonts w:asciiTheme="majorHAnsi" w:eastAsia="Times New Roman" w:hAnsiTheme="majorHAnsi" w:cstheme="majorHAnsi"/>
          <w:sz w:val="22"/>
          <w:szCs w:val="22"/>
        </w:rPr>
        <w:t xml:space="preserve">-3′ (reverse). </w:t>
      </w:r>
    </w:p>
    <w:p w:rsidR="00BB51F6" w:rsidRPr="00D32DCC"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Illumina overhang adapter sequences are </w:t>
      </w:r>
      <w:r w:rsidRPr="00D32DCC">
        <w:rPr>
          <w:rFonts w:asciiTheme="majorHAnsi" w:hAnsiTheme="majorHAnsi" w:cstheme="majorHAnsi"/>
          <w:i/>
          <w:iCs/>
        </w:rPr>
        <w:t>italicized</w:t>
      </w:r>
      <w:r w:rsidRPr="00D32DCC">
        <w:rPr>
          <w:rFonts w:asciiTheme="majorHAnsi" w:hAnsiTheme="majorHAnsi" w:cstheme="majorHAnsi"/>
        </w:rPr>
        <w:t xml:space="preserve">. Gene specific sequences (underlined) are taken from Klindworth </w:t>
      </w:r>
      <w:r w:rsidRPr="00D32DCC">
        <w:rPr>
          <w:rFonts w:asciiTheme="majorHAnsi" w:hAnsiTheme="majorHAnsi" w:cstheme="majorHAnsi"/>
          <w:i/>
          <w:iCs/>
        </w:rPr>
        <w:t xml:space="preserve">et al. </w:t>
      </w:r>
      <w:r w:rsidRPr="00D32DCC">
        <w:rPr>
          <w:rFonts w:asciiTheme="majorHAnsi" w:hAnsiTheme="majorHAnsi" w:cstheme="majorHAnsi"/>
        </w:rPr>
        <w:fldChar w:fldCharType="begin"/>
      </w:r>
      <w:r w:rsidRPr="00D32DCC">
        <w:rPr>
          <w:rFonts w:asciiTheme="majorHAnsi" w:hAnsiTheme="majorHAnsi" w:cstheme="majorHAnsi"/>
        </w:rPr>
        <w:instrText xml:space="preserve"> ADDIN ZOTERO_ITEM CSL_CITATION {"citationID":"uC5dWrig","properties":{"formattedCitation":"[1]","plainCitation":"[1]","noteIndex":0},"citationItems":[{"id":668,"uris":["http://zotero.org/users/local/l6qqj8sZ/items/UAIIG7ZM"],"uri":["http://zotero.org/users/local/l6qqj8sZ/items/UAIIG7ZM"],"itemData":{"id":668,"type":"article-journal","abstract":"16S ribosomal RNA gene (rDNA) amplicon analysis remains the standard approach for the cultivation-independent investigation of microbial diversity. The accuracy of these analyses depends strongly on the choice of primers. The overall coverage and phylum spectrum of 175 primers and 512 primer pairs were evaluated in silico with respect to the SILVA 16S/18S rDNA non-redundant reference dataset (SSURef 108 NR). Based on this evaluation a selection of ‘best available’ primer pairs for Bacteria and Archaea for three amplicon size classes (100–400, 400–1000, ≥1000 bp) is provided. The most promising bacterial primer pair (S-D-Bact-0341-b-S-17/S-D-Bact-0785-a-A-21), with an amplicon size of 464 bp, was experimentally evaluated by comparing the taxonomic distribution of the 16S rDNA amplicons with 16S rDNA fragments from directly sequenced metagenomes. The results of this study may be used as a guideline for selecting primer pairs with the best overall coverage and phylum spectrum for specific applications, therefore reducing the bias in PCR-based microbial diversity studies.","container-title":"Nucleic Acids Research","DOI":"10.1093/nar/gks808","ISSN":"0305-1048","issue":"1","journalAbbreviation":"Nucleic Acids Res","note":"PMID: 22933715\nPMCID: PMC3592464","page":"e1","source":"PubMed Central","title":"Evaluation of general 16S ribosomal RNA gene PCR primers for classical and next-generation sequencing-based diversity studies","volume":"41","author":[{"family":"Klindworth","given":"Anna"},{"family":"Pruesse","given":"Elmar"},{"family":"Schweer","given":"Timmy"},{"family":"Peplies","given":"Jörg"},{"family":"Quast","given":"Christian"},{"family":"Horn","given":"Matthias"},{"family":"Glöckner","given":"Frank Oliver"}],"issued":{"date-parts":[["2013",1]]}}}],"schema":"https://github.com/citation-style-language/schema/raw/master/csl-citation.json"} </w:instrText>
      </w:r>
      <w:r w:rsidRPr="00D32DCC">
        <w:rPr>
          <w:rFonts w:asciiTheme="majorHAnsi" w:hAnsiTheme="majorHAnsi" w:cstheme="majorHAnsi"/>
        </w:rPr>
        <w:fldChar w:fldCharType="separate"/>
      </w:r>
      <w:r w:rsidRPr="00D32DCC">
        <w:rPr>
          <w:rFonts w:asciiTheme="majorHAnsi" w:hAnsiTheme="majorHAnsi" w:cstheme="majorHAnsi"/>
          <w:noProof/>
        </w:rPr>
        <w:t>[1]</w:t>
      </w:r>
      <w:r w:rsidRPr="00D32DCC">
        <w:rPr>
          <w:rFonts w:asciiTheme="majorHAnsi" w:hAnsiTheme="majorHAnsi" w:cstheme="majorHAnsi"/>
        </w:rPr>
        <w:fldChar w:fldCharType="end"/>
      </w:r>
      <w:r w:rsidRPr="00D32DCC">
        <w:rPr>
          <w:rFonts w:asciiTheme="majorHAnsi" w:hAnsiTheme="majorHAnsi" w:cstheme="majorHAnsi"/>
        </w:rPr>
        <w:t xml:space="preserve">. </w:t>
      </w:r>
      <w:r w:rsidRPr="00D32DCC">
        <w:rPr>
          <w:rFonts w:asciiTheme="majorHAnsi" w:hAnsiTheme="majorHAnsi" w:cstheme="majorHAnsi"/>
          <w:szCs w:val="26"/>
        </w:rPr>
        <w:t xml:space="preserve">Each reaction consisted of </w:t>
      </w:r>
      <w:r w:rsidRPr="00D32DCC">
        <w:rPr>
          <w:rFonts w:asciiTheme="majorHAnsi" w:hAnsiTheme="majorHAnsi" w:cstheme="majorHAnsi"/>
          <w:lang w:val="en-GB"/>
        </w:rPr>
        <w:t xml:space="preserve">5 </w:t>
      </w:r>
      <w:r w:rsidRPr="00D32DCC">
        <w:rPr>
          <w:rFonts w:asciiTheme="majorHAnsi" w:hAnsiTheme="majorHAnsi" w:cstheme="majorHAnsi"/>
          <w:color w:val="262626"/>
        </w:rPr>
        <w:t xml:space="preserve">µl sample, </w:t>
      </w:r>
      <w:r w:rsidRPr="00D32DCC">
        <w:rPr>
          <w:rFonts w:asciiTheme="majorHAnsi" w:hAnsiTheme="majorHAnsi" w:cstheme="majorHAnsi"/>
          <w:szCs w:val="26"/>
        </w:rPr>
        <w:t xml:space="preserve">12.5 </w:t>
      </w:r>
      <w:r w:rsidRPr="00D32DCC">
        <w:rPr>
          <w:rFonts w:asciiTheme="majorHAnsi" w:hAnsiTheme="majorHAnsi" w:cstheme="majorHAnsi"/>
          <w:color w:val="262626"/>
        </w:rPr>
        <w:t>µ</w:t>
      </w:r>
      <w:r w:rsidRPr="00D32DCC">
        <w:rPr>
          <w:rFonts w:asciiTheme="majorHAnsi" w:hAnsiTheme="majorHAnsi" w:cstheme="majorHAnsi"/>
          <w:lang w:val="en-GB"/>
        </w:rPr>
        <w:t>l KAPA HiFi HotStart ReadyMix (2X) (K</w:t>
      </w:r>
      <w:r>
        <w:rPr>
          <w:rFonts w:asciiTheme="majorHAnsi" w:hAnsiTheme="majorHAnsi" w:cstheme="majorHAnsi"/>
          <w:lang w:val="en-GB"/>
        </w:rPr>
        <w:t>APA</w:t>
      </w:r>
      <w:r w:rsidRPr="00D32DCC">
        <w:rPr>
          <w:rFonts w:asciiTheme="majorHAnsi" w:hAnsiTheme="majorHAnsi" w:cstheme="majorHAnsi"/>
          <w:lang w:val="en-GB"/>
        </w:rPr>
        <w:t xml:space="preserve"> Biosystems, </w:t>
      </w:r>
      <w:r>
        <w:rPr>
          <w:rFonts w:asciiTheme="majorHAnsi" w:hAnsiTheme="majorHAnsi" w:cstheme="majorHAnsi"/>
          <w:lang w:val="en-GB"/>
        </w:rPr>
        <w:t>USA</w:t>
      </w:r>
      <w:r w:rsidRPr="00D32DCC">
        <w:rPr>
          <w:rFonts w:asciiTheme="majorHAnsi" w:hAnsiTheme="majorHAnsi" w:cstheme="majorHAnsi"/>
          <w:lang w:val="en-GB"/>
        </w:rPr>
        <w:t xml:space="preserve">), 0.5 </w:t>
      </w:r>
      <w:r w:rsidRPr="00D32DCC">
        <w:rPr>
          <w:rFonts w:asciiTheme="majorHAnsi" w:hAnsiTheme="majorHAnsi" w:cstheme="majorHAnsi"/>
          <w:color w:val="262626"/>
        </w:rPr>
        <w:t>µ</w:t>
      </w:r>
      <w:r w:rsidRPr="00D32DCC">
        <w:rPr>
          <w:rFonts w:asciiTheme="majorHAnsi" w:hAnsiTheme="majorHAnsi" w:cstheme="majorHAnsi"/>
          <w:lang w:val="en-GB"/>
        </w:rPr>
        <w:t xml:space="preserve">l of each primer (10 </w:t>
      </w:r>
      <w:r w:rsidRPr="00D32DCC">
        <w:rPr>
          <w:rFonts w:asciiTheme="majorHAnsi" w:hAnsiTheme="majorHAnsi" w:cstheme="majorHAnsi"/>
          <w:color w:val="262626"/>
        </w:rPr>
        <w:t>µ</w:t>
      </w:r>
      <w:r w:rsidRPr="00D32DCC">
        <w:rPr>
          <w:rFonts w:asciiTheme="majorHAnsi" w:hAnsiTheme="majorHAnsi" w:cstheme="majorHAnsi"/>
          <w:lang w:val="en-GB"/>
        </w:rPr>
        <w:t xml:space="preserve">M) </w:t>
      </w:r>
      <w:r w:rsidRPr="00D32DCC">
        <w:rPr>
          <w:rFonts w:asciiTheme="majorHAnsi" w:hAnsiTheme="majorHAnsi" w:cstheme="majorHAnsi"/>
          <w:color w:val="262626"/>
        </w:rPr>
        <w:t>and 6.5 µ</w:t>
      </w:r>
      <w:r w:rsidRPr="00D32DCC">
        <w:rPr>
          <w:rFonts w:asciiTheme="majorHAnsi" w:hAnsiTheme="majorHAnsi" w:cstheme="majorHAnsi"/>
          <w:lang w:val="en-GB"/>
        </w:rPr>
        <w:t>l</w:t>
      </w:r>
      <w:r w:rsidRPr="00D32DCC">
        <w:rPr>
          <w:rFonts w:asciiTheme="majorHAnsi" w:hAnsiTheme="majorHAnsi" w:cstheme="majorHAnsi"/>
          <w:color w:val="262626"/>
        </w:rPr>
        <w:t xml:space="preserve"> </w:t>
      </w:r>
      <w:r w:rsidRPr="00D32DCC">
        <w:rPr>
          <w:rFonts w:asciiTheme="majorHAnsi" w:hAnsiTheme="majorHAnsi" w:cstheme="majorHAnsi"/>
          <w:szCs w:val="26"/>
          <w:lang w:val="en-GB"/>
        </w:rPr>
        <w:t>RT-PCR grade water (Thermo Fisher Scientific, USA) for a total volume of 25</w:t>
      </w:r>
      <w:r w:rsidRPr="00D32DCC">
        <w:rPr>
          <w:rFonts w:asciiTheme="majorHAnsi" w:hAnsiTheme="majorHAnsi" w:cstheme="majorHAnsi"/>
          <w:color w:val="262626"/>
        </w:rPr>
        <w:t xml:space="preserve"> µ</w:t>
      </w:r>
      <w:r w:rsidRPr="00D32DCC">
        <w:rPr>
          <w:rFonts w:asciiTheme="majorHAnsi" w:hAnsiTheme="majorHAnsi" w:cstheme="majorHAnsi"/>
          <w:lang w:val="en-GB"/>
        </w:rPr>
        <w:t xml:space="preserve">l. </w:t>
      </w:r>
      <w:r w:rsidRPr="00D32DCC">
        <w:rPr>
          <w:rFonts w:asciiTheme="majorHAnsi" w:hAnsiTheme="majorHAnsi" w:cstheme="majorHAnsi"/>
          <w:szCs w:val="26"/>
          <w:lang w:val="en-GB"/>
        </w:rPr>
        <w:t xml:space="preserve">PCR cycling was performed using the following program: an initial cycle at 95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 minutes, followed by 45 cycles of 95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55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and a final extension cycle at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5 minutes.</w:t>
      </w:r>
      <w:r>
        <w:rPr>
          <w:rFonts w:asciiTheme="majorHAnsi" w:hAnsiTheme="majorHAnsi" w:cstheme="majorHAnsi"/>
          <w:szCs w:val="26"/>
          <w:lang w:val="en-GB"/>
        </w:rPr>
        <w:t xml:space="preserve"> </w:t>
      </w:r>
    </w:p>
    <w:p w:rsidR="00BB51F6" w:rsidRPr="00D32DCC" w:rsidRDefault="00BB51F6" w:rsidP="00BB51F6">
      <w:pPr>
        <w:spacing w:line="360" w:lineRule="auto"/>
        <w:jc w:val="both"/>
        <w:rPr>
          <w:rFonts w:asciiTheme="majorHAnsi" w:eastAsia="Times New Roman" w:hAnsiTheme="majorHAnsi" w:cstheme="majorHAnsi"/>
        </w:rPr>
      </w:pPr>
    </w:p>
    <w:p w:rsidR="00BB51F6" w:rsidRPr="00D32DCC" w:rsidRDefault="00BB51F6" w:rsidP="00BB51F6">
      <w:pPr>
        <w:spacing w:line="360" w:lineRule="auto"/>
        <w:rPr>
          <w:rFonts w:asciiTheme="majorHAnsi" w:hAnsiTheme="majorHAnsi" w:cstheme="majorHAnsi"/>
        </w:rPr>
      </w:pPr>
      <w:r w:rsidRPr="00666E2A">
        <w:rPr>
          <w:rFonts w:asciiTheme="majorHAnsi" w:eastAsia="Times New Roman" w:hAnsiTheme="majorHAnsi" w:cstheme="majorHAnsi"/>
          <w:i/>
          <w:iCs/>
        </w:rPr>
        <w:t>Setup 2</w:t>
      </w:r>
      <w:r>
        <w:rPr>
          <w:rFonts w:asciiTheme="majorHAnsi" w:eastAsia="Times New Roman" w:hAnsiTheme="majorHAnsi" w:cstheme="majorHAnsi"/>
        </w:rPr>
        <w:t xml:space="preserve">. </w:t>
      </w:r>
      <w:r w:rsidRPr="00D32DCC">
        <w:rPr>
          <w:rFonts w:asciiTheme="majorHAnsi" w:eastAsia="Times New Roman" w:hAnsiTheme="majorHAnsi" w:cstheme="majorHAnsi"/>
        </w:rPr>
        <w:t xml:space="preserve">In the first PCR step, the </w:t>
      </w:r>
      <w:r w:rsidRPr="00D32DCC">
        <w:rPr>
          <w:rFonts w:asciiTheme="majorHAnsi" w:hAnsiTheme="majorHAnsi" w:cstheme="majorHAnsi"/>
        </w:rPr>
        <w:t xml:space="preserve">16S rRNA gene V4 region was targeted using </w:t>
      </w:r>
      <w:r>
        <w:rPr>
          <w:rFonts w:asciiTheme="majorHAnsi" w:hAnsiTheme="majorHAnsi" w:cstheme="majorHAnsi"/>
        </w:rPr>
        <w:t>primers</w:t>
      </w:r>
      <w:r w:rsidRPr="00D32DCC">
        <w:rPr>
          <w:rFonts w:asciiTheme="majorHAnsi" w:hAnsiTheme="majorHAnsi" w:cstheme="majorHAnsi"/>
        </w:rPr>
        <w:t>:</w:t>
      </w:r>
    </w:p>
    <w:p w:rsidR="00BB51F6" w:rsidRPr="00D32DCC" w:rsidRDefault="00BB51F6" w:rsidP="00BB51F6">
      <w:pPr>
        <w:spacing w:line="360" w:lineRule="auto"/>
        <w:jc w:val="both"/>
        <w:rPr>
          <w:rFonts w:asciiTheme="majorHAnsi" w:eastAsia="Times New Roman" w:hAnsiTheme="majorHAnsi" w:cstheme="majorHAnsi"/>
          <w:sz w:val="22"/>
          <w:szCs w:val="22"/>
        </w:rPr>
      </w:pPr>
      <w:r w:rsidRPr="00D32DCC">
        <w:rPr>
          <w:rFonts w:asciiTheme="majorHAnsi" w:hAnsiTheme="majorHAnsi" w:cstheme="majorHAnsi"/>
          <w:sz w:val="22"/>
          <w:szCs w:val="22"/>
        </w:rPr>
        <w:t>5´-</w:t>
      </w:r>
      <w:r w:rsidRPr="00D32DCC">
        <w:rPr>
          <w:rFonts w:asciiTheme="majorHAnsi" w:hAnsiTheme="majorHAnsi" w:cstheme="majorHAnsi"/>
          <w:i/>
          <w:iCs/>
          <w:sz w:val="22"/>
          <w:szCs w:val="22"/>
        </w:rPr>
        <w:t>TCGTCGGCAGCGTCAGATGTGTATAAGAGACAG</w:t>
      </w:r>
      <w:r w:rsidRPr="00D32DCC">
        <w:rPr>
          <w:rFonts w:asciiTheme="majorHAnsi" w:eastAsia="Times New Roman" w:hAnsiTheme="majorHAnsi" w:cstheme="majorHAnsi"/>
          <w:sz w:val="22"/>
          <w:szCs w:val="22"/>
          <w:u w:val="single"/>
        </w:rPr>
        <w:t>GTGCCAGCMGCCGCGGTAA</w:t>
      </w:r>
      <w:r w:rsidRPr="00D32DCC">
        <w:rPr>
          <w:rFonts w:asciiTheme="majorHAnsi" w:eastAsia="Times New Roman" w:hAnsiTheme="majorHAnsi" w:cstheme="majorHAnsi"/>
          <w:sz w:val="22"/>
          <w:szCs w:val="22"/>
        </w:rPr>
        <w:t xml:space="preserve">-3´ (forward) </w:t>
      </w:r>
      <w:r w:rsidRPr="00D32DCC">
        <w:rPr>
          <w:rFonts w:asciiTheme="majorHAnsi" w:eastAsia="Times New Roman" w:hAnsiTheme="majorHAnsi" w:cstheme="majorHAnsi"/>
        </w:rPr>
        <w:t>and</w:t>
      </w:r>
    </w:p>
    <w:p w:rsidR="00BB51F6" w:rsidRPr="00D32DCC" w:rsidRDefault="00BB51F6" w:rsidP="00BB51F6">
      <w:pPr>
        <w:spacing w:line="360" w:lineRule="auto"/>
        <w:jc w:val="both"/>
        <w:rPr>
          <w:rFonts w:asciiTheme="majorHAnsi" w:eastAsia="Times New Roman" w:hAnsiTheme="majorHAnsi" w:cstheme="majorHAnsi"/>
          <w:sz w:val="22"/>
          <w:szCs w:val="22"/>
        </w:rPr>
      </w:pPr>
      <w:r w:rsidRPr="00D32DCC">
        <w:rPr>
          <w:rFonts w:asciiTheme="majorHAnsi" w:hAnsiTheme="majorHAnsi" w:cstheme="majorHAnsi"/>
          <w:sz w:val="22"/>
          <w:szCs w:val="22"/>
        </w:rPr>
        <w:t>5´-</w:t>
      </w:r>
      <w:r w:rsidRPr="00D32DCC">
        <w:rPr>
          <w:rFonts w:asciiTheme="majorHAnsi" w:hAnsiTheme="majorHAnsi" w:cstheme="majorHAnsi"/>
          <w:i/>
          <w:iCs/>
          <w:sz w:val="22"/>
          <w:szCs w:val="22"/>
        </w:rPr>
        <w:t>GTCTCGTGGGCTCGGAGATGTGTATAAGAGACAG</w:t>
      </w:r>
      <w:r w:rsidRPr="00D32DCC">
        <w:rPr>
          <w:rFonts w:asciiTheme="majorHAnsi" w:eastAsia="Times New Roman" w:hAnsiTheme="majorHAnsi" w:cstheme="majorHAnsi"/>
          <w:sz w:val="22"/>
          <w:szCs w:val="22"/>
          <w:u w:val="single"/>
        </w:rPr>
        <w:t>GGACTACHVGGGTWTCTAAT</w:t>
      </w:r>
      <w:r w:rsidRPr="00D32DCC">
        <w:rPr>
          <w:rFonts w:asciiTheme="majorHAnsi" w:eastAsia="Times New Roman" w:hAnsiTheme="majorHAnsi" w:cstheme="majorHAnsi"/>
          <w:sz w:val="22"/>
          <w:szCs w:val="22"/>
        </w:rPr>
        <w:t xml:space="preserve">-3´ (reverse). </w:t>
      </w:r>
    </w:p>
    <w:p w:rsidR="00BB51F6" w:rsidRPr="00D32DCC"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Illumina overhang adapter sequences are </w:t>
      </w:r>
      <w:r w:rsidRPr="00D32DCC">
        <w:rPr>
          <w:rFonts w:asciiTheme="majorHAnsi" w:hAnsiTheme="majorHAnsi" w:cstheme="majorHAnsi"/>
          <w:i/>
          <w:iCs/>
        </w:rPr>
        <w:t>italicized</w:t>
      </w:r>
      <w:r w:rsidRPr="00D32DCC">
        <w:rPr>
          <w:rFonts w:asciiTheme="majorHAnsi" w:hAnsiTheme="majorHAnsi" w:cstheme="majorHAnsi"/>
        </w:rPr>
        <w:t xml:space="preserve">. Gene specific sequences (underlined) are taken from Caporaso </w:t>
      </w:r>
      <w:r w:rsidRPr="00D32DCC">
        <w:rPr>
          <w:rFonts w:asciiTheme="majorHAnsi" w:hAnsiTheme="majorHAnsi" w:cstheme="majorHAnsi"/>
          <w:i/>
          <w:iCs/>
        </w:rPr>
        <w:t xml:space="preserve">et al. </w:t>
      </w:r>
      <w:r w:rsidRPr="00D32DCC">
        <w:rPr>
          <w:rFonts w:asciiTheme="majorHAnsi" w:hAnsiTheme="majorHAnsi" w:cstheme="majorHAnsi"/>
        </w:rPr>
        <w:fldChar w:fldCharType="begin"/>
      </w:r>
      <w:r w:rsidRPr="00D32DCC">
        <w:rPr>
          <w:rFonts w:asciiTheme="majorHAnsi" w:hAnsiTheme="majorHAnsi" w:cstheme="majorHAnsi"/>
        </w:rPr>
        <w:instrText xml:space="preserve"> ADDIN ZOTERO_ITEM CSL_CITATION {"citationID":"OylZ5C9X","properties":{"formattedCitation":"[2]","plainCitation":"[2]","noteIndex":0},"citationItems":[{"id":681,"uris":["http://zotero.org/users/local/l6qqj8sZ/items/LJRZZYAV"],"uri":["http://zotero.org/users/local/l6qqj8sZ/items/LJRZZYAV"],"itemData":{"id":681,"type":"article-journal","abstract":"The ongoing revolution in high-throughput sequencing continues to democratize the ability of small groups of investigators to map the microbial component of the biosphere. In particular, the coevolution of new sequencing platforms and new software tools allows data acquisition and analysis on an unprecedented scale. Here we report the next stage in this coevolutionary arms race, using the Illumina GAIIx platform to sequence a diverse array of 25 environmental samples and three known \"mock communities\" at a depth averaging 3.1 million reads per sample. We demonstrate excellent consistency in taxonomic recovery and recapture diversity patterns that were previously reported on the basis of metaanalysis of many studies from the literature (notably, the saline/nonsaline split in environmental samples and the split between host-associated and free-living communities). We also demonstrate that 2,000 Illumina single-end reads are sufficient to recapture the same relationships among samples that we observe with the full dataset. The results thus open up the possibility of conducting large-scale studies analyzing thousands of samples simultaneously to survey microbial communities at an unprecedented spatial and temporal resolution.","container-title":"Proceedings of the National Academy of Sciences of the United States of America","DOI":"10.1073/pnas.1000080107","ISSN":"1091-6490","journalAbbreviation":"Proc. Natl. Acad. Sci. U.S.A.","language":"eng","note":"PMID: 20534432\nPMCID: PMC3063599","page":"4516-4522","source":"PubMed","title":"Global patterns of 16S rRNA diversity at a depth of millions of sequences per sample","volume":"108 Suppl 1","author":[{"family":"Caporaso","given":"J. Gregory"},{"family":"Lauber","given":"Christian L."},{"family":"Walters","given":"William A."},{"family":"Berg-Lyons","given":"Donna"},{"family":"Lozupone","given":"Catherine A."},{"family":"Turnbaugh","given":"Peter J."},{"family":"Fierer","given":"Noah"},{"family":"Knight","given":"Rob"}],"issued":{"date-parts":[["2011",3,15]]}}}],"schema":"https://github.com/citation-style-language/schema/raw/master/csl-citation.json"} </w:instrText>
      </w:r>
      <w:r w:rsidRPr="00D32DCC">
        <w:rPr>
          <w:rFonts w:asciiTheme="majorHAnsi" w:hAnsiTheme="majorHAnsi" w:cstheme="majorHAnsi"/>
        </w:rPr>
        <w:fldChar w:fldCharType="separate"/>
      </w:r>
      <w:r w:rsidRPr="00D32DCC">
        <w:rPr>
          <w:rFonts w:asciiTheme="majorHAnsi" w:hAnsiTheme="majorHAnsi" w:cstheme="majorHAnsi"/>
          <w:noProof/>
        </w:rPr>
        <w:t>[2]</w:t>
      </w:r>
      <w:r w:rsidRPr="00D32DCC">
        <w:rPr>
          <w:rFonts w:asciiTheme="majorHAnsi" w:hAnsiTheme="majorHAnsi" w:cstheme="majorHAnsi"/>
        </w:rPr>
        <w:fldChar w:fldCharType="end"/>
      </w:r>
      <w:r w:rsidRPr="00D32DCC">
        <w:rPr>
          <w:rFonts w:asciiTheme="majorHAnsi" w:hAnsiTheme="majorHAnsi" w:cstheme="majorHAnsi"/>
        </w:rPr>
        <w:t xml:space="preserve">. Each reaction consisted </w:t>
      </w:r>
      <w:r w:rsidRPr="00D32DCC">
        <w:rPr>
          <w:rFonts w:asciiTheme="majorHAnsi" w:hAnsiTheme="majorHAnsi" w:cstheme="majorHAnsi"/>
          <w:szCs w:val="26"/>
        </w:rPr>
        <w:t xml:space="preserve">of </w:t>
      </w:r>
      <w:r w:rsidRPr="00D32DCC">
        <w:rPr>
          <w:rFonts w:asciiTheme="majorHAnsi" w:hAnsiTheme="majorHAnsi" w:cstheme="majorHAnsi"/>
          <w:lang w:val="en-GB"/>
        </w:rPr>
        <w:t xml:space="preserve">5 </w:t>
      </w:r>
      <w:r w:rsidRPr="00D32DCC">
        <w:rPr>
          <w:rFonts w:asciiTheme="majorHAnsi" w:hAnsiTheme="majorHAnsi" w:cstheme="majorHAnsi"/>
          <w:color w:val="262626"/>
        </w:rPr>
        <w:t>µl sample,</w:t>
      </w:r>
      <w:r w:rsidRPr="00D32DCC">
        <w:rPr>
          <w:rFonts w:asciiTheme="majorHAnsi" w:hAnsiTheme="majorHAnsi" w:cstheme="majorHAnsi"/>
          <w:szCs w:val="26"/>
        </w:rPr>
        <w:t xml:space="preserve"> 12.5 </w:t>
      </w:r>
      <w:r w:rsidRPr="00D32DCC">
        <w:rPr>
          <w:rFonts w:asciiTheme="majorHAnsi" w:hAnsiTheme="majorHAnsi" w:cstheme="majorHAnsi"/>
          <w:color w:val="262626"/>
        </w:rPr>
        <w:t>µ</w:t>
      </w:r>
      <w:r w:rsidRPr="00D32DCC">
        <w:rPr>
          <w:rFonts w:asciiTheme="majorHAnsi" w:hAnsiTheme="majorHAnsi" w:cstheme="majorHAnsi"/>
          <w:lang w:val="en-GB"/>
        </w:rPr>
        <w:t xml:space="preserve">l KAPA HiFi HotStart ReadyMix (2X), 1.25 </w:t>
      </w:r>
      <w:r w:rsidRPr="00D32DCC">
        <w:rPr>
          <w:rFonts w:asciiTheme="majorHAnsi" w:hAnsiTheme="majorHAnsi" w:cstheme="majorHAnsi"/>
          <w:color w:val="262626"/>
        </w:rPr>
        <w:t>µ</w:t>
      </w:r>
      <w:r w:rsidRPr="00D32DCC">
        <w:rPr>
          <w:rFonts w:asciiTheme="majorHAnsi" w:hAnsiTheme="majorHAnsi" w:cstheme="majorHAnsi"/>
          <w:lang w:val="en-GB"/>
        </w:rPr>
        <w:t xml:space="preserve">l of each primer (10 </w:t>
      </w:r>
      <w:r w:rsidRPr="00D32DCC">
        <w:rPr>
          <w:rFonts w:asciiTheme="majorHAnsi" w:hAnsiTheme="majorHAnsi" w:cstheme="majorHAnsi"/>
          <w:color w:val="262626"/>
        </w:rPr>
        <w:t>µ</w:t>
      </w:r>
      <w:r w:rsidRPr="00D32DCC">
        <w:rPr>
          <w:rFonts w:asciiTheme="majorHAnsi" w:hAnsiTheme="majorHAnsi" w:cstheme="majorHAnsi"/>
          <w:lang w:val="en-GB"/>
        </w:rPr>
        <w:t xml:space="preserve">M), </w:t>
      </w:r>
      <w:r w:rsidRPr="00D32DCC">
        <w:rPr>
          <w:rFonts w:asciiTheme="majorHAnsi" w:hAnsiTheme="majorHAnsi" w:cstheme="majorHAnsi"/>
          <w:color w:val="262626"/>
        </w:rPr>
        <w:t>and 5 µ</w:t>
      </w:r>
      <w:r w:rsidRPr="00D32DCC">
        <w:rPr>
          <w:rFonts w:asciiTheme="majorHAnsi" w:hAnsiTheme="majorHAnsi" w:cstheme="majorHAnsi"/>
          <w:lang w:val="en-GB"/>
        </w:rPr>
        <w:t>l</w:t>
      </w:r>
      <w:r w:rsidRPr="00D32DCC">
        <w:rPr>
          <w:rFonts w:asciiTheme="majorHAnsi" w:hAnsiTheme="majorHAnsi" w:cstheme="majorHAnsi"/>
          <w:color w:val="262626"/>
        </w:rPr>
        <w:t xml:space="preserve"> </w:t>
      </w:r>
      <w:r w:rsidRPr="00D32DCC">
        <w:rPr>
          <w:rFonts w:asciiTheme="majorHAnsi" w:hAnsiTheme="majorHAnsi" w:cstheme="majorHAnsi"/>
          <w:szCs w:val="26"/>
          <w:lang w:val="en-GB"/>
        </w:rPr>
        <w:t>RT-PCR grade water (Thermo Fisher Scientific, USA) for a total volume of 25</w:t>
      </w:r>
      <w:r w:rsidRPr="00D32DCC">
        <w:rPr>
          <w:rFonts w:asciiTheme="majorHAnsi" w:hAnsiTheme="majorHAnsi" w:cstheme="majorHAnsi"/>
          <w:color w:val="262626"/>
        </w:rPr>
        <w:t xml:space="preserve"> µ</w:t>
      </w:r>
      <w:r w:rsidRPr="00D32DCC">
        <w:rPr>
          <w:rFonts w:asciiTheme="majorHAnsi" w:hAnsiTheme="majorHAnsi" w:cstheme="majorHAnsi"/>
          <w:lang w:val="en-GB"/>
        </w:rPr>
        <w:t xml:space="preserve">l. </w:t>
      </w:r>
      <w:r w:rsidRPr="00D32DCC">
        <w:rPr>
          <w:rFonts w:asciiTheme="majorHAnsi" w:hAnsiTheme="majorHAnsi" w:cstheme="majorHAnsi"/>
          <w:szCs w:val="26"/>
          <w:lang w:val="en-GB"/>
        </w:rPr>
        <w:t xml:space="preserve">PCR cycling was performed using the following program: an initial cycle at 95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 minutes, followed by 45 cycles of 95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w:t>
      </w:r>
      <w:r w:rsidRPr="00D32DCC">
        <w:rPr>
          <w:rFonts w:asciiTheme="majorHAnsi" w:hAnsiTheme="majorHAnsi" w:cstheme="majorHAnsi"/>
          <w:szCs w:val="26"/>
          <w:lang w:val="en-GB"/>
        </w:rPr>
        <w:lastRenderedPageBreak/>
        <w:t xml:space="preserve">for 30 seconds, 50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and a final extension cycle at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5 minutes.</w:t>
      </w:r>
    </w:p>
    <w:p w:rsidR="00BB51F6" w:rsidRPr="00D32DCC" w:rsidRDefault="00BB51F6" w:rsidP="00BB51F6">
      <w:pPr>
        <w:spacing w:line="360" w:lineRule="auto"/>
        <w:rPr>
          <w:rFonts w:asciiTheme="majorHAnsi" w:hAnsiTheme="majorHAnsi" w:cstheme="majorHAnsi"/>
        </w:rPr>
      </w:pPr>
    </w:p>
    <w:p w:rsidR="00BB51F6" w:rsidRPr="00D32DCC"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For both setups 1 and 2, the second PCR step was performed using primers from the Nextera XT Index kit (Illumina Inc., USA). </w:t>
      </w:r>
      <w:r>
        <w:rPr>
          <w:rFonts w:asciiTheme="majorHAnsi" w:hAnsiTheme="majorHAnsi" w:cstheme="majorHAnsi"/>
        </w:rPr>
        <w:t xml:space="preserve">Each reaction consisted of 5 </w:t>
      </w:r>
      <w:r w:rsidRPr="00D32DCC">
        <w:rPr>
          <w:rFonts w:asciiTheme="majorHAnsi" w:hAnsiTheme="majorHAnsi" w:cstheme="majorHAnsi"/>
          <w:color w:val="262626"/>
        </w:rPr>
        <w:t>µ</w:t>
      </w:r>
      <w:r w:rsidRPr="00D32DCC">
        <w:rPr>
          <w:rFonts w:asciiTheme="majorHAnsi" w:hAnsiTheme="majorHAnsi" w:cstheme="majorHAnsi"/>
          <w:lang w:val="en-GB"/>
        </w:rPr>
        <w:t>l</w:t>
      </w:r>
      <w:r>
        <w:rPr>
          <w:rFonts w:asciiTheme="majorHAnsi" w:hAnsiTheme="majorHAnsi" w:cstheme="majorHAnsi"/>
          <w:lang w:val="en-GB"/>
        </w:rPr>
        <w:t xml:space="preserve"> </w:t>
      </w:r>
      <w:r>
        <w:rPr>
          <w:rFonts w:asciiTheme="majorHAnsi" w:hAnsiTheme="majorHAnsi" w:cstheme="majorHAnsi"/>
        </w:rPr>
        <w:t xml:space="preserve">amplicons from PCR step one, 25 </w:t>
      </w:r>
      <w:r w:rsidRPr="00D32DCC">
        <w:rPr>
          <w:rFonts w:asciiTheme="majorHAnsi" w:hAnsiTheme="majorHAnsi" w:cstheme="majorHAnsi"/>
          <w:color w:val="262626"/>
        </w:rPr>
        <w:t>µ</w:t>
      </w:r>
      <w:r w:rsidRPr="00D32DCC">
        <w:rPr>
          <w:rFonts w:asciiTheme="majorHAnsi" w:hAnsiTheme="majorHAnsi" w:cstheme="majorHAnsi"/>
          <w:lang w:val="en-GB"/>
        </w:rPr>
        <w:t>l KAPA HiFi HotStart ReadyMix (2X)</w:t>
      </w:r>
      <w:r>
        <w:rPr>
          <w:rFonts w:asciiTheme="majorHAnsi" w:hAnsiTheme="majorHAnsi" w:cstheme="majorHAnsi"/>
          <w:lang w:val="en-GB"/>
        </w:rPr>
        <w:t xml:space="preserve">, </w:t>
      </w:r>
      <w:r>
        <w:rPr>
          <w:rFonts w:asciiTheme="majorHAnsi" w:hAnsiTheme="majorHAnsi" w:cstheme="majorHAnsi"/>
        </w:rPr>
        <w:t xml:space="preserve">5 </w:t>
      </w:r>
      <w:r w:rsidRPr="00D32DCC">
        <w:rPr>
          <w:rFonts w:asciiTheme="majorHAnsi" w:hAnsiTheme="majorHAnsi" w:cstheme="majorHAnsi"/>
          <w:color w:val="262626"/>
        </w:rPr>
        <w:t>µ</w:t>
      </w:r>
      <w:r w:rsidRPr="00D32DCC">
        <w:rPr>
          <w:rFonts w:asciiTheme="majorHAnsi" w:hAnsiTheme="majorHAnsi" w:cstheme="majorHAnsi"/>
          <w:lang w:val="en-GB"/>
        </w:rPr>
        <w:t>l</w:t>
      </w:r>
      <w:r>
        <w:rPr>
          <w:rFonts w:asciiTheme="majorHAnsi" w:hAnsiTheme="majorHAnsi" w:cstheme="majorHAnsi"/>
        </w:rPr>
        <w:t xml:space="preserve"> of each forward and reverse index primer (Nextera XT Kit), and 10 </w:t>
      </w:r>
      <w:r w:rsidRPr="00D32DCC">
        <w:rPr>
          <w:rFonts w:asciiTheme="majorHAnsi" w:hAnsiTheme="majorHAnsi" w:cstheme="majorHAnsi"/>
          <w:color w:val="262626"/>
        </w:rPr>
        <w:t>µ</w:t>
      </w:r>
      <w:r w:rsidRPr="00D32DCC">
        <w:rPr>
          <w:rFonts w:asciiTheme="majorHAnsi" w:hAnsiTheme="majorHAnsi" w:cstheme="majorHAnsi"/>
          <w:lang w:val="en-GB"/>
        </w:rPr>
        <w:t>l</w:t>
      </w:r>
      <w:r>
        <w:rPr>
          <w:rFonts w:asciiTheme="majorHAnsi" w:hAnsiTheme="majorHAnsi" w:cstheme="majorHAnsi"/>
          <w:lang w:val="en-GB"/>
        </w:rPr>
        <w:t xml:space="preserve"> </w:t>
      </w:r>
      <w:r w:rsidRPr="00D32DCC">
        <w:rPr>
          <w:rFonts w:asciiTheme="majorHAnsi" w:hAnsiTheme="majorHAnsi" w:cstheme="majorHAnsi"/>
          <w:szCs w:val="26"/>
          <w:lang w:val="en-GB"/>
        </w:rPr>
        <w:t xml:space="preserve">RT-PCR grade water (Thermo Fisher Scientific, USA) for a total volume of </w:t>
      </w:r>
      <w:r>
        <w:rPr>
          <w:rFonts w:asciiTheme="majorHAnsi" w:hAnsiTheme="majorHAnsi" w:cstheme="majorHAnsi"/>
          <w:szCs w:val="26"/>
          <w:lang w:val="en-GB"/>
        </w:rPr>
        <w:t>50</w:t>
      </w:r>
      <w:r w:rsidRPr="00D32DCC">
        <w:rPr>
          <w:rFonts w:asciiTheme="majorHAnsi" w:hAnsiTheme="majorHAnsi" w:cstheme="majorHAnsi"/>
          <w:color w:val="262626"/>
        </w:rPr>
        <w:t xml:space="preserve"> µ</w:t>
      </w:r>
      <w:r w:rsidRPr="00D32DCC">
        <w:rPr>
          <w:rFonts w:asciiTheme="majorHAnsi" w:hAnsiTheme="majorHAnsi" w:cstheme="majorHAnsi"/>
          <w:lang w:val="en-GB"/>
        </w:rPr>
        <w:t>l.</w:t>
      </w:r>
      <w:r>
        <w:rPr>
          <w:rFonts w:asciiTheme="majorHAnsi" w:hAnsiTheme="majorHAnsi" w:cstheme="majorHAnsi"/>
          <w:lang w:val="en-GB"/>
        </w:rPr>
        <w:t xml:space="preserve"> PCR cycling was performed using the following program: an initial cycle of </w:t>
      </w:r>
      <w:r w:rsidRPr="00D32DCC">
        <w:rPr>
          <w:rFonts w:asciiTheme="majorHAnsi" w:hAnsiTheme="majorHAnsi" w:cstheme="majorHAnsi"/>
          <w:szCs w:val="26"/>
          <w:lang w:val="en-GB"/>
        </w:rPr>
        <w:t xml:space="preserve">95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 minutes, followed by </w:t>
      </w:r>
      <w:r>
        <w:rPr>
          <w:rFonts w:asciiTheme="majorHAnsi" w:hAnsiTheme="majorHAnsi" w:cstheme="majorHAnsi"/>
          <w:szCs w:val="26"/>
          <w:lang w:val="en-GB"/>
        </w:rPr>
        <w:t>8</w:t>
      </w:r>
      <w:r w:rsidRPr="00D32DCC">
        <w:rPr>
          <w:rFonts w:asciiTheme="majorHAnsi" w:hAnsiTheme="majorHAnsi" w:cstheme="majorHAnsi"/>
          <w:szCs w:val="26"/>
          <w:lang w:val="en-GB"/>
        </w:rPr>
        <w:t xml:space="preserve"> cycles of 95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5</w:t>
      </w:r>
      <w:r>
        <w:rPr>
          <w:rFonts w:asciiTheme="majorHAnsi" w:hAnsiTheme="majorHAnsi" w:cstheme="majorHAnsi"/>
          <w:szCs w:val="26"/>
          <w:lang w:val="en-GB"/>
        </w:rPr>
        <w:t>5</w:t>
      </w:r>
      <w:r w:rsidRPr="00D32DCC">
        <w:rPr>
          <w:rFonts w:asciiTheme="majorHAnsi" w:hAnsiTheme="majorHAnsi" w:cstheme="majorHAnsi"/>
          <w:szCs w:val="26"/>
          <w:lang w:val="en-GB"/>
        </w:rPr>
        <w:t xml:space="preserve">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30 seconds, and a final extension cycle at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5 minutes.</w:t>
      </w:r>
    </w:p>
    <w:p w:rsidR="00BB51F6" w:rsidRDefault="00BB51F6" w:rsidP="00BB51F6">
      <w:pPr>
        <w:spacing w:line="360" w:lineRule="auto"/>
        <w:rPr>
          <w:rFonts w:asciiTheme="majorHAnsi" w:hAnsiTheme="majorHAnsi" w:cstheme="majorHAnsi"/>
        </w:rPr>
      </w:pPr>
    </w:p>
    <w:p w:rsidR="00BB51F6"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Amplicon libraries were quantified using the Qubit dsDNA HS Assay Kit (Life Technologies, USA), normalized to 4 nM and pooled together. </w:t>
      </w:r>
      <w:r>
        <w:rPr>
          <w:rFonts w:asciiTheme="majorHAnsi" w:hAnsiTheme="majorHAnsi" w:cstheme="majorHAnsi"/>
        </w:rPr>
        <w:t>The p</w:t>
      </w:r>
      <w:r w:rsidRPr="00D32DCC">
        <w:rPr>
          <w:rFonts w:asciiTheme="majorHAnsi" w:hAnsiTheme="majorHAnsi" w:cstheme="majorHAnsi"/>
        </w:rPr>
        <w:t>ooled librar</w:t>
      </w:r>
      <w:r>
        <w:rPr>
          <w:rFonts w:asciiTheme="majorHAnsi" w:hAnsiTheme="majorHAnsi" w:cstheme="majorHAnsi"/>
        </w:rPr>
        <w:t xml:space="preserve">y </w:t>
      </w:r>
      <w:r w:rsidRPr="00D32DCC">
        <w:rPr>
          <w:rFonts w:asciiTheme="majorHAnsi" w:hAnsiTheme="majorHAnsi" w:cstheme="majorHAnsi"/>
        </w:rPr>
        <w:t>w</w:t>
      </w:r>
      <w:r>
        <w:rPr>
          <w:rFonts w:asciiTheme="majorHAnsi" w:hAnsiTheme="majorHAnsi" w:cstheme="majorHAnsi"/>
        </w:rPr>
        <w:t>as denatured with NaOH and diluted to 10 pM. The library was then</w:t>
      </w:r>
      <w:r w:rsidRPr="00D32DCC">
        <w:rPr>
          <w:rFonts w:asciiTheme="majorHAnsi" w:hAnsiTheme="majorHAnsi" w:cstheme="majorHAnsi"/>
        </w:rPr>
        <w:t xml:space="preserve"> spiked</w:t>
      </w:r>
      <w:r>
        <w:rPr>
          <w:rFonts w:asciiTheme="majorHAnsi" w:hAnsiTheme="majorHAnsi" w:cstheme="majorHAnsi"/>
        </w:rPr>
        <w:t xml:space="preserve"> (15%) </w:t>
      </w:r>
      <w:r w:rsidRPr="00D32DCC">
        <w:rPr>
          <w:rFonts w:asciiTheme="majorHAnsi" w:hAnsiTheme="majorHAnsi" w:cstheme="majorHAnsi"/>
        </w:rPr>
        <w:t>with</w:t>
      </w:r>
      <w:r>
        <w:rPr>
          <w:rFonts w:asciiTheme="majorHAnsi" w:hAnsiTheme="majorHAnsi" w:cstheme="majorHAnsi"/>
        </w:rPr>
        <w:t xml:space="preserve"> </w:t>
      </w:r>
      <w:r w:rsidRPr="00D32DCC">
        <w:rPr>
          <w:rFonts w:asciiTheme="majorHAnsi" w:hAnsiTheme="majorHAnsi" w:cstheme="majorHAnsi"/>
        </w:rPr>
        <w:t>PhiX</w:t>
      </w:r>
      <w:r>
        <w:rPr>
          <w:rFonts w:asciiTheme="majorHAnsi" w:hAnsiTheme="majorHAnsi" w:cstheme="majorHAnsi"/>
        </w:rPr>
        <w:t xml:space="preserve"> from the PhiX Control Kit (Illumina). </w:t>
      </w:r>
      <w:r w:rsidRPr="00D32DCC">
        <w:rPr>
          <w:rFonts w:asciiTheme="majorHAnsi" w:hAnsiTheme="majorHAnsi" w:cstheme="majorHAnsi"/>
        </w:rPr>
        <w:t>Paired-end sequencing was performed using 2x300 cycles (setup 1)</w:t>
      </w:r>
      <w:r>
        <w:rPr>
          <w:rFonts w:asciiTheme="majorHAnsi" w:hAnsiTheme="majorHAnsi" w:cstheme="majorHAnsi"/>
        </w:rPr>
        <w:t>/</w:t>
      </w:r>
      <w:r w:rsidRPr="00D32DCC">
        <w:rPr>
          <w:rFonts w:asciiTheme="majorHAnsi" w:hAnsiTheme="majorHAnsi" w:cstheme="majorHAnsi"/>
        </w:rPr>
        <w:t>2x</w:t>
      </w:r>
      <w:r>
        <w:rPr>
          <w:rFonts w:asciiTheme="majorHAnsi" w:hAnsiTheme="majorHAnsi" w:cstheme="majorHAnsi"/>
        </w:rPr>
        <w:t>275</w:t>
      </w:r>
      <w:r w:rsidRPr="00D32DCC">
        <w:rPr>
          <w:rFonts w:asciiTheme="majorHAnsi" w:hAnsiTheme="majorHAnsi" w:cstheme="majorHAnsi"/>
        </w:rPr>
        <w:t xml:space="preserve"> cycles (setup 2) on the Illumina MiSeq</w:t>
      </w:r>
      <w:r>
        <w:rPr>
          <w:rFonts w:asciiTheme="majorHAnsi" w:hAnsiTheme="majorHAnsi" w:cstheme="majorHAnsi"/>
        </w:rPr>
        <w:t xml:space="preserve"> using reagents from the MiSeq reagent kit v3 (Illumina).</w:t>
      </w:r>
      <w:r w:rsidRPr="00D32DCC">
        <w:rPr>
          <w:rFonts w:asciiTheme="majorHAnsi" w:hAnsiTheme="majorHAnsi" w:cstheme="majorHAnsi"/>
        </w:rPr>
        <w:t xml:space="preserve"> </w:t>
      </w:r>
    </w:p>
    <w:p w:rsidR="00BB51F6" w:rsidRPr="00D32DCC" w:rsidRDefault="00BB51F6" w:rsidP="00BB51F6">
      <w:pPr>
        <w:spacing w:line="360" w:lineRule="auto"/>
        <w:rPr>
          <w:rFonts w:asciiTheme="majorHAnsi" w:hAnsiTheme="majorHAnsi" w:cstheme="majorHAnsi"/>
        </w:rPr>
      </w:pPr>
    </w:p>
    <w:p w:rsidR="00BB51F6" w:rsidRPr="007F75B2" w:rsidRDefault="00BB51F6" w:rsidP="00BB51F6">
      <w:pPr>
        <w:widowControl w:val="0"/>
        <w:autoSpaceDE w:val="0"/>
        <w:autoSpaceDN w:val="0"/>
        <w:adjustRightInd w:val="0"/>
        <w:spacing w:after="240" w:line="360" w:lineRule="auto"/>
        <w:rPr>
          <w:rFonts w:asciiTheme="majorHAnsi" w:hAnsiTheme="majorHAnsi" w:cstheme="majorHAnsi"/>
          <w:u w:val="single"/>
        </w:rPr>
      </w:pPr>
      <w:r w:rsidRPr="00D32DCC">
        <w:rPr>
          <w:rFonts w:asciiTheme="majorHAnsi" w:hAnsiTheme="majorHAnsi" w:cstheme="majorHAnsi"/>
          <w:u w:val="single"/>
        </w:rPr>
        <w:t>Setup 3</w:t>
      </w:r>
      <w:r>
        <w:rPr>
          <w:rFonts w:asciiTheme="majorHAnsi" w:hAnsiTheme="majorHAnsi" w:cstheme="majorHAnsi"/>
          <w:u w:val="single"/>
        </w:rPr>
        <w:t xml:space="preserve"> </w:t>
      </w:r>
    </w:p>
    <w:p w:rsidR="00BB51F6"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Setup 3 was based on the 1-step PCR protocol described by Kozich </w:t>
      </w:r>
      <w:r w:rsidRPr="00D32DCC">
        <w:rPr>
          <w:rFonts w:asciiTheme="majorHAnsi" w:hAnsiTheme="majorHAnsi" w:cstheme="majorHAnsi"/>
          <w:i/>
          <w:iCs/>
        </w:rPr>
        <w:t>et al</w:t>
      </w:r>
      <w:r w:rsidRPr="00D32DCC">
        <w:rPr>
          <w:rFonts w:asciiTheme="majorHAnsi" w:hAnsiTheme="majorHAnsi" w:cstheme="majorHAnsi"/>
        </w:rPr>
        <w:t xml:space="preserve">. </w:t>
      </w:r>
      <w:r w:rsidRPr="00D32DCC">
        <w:rPr>
          <w:rFonts w:asciiTheme="majorHAnsi" w:hAnsiTheme="majorHAnsi" w:cstheme="majorHAnsi"/>
        </w:rPr>
        <w:fldChar w:fldCharType="begin"/>
      </w:r>
      <w:r w:rsidRPr="00D32DCC">
        <w:rPr>
          <w:rFonts w:asciiTheme="majorHAnsi" w:hAnsiTheme="majorHAnsi" w:cstheme="majorHAnsi"/>
        </w:rPr>
        <w:instrText xml:space="preserve"> ADDIN ZOTERO_ITEM CSL_CITATION {"citationID":"qVzpKVJY","properties":{"formattedCitation":"[3]","plainCitation":"[3]","noteIndex":0},"citationItems":[{"id":322,"uris":["http://zotero.org/users/local/l6qqj8sZ/items/SK75DX49"],"uri":["http://zotero.org/users/local/l6qqj8sZ/items/SK75DX49"],"itemData":{"id":322,"type":"article-journal","abstract":"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cost.","container-title":"Applied and Environmental Microbiology","DOI":"10.1128/AEM.01043-13","ISSN":"0099-2240","issue":"17","journalAbbreviation":"Appl Environ Microbiol","note":"PMID: 23793624\nPMCID: PMC3753973","page":"5112-5120","source":"PubMed Central","title":"Development of a Dual-Index Sequencing Strategy and Curation Pipeline for Analyzing Amplicon Sequence Data on the MiSeq Illumina Sequencing Platform","volume":"79","author":[{"family":"Kozich","given":"James J."},{"family":"Westcott","given":"Sarah L."},{"family":"Baxter","given":"Nielson T."},{"family":"Highlander","given":"Sarah K."},{"family":"Schloss","given":"Patrick D."}],"issued":{"date-parts":[["2013",9]]}}}],"schema":"https://github.com/citation-style-language/schema/raw/master/csl-citation.json"} </w:instrText>
      </w:r>
      <w:r w:rsidRPr="00D32DCC">
        <w:rPr>
          <w:rFonts w:asciiTheme="majorHAnsi" w:hAnsiTheme="majorHAnsi" w:cstheme="majorHAnsi"/>
        </w:rPr>
        <w:fldChar w:fldCharType="separate"/>
      </w:r>
      <w:r w:rsidRPr="00D32DCC">
        <w:rPr>
          <w:rFonts w:asciiTheme="majorHAnsi" w:hAnsiTheme="majorHAnsi" w:cstheme="majorHAnsi"/>
          <w:noProof/>
        </w:rPr>
        <w:t>[3]</w:t>
      </w:r>
      <w:r w:rsidRPr="00D32DCC">
        <w:rPr>
          <w:rFonts w:asciiTheme="majorHAnsi" w:hAnsiTheme="majorHAnsi" w:cstheme="majorHAnsi"/>
        </w:rPr>
        <w:fldChar w:fldCharType="end"/>
      </w:r>
      <w:r w:rsidRPr="00D32DCC">
        <w:rPr>
          <w:rFonts w:asciiTheme="majorHAnsi" w:hAnsiTheme="majorHAnsi" w:cstheme="majorHAnsi"/>
        </w:rPr>
        <w:t>. The protocol consists of just one PCR step using primers that contain gene targeting sequences</w:t>
      </w:r>
      <w:r>
        <w:rPr>
          <w:rFonts w:asciiTheme="majorHAnsi" w:hAnsiTheme="majorHAnsi" w:cstheme="majorHAnsi"/>
        </w:rPr>
        <w:t xml:space="preserve">, </w:t>
      </w:r>
      <w:r w:rsidRPr="00D32DCC">
        <w:rPr>
          <w:rFonts w:asciiTheme="majorHAnsi" w:hAnsiTheme="majorHAnsi" w:cstheme="majorHAnsi"/>
        </w:rPr>
        <w:t>index sequences</w:t>
      </w:r>
      <w:r>
        <w:rPr>
          <w:rFonts w:asciiTheme="majorHAnsi" w:hAnsiTheme="majorHAnsi" w:cstheme="majorHAnsi"/>
        </w:rPr>
        <w:t xml:space="preserve"> and illumina sequencing adapter sequences</w:t>
      </w:r>
      <w:r w:rsidRPr="00D32DCC">
        <w:rPr>
          <w:rFonts w:asciiTheme="majorHAnsi" w:hAnsiTheme="majorHAnsi" w:cstheme="majorHAnsi"/>
        </w:rPr>
        <w:t xml:space="preserve">. </w:t>
      </w:r>
    </w:p>
    <w:p w:rsidR="00BB51F6" w:rsidRDefault="00BB51F6" w:rsidP="00BB51F6">
      <w:pPr>
        <w:spacing w:line="360" w:lineRule="auto"/>
        <w:rPr>
          <w:rFonts w:asciiTheme="majorHAnsi" w:hAnsiTheme="majorHAnsi" w:cstheme="majorHAnsi"/>
        </w:rPr>
      </w:pPr>
    </w:p>
    <w:p w:rsidR="00BB51F6" w:rsidRDefault="00BB51F6" w:rsidP="00BB51F6">
      <w:pPr>
        <w:spacing w:line="360" w:lineRule="auto"/>
        <w:rPr>
          <w:rFonts w:asciiTheme="majorHAnsi" w:hAnsiTheme="majorHAnsi" w:cstheme="majorHAnsi"/>
          <w:color w:val="000000" w:themeColor="text1"/>
        </w:rPr>
      </w:pPr>
      <w:r>
        <w:rPr>
          <w:rFonts w:asciiTheme="majorHAnsi" w:hAnsiTheme="majorHAnsi" w:cstheme="majorHAnsi"/>
        </w:rPr>
        <w:t>The</w:t>
      </w:r>
      <w:r w:rsidRPr="00D32DCC">
        <w:rPr>
          <w:rFonts w:asciiTheme="majorHAnsi" w:hAnsiTheme="majorHAnsi" w:cstheme="majorHAnsi"/>
        </w:rPr>
        <w:t xml:space="preserve"> 16S rRNA gene V4 region</w:t>
      </w:r>
      <w:r>
        <w:rPr>
          <w:rFonts w:asciiTheme="majorHAnsi" w:hAnsiTheme="majorHAnsi" w:cstheme="majorHAnsi"/>
        </w:rPr>
        <w:t xml:space="preserve"> was targeted using primers </w:t>
      </w:r>
      <w:r w:rsidRPr="00D32DCC">
        <w:rPr>
          <w:rFonts w:asciiTheme="majorHAnsi" w:hAnsiTheme="majorHAnsi" w:cstheme="majorHAnsi"/>
          <w:color w:val="000000" w:themeColor="text1"/>
          <w:sz w:val="22"/>
          <w:szCs w:val="22"/>
        </w:rPr>
        <w:t>5´-AATGATACGGCGACCACCGAGATCTA</w:t>
      </w:r>
      <w:r>
        <w:rPr>
          <w:rFonts w:asciiTheme="majorHAnsi" w:hAnsiTheme="majorHAnsi" w:cstheme="majorHAnsi"/>
          <w:color w:val="000000" w:themeColor="text1"/>
          <w:sz w:val="22"/>
          <w:szCs w:val="22"/>
        </w:rPr>
        <w:t xml:space="preserve"> </w:t>
      </w:r>
      <w:r w:rsidRPr="00D32DCC">
        <w:rPr>
          <w:rFonts w:asciiTheme="majorHAnsi" w:hAnsiTheme="majorHAnsi" w:cstheme="majorHAnsi"/>
          <w:color w:val="000000" w:themeColor="text1"/>
          <w:sz w:val="22"/>
          <w:szCs w:val="22"/>
        </w:rPr>
        <w:t>CACNNNNNNNNTATGGTAATTGT</w:t>
      </w:r>
      <w:r w:rsidRPr="00D32DCC">
        <w:rPr>
          <w:rFonts w:asciiTheme="majorHAnsi" w:hAnsiTheme="majorHAnsi" w:cstheme="majorHAnsi"/>
          <w:color w:val="000000" w:themeColor="text1"/>
          <w:sz w:val="22"/>
          <w:szCs w:val="22"/>
          <w:u w:val="single"/>
        </w:rPr>
        <w:t>GTGCCAGCMGCCGCGGTAA-</w:t>
      </w:r>
      <w:r w:rsidRPr="00D32DCC">
        <w:rPr>
          <w:rFonts w:asciiTheme="majorHAnsi" w:hAnsiTheme="majorHAnsi" w:cstheme="majorHAnsi"/>
          <w:color w:val="000000" w:themeColor="text1"/>
          <w:sz w:val="22"/>
          <w:szCs w:val="22"/>
        </w:rPr>
        <w:t xml:space="preserve">3´ </w:t>
      </w:r>
      <w:r w:rsidRPr="00D32DCC">
        <w:rPr>
          <w:rFonts w:asciiTheme="majorHAnsi" w:hAnsiTheme="majorHAnsi" w:cstheme="majorHAnsi"/>
          <w:color w:val="000000" w:themeColor="text1"/>
        </w:rPr>
        <w:t>and</w:t>
      </w:r>
      <w:r w:rsidRPr="00D32DCC">
        <w:rPr>
          <w:rFonts w:asciiTheme="majorHAnsi" w:hAnsiTheme="majorHAnsi" w:cstheme="majorHAnsi"/>
          <w:color w:val="000000" w:themeColor="text1"/>
          <w:sz w:val="22"/>
          <w:szCs w:val="22"/>
        </w:rPr>
        <w:t xml:space="preserve"> 5-´CAAGCAGAAGACGGCATACGA</w:t>
      </w:r>
      <w:r>
        <w:rPr>
          <w:rFonts w:asciiTheme="majorHAnsi" w:hAnsiTheme="majorHAnsi" w:cstheme="majorHAnsi"/>
          <w:color w:val="000000" w:themeColor="text1"/>
          <w:sz w:val="22"/>
          <w:szCs w:val="22"/>
        </w:rPr>
        <w:t xml:space="preserve"> </w:t>
      </w:r>
      <w:r w:rsidRPr="00D32DCC">
        <w:rPr>
          <w:rFonts w:asciiTheme="majorHAnsi" w:hAnsiTheme="majorHAnsi" w:cstheme="majorHAnsi"/>
          <w:color w:val="000000" w:themeColor="text1"/>
          <w:sz w:val="22"/>
          <w:szCs w:val="22"/>
        </w:rPr>
        <w:t>GATNNNNNNNNAGTCAGTCAGCC</w:t>
      </w:r>
      <w:r w:rsidRPr="00D32DCC">
        <w:rPr>
          <w:rFonts w:asciiTheme="majorHAnsi" w:hAnsiTheme="majorHAnsi" w:cstheme="majorHAnsi"/>
          <w:color w:val="000000" w:themeColor="text1"/>
          <w:sz w:val="22"/>
          <w:szCs w:val="22"/>
          <w:u w:val="single"/>
        </w:rPr>
        <w:t>GGACTACHVGGGTWTCTAAT-</w:t>
      </w:r>
      <w:r w:rsidRPr="00D32DCC">
        <w:rPr>
          <w:rFonts w:asciiTheme="majorHAnsi" w:hAnsiTheme="majorHAnsi" w:cstheme="majorHAnsi"/>
          <w:color w:val="000000" w:themeColor="text1"/>
          <w:sz w:val="22"/>
          <w:szCs w:val="22"/>
        </w:rPr>
        <w:t>3</w:t>
      </w:r>
      <w:r w:rsidRPr="00FB1D13">
        <w:rPr>
          <w:rFonts w:asciiTheme="majorHAnsi" w:hAnsiTheme="majorHAnsi" w:cstheme="majorHAnsi"/>
          <w:color w:val="000000" w:themeColor="text1"/>
          <w:sz w:val="22"/>
          <w:szCs w:val="22"/>
        </w:rPr>
        <w:t>´. As detailed in Kozich</w:t>
      </w:r>
      <w:r w:rsidRPr="009E594E">
        <w:rPr>
          <w:rFonts w:asciiTheme="majorHAnsi" w:hAnsiTheme="majorHAnsi" w:cstheme="majorHAnsi"/>
          <w:i/>
          <w:iCs/>
          <w:color w:val="000000" w:themeColor="text1"/>
          <w:sz w:val="22"/>
          <w:szCs w:val="22"/>
        </w:rPr>
        <w:t xml:space="preserve"> et a</w:t>
      </w:r>
      <w:r>
        <w:rPr>
          <w:rFonts w:asciiTheme="majorHAnsi" w:hAnsiTheme="majorHAnsi" w:cstheme="majorHAnsi"/>
          <w:i/>
          <w:iCs/>
          <w:color w:val="000000" w:themeColor="text1"/>
          <w:sz w:val="22"/>
          <w:szCs w:val="22"/>
        </w:rPr>
        <w:t>l</w:t>
      </w:r>
      <w:r w:rsidRPr="009E594E">
        <w:rPr>
          <w:rFonts w:asciiTheme="majorHAnsi" w:hAnsiTheme="majorHAnsi" w:cstheme="majorHAnsi"/>
          <w:i/>
          <w:iCs/>
          <w:color w:val="000000" w:themeColor="text1"/>
          <w:sz w:val="22"/>
          <w:szCs w:val="22"/>
        </w:rPr>
        <w:t>.</w:t>
      </w:r>
      <w:r>
        <w:rPr>
          <w:rFonts w:asciiTheme="majorHAnsi" w:hAnsiTheme="majorHAnsi" w:cstheme="majorHAnsi"/>
          <w:i/>
          <w:iCs/>
          <w:color w:val="000000" w:themeColor="text1"/>
          <w:sz w:val="22"/>
          <w:szCs w:val="22"/>
        </w:rPr>
        <w:t xml:space="preserve"> </w:t>
      </w:r>
      <w:r>
        <w:rPr>
          <w:rFonts w:asciiTheme="majorHAnsi" w:hAnsiTheme="majorHAnsi" w:cstheme="majorHAnsi"/>
          <w:color w:val="000000" w:themeColor="text1"/>
          <w:sz w:val="22"/>
          <w:szCs w:val="22"/>
        </w:rPr>
        <w:fldChar w:fldCharType="begin"/>
      </w:r>
      <w:r>
        <w:rPr>
          <w:rFonts w:asciiTheme="majorHAnsi" w:hAnsiTheme="majorHAnsi" w:cstheme="majorHAnsi"/>
          <w:color w:val="000000" w:themeColor="text1"/>
          <w:sz w:val="22"/>
          <w:szCs w:val="22"/>
        </w:rPr>
        <w:instrText xml:space="preserve"> ADDIN ZOTERO_ITEM CSL_CITATION {"citationID":"1QPkjncI","properties":{"formattedCitation":"[3]","plainCitation":"[3]","noteIndex":0},"citationItems":[{"id":322,"uris":["http://zotero.org/users/local/l6qqj8sZ/items/SK75DX49"],"uri":["http://zotero.org/users/local/l6qqj8sZ/items/SK75DX49"],"itemData":{"id":322,"type":"article-journal","abstract":"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cost.","container-title":"Applied and Environmental Microbiology","DOI":"10.1128/AEM.01043-13","ISSN":"0099-2240","issue":"17","journalAbbreviation":"Appl Environ Microbiol","note":"PMID: 23793624\nPMCID: PMC3753973","page":"5112-5120","source":"PubMed Central","title":"Development of a Dual-Index Sequencing Strategy and Curation Pipeline for Analyzing Amplicon Sequence Data on the MiSeq Illumina Sequencing Platform","volume":"79","author":[{"family":"Kozich","given":"James J."},{"family":"Westcott","given":"Sarah L."},{"family":"Baxter","given":"Nielson T."},{"family":"Highlander","given":"Sarah K."},{"family":"Schloss","given":"Patrick D."}],"issued":{"date-parts":[["2013",9]]}}}],"schema":"https://github.com/citation-style-language/schema/raw/master/csl-citation.json"} </w:instrText>
      </w:r>
      <w:r>
        <w:rPr>
          <w:rFonts w:asciiTheme="majorHAnsi" w:hAnsiTheme="majorHAnsi" w:cstheme="majorHAnsi"/>
          <w:color w:val="000000" w:themeColor="text1"/>
          <w:sz w:val="22"/>
          <w:szCs w:val="22"/>
        </w:rPr>
        <w:fldChar w:fldCharType="separate"/>
      </w:r>
      <w:r>
        <w:rPr>
          <w:rFonts w:asciiTheme="majorHAnsi" w:hAnsiTheme="majorHAnsi" w:cstheme="majorHAnsi"/>
          <w:noProof/>
          <w:color w:val="000000" w:themeColor="text1"/>
          <w:sz w:val="22"/>
          <w:szCs w:val="22"/>
        </w:rPr>
        <w:t>[3]</w:t>
      </w:r>
      <w:r>
        <w:rPr>
          <w:rFonts w:asciiTheme="majorHAnsi" w:hAnsiTheme="majorHAnsi" w:cstheme="majorHAnsi"/>
          <w:color w:val="000000" w:themeColor="text1"/>
          <w:sz w:val="22"/>
          <w:szCs w:val="22"/>
        </w:rPr>
        <w:fldChar w:fldCharType="end"/>
      </w:r>
      <w:r w:rsidRPr="00FB1D13">
        <w:rPr>
          <w:rFonts w:asciiTheme="majorHAnsi" w:hAnsiTheme="majorHAnsi" w:cstheme="majorHAnsi"/>
          <w:color w:val="000000" w:themeColor="text1"/>
          <w:sz w:val="22"/>
          <w:szCs w:val="22"/>
        </w:rPr>
        <w:t xml:space="preserve">, the primers consist of </w:t>
      </w:r>
      <w:r>
        <w:rPr>
          <w:rFonts w:asciiTheme="majorHAnsi" w:hAnsiTheme="majorHAnsi" w:cstheme="majorHAnsi"/>
          <w:color w:val="000000" w:themeColor="text1"/>
          <w:sz w:val="22"/>
          <w:szCs w:val="22"/>
        </w:rPr>
        <w:t>different</w:t>
      </w:r>
      <w:r w:rsidRPr="00FB1D13">
        <w:rPr>
          <w:rFonts w:asciiTheme="majorHAnsi" w:hAnsiTheme="majorHAnsi" w:cstheme="majorHAnsi"/>
          <w:color w:val="000000" w:themeColor="text1"/>
          <w:sz w:val="22"/>
          <w:szCs w:val="22"/>
        </w:rPr>
        <w:t xml:space="preserve"> regions including</w:t>
      </w:r>
      <w:r>
        <w:rPr>
          <w:rFonts w:asciiTheme="majorHAnsi" w:hAnsiTheme="majorHAnsi" w:cstheme="majorHAnsi"/>
          <w:color w:val="000000" w:themeColor="text1"/>
          <w:sz w:val="22"/>
          <w:szCs w:val="22"/>
        </w:rPr>
        <w:t>:</w:t>
      </w:r>
      <w:r w:rsidRPr="00FB1D13">
        <w:rPr>
          <w:rFonts w:asciiTheme="majorHAnsi" w:hAnsiTheme="majorHAnsi" w:cstheme="majorHAnsi"/>
          <w:color w:val="000000" w:themeColor="text1"/>
          <w:sz w:val="22"/>
          <w:szCs w:val="22"/>
        </w:rPr>
        <w:t xml:space="preserve"> </w:t>
      </w:r>
      <w:r w:rsidRPr="00FB1D13">
        <w:rPr>
          <w:rFonts w:asciiTheme="majorHAnsi" w:hAnsiTheme="majorHAnsi" w:cstheme="majorHAnsi"/>
          <w:szCs w:val="26"/>
        </w:rPr>
        <w:t>the Illumina sequencing adapter sequence, index sequence (NNNNNNNN), pad and linker sequence (reading 5´-3´).</w:t>
      </w:r>
      <w:r>
        <w:rPr>
          <w:szCs w:val="26"/>
        </w:rPr>
        <w:t xml:space="preserve"> </w:t>
      </w:r>
      <w:r w:rsidRPr="001A229B">
        <w:rPr>
          <w:rFonts w:asciiTheme="majorHAnsi" w:hAnsiTheme="majorHAnsi" w:cstheme="majorHAnsi"/>
          <w:szCs w:val="26"/>
        </w:rPr>
        <w:t>The gene specific sequences (</w:t>
      </w:r>
      <w:r>
        <w:rPr>
          <w:rFonts w:asciiTheme="majorHAnsi" w:hAnsiTheme="majorHAnsi" w:cstheme="majorHAnsi"/>
          <w:szCs w:val="26"/>
        </w:rPr>
        <w:t xml:space="preserve">underlined) </w:t>
      </w:r>
      <w:r w:rsidRPr="001A229B">
        <w:rPr>
          <w:rFonts w:asciiTheme="majorHAnsi" w:hAnsiTheme="majorHAnsi" w:cstheme="majorHAnsi"/>
          <w:szCs w:val="26"/>
        </w:rPr>
        <w:t xml:space="preserve">are the same </w:t>
      </w:r>
      <w:r>
        <w:rPr>
          <w:rFonts w:asciiTheme="majorHAnsi" w:hAnsiTheme="majorHAnsi" w:cstheme="majorHAnsi"/>
          <w:szCs w:val="26"/>
        </w:rPr>
        <w:t xml:space="preserve">as </w:t>
      </w:r>
      <w:r w:rsidRPr="001A229B">
        <w:rPr>
          <w:rFonts w:asciiTheme="majorHAnsi" w:hAnsiTheme="majorHAnsi" w:cstheme="majorHAnsi"/>
          <w:szCs w:val="26"/>
        </w:rPr>
        <w:t>for the primers used in the sequencing setup 2.</w:t>
      </w:r>
      <w:r>
        <w:rPr>
          <w:rFonts w:asciiTheme="majorHAnsi" w:hAnsiTheme="majorHAnsi" w:cstheme="majorHAnsi"/>
          <w:color w:val="000000" w:themeColor="text1"/>
        </w:rPr>
        <w:t xml:space="preserve"> </w:t>
      </w:r>
      <w:r w:rsidRPr="00D32DCC">
        <w:rPr>
          <w:rFonts w:asciiTheme="majorHAnsi" w:hAnsiTheme="majorHAnsi" w:cstheme="majorHAnsi"/>
        </w:rPr>
        <w:t xml:space="preserve">Each reaction consisted </w:t>
      </w:r>
      <w:r w:rsidRPr="00D32DCC">
        <w:rPr>
          <w:rFonts w:asciiTheme="majorHAnsi" w:hAnsiTheme="majorHAnsi" w:cstheme="majorHAnsi"/>
          <w:szCs w:val="26"/>
        </w:rPr>
        <w:t xml:space="preserve">of </w:t>
      </w:r>
      <w:r w:rsidRPr="00D32DCC">
        <w:rPr>
          <w:rFonts w:asciiTheme="majorHAnsi" w:hAnsiTheme="majorHAnsi" w:cstheme="majorHAnsi"/>
          <w:lang w:val="en-GB"/>
        </w:rPr>
        <w:t xml:space="preserve">5 </w:t>
      </w:r>
      <w:r w:rsidRPr="00D32DCC">
        <w:rPr>
          <w:rFonts w:asciiTheme="majorHAnsi" w:hAnsiTheme="majorHAnsi" w:cstheme="majorHAnsi"/>
          <w:color w:val="262626"/>
        </w:rPr>
        <w:t>µl sample,</w:t>
      </w:r>
      <w:r w:rsidRPr="00D32DCC">
        <w:rPr>
          <w:rFonts w:asciiTheme="majorHAnsi" w:hAnsiTheme="majorHAnsi" w:cstheme="majorHAnsi"/>
          <w:szCs w:val="26"/>
        </w:rPr>
        <w:t xml:space="preserve"> </w:t>
      </w:r>
      <w:r>
        <w:rPr>
          <w:rFonts w:asciiTheme="majorHAnsi" w:hAnsiTheme="majorHAnsi" w:cstheme="majorHAnsi"/>
          <w:szCs w:val="26"/>
        </w:rPr>
        <w:t>18</w:t>
      </w:r>
      <w:r w:rsidRPr="00D32DCC">
        <w:rPr>
          <w:rFonts w:asciiTheme="majorHAnsi" w:hAnsiTheme="majorHAnsi" w:cstheme="majorHAnsi"/>
          <w:szCs w:val="26"/>
        </w:rPr>
        <w:t xml:space="preserve"> </w:t>
      </w:r>
      <w:r w:rsidRPr="00D32DCC">
        <w:rPr>
          <w:rFonts w:asciiTheme="majorHAnsi" w:hAnsiTheme="majorHAnsi" w:cstheme="majorHAnsi"/>
          <w:color w:val="262626"/>
        </w:rPr>
        <w:t>µ</w:t>
      </w:r>
      <w:r w:rsidRPr="00D32DCC">
        <w:rPr>
          <w:rFonts w:asciiTheme="majorHAnsi" w:hAnsiTheme="majorHAnsi" w:cstheme="majorHAnsi"/>
          <w:lang w:val="en-GB"/>
        </w:rPr>
        <w:t xml:space="preserve">l </w:t>
      </w:r>
      <w:r w:rsidRPr="00D32DCC">
        <w:rPr>
          <w:rFonts w:asciiTheme="majorHAnsi" w:hAnsiTheme="majorHAnsi" w:cstheme="majorHAnsi"/>
          <w:color w:val="000000" w:themeColor="text1"/>
        </w:rPr>
        <w:t>AccuPrime Pfx SuperMix</w:t>
      </w:r>
      <w:r>
        <w:rPr>
          <w:rFonts w:asciiTheme="majorHAnsi" w:hAnsiTheme="majorHAnsi" w:cstheme="majorHAnsi"/>
          <w:color w:val="000000" w:themeColor="text1"/>
        </w:rPr>
        <w:t xml:space="preserve"> </w:t>
      </w:r>
      <w:r w:rsidRPr="00D32DCC">
        <w:rPr>
          <w:rFonts w:asciiTheme="majorHAnsi" w:hAnsiTheme="majorHAnsi" w:cstheme="majorHAnsi"/>
          <w:color w:val="000000" w:themeColor="text1"/>
        </w:rPr>
        <w:t xml:space="preserve">(Thermo Fisher Scientific, USA) </w:t>
      </w:r>
      <w:r>
        <w:rPr>
          <w:rFonts w:asciiTheme="majorHAnsi" w:hAnsiTheme="majorHAnsi" w:cstheme="majorHAnsi"/>
          <w:lang w:val="en-GB"/>
        </w:rPr>
        <w:t>and 1</w:t>
      </w:r>
      <w:r w:rsidRPr="00D32DCC">
        <w:rPr>
          <w:rFonts w:asciiTheme="majorHAnsi" w:hAnsiTheme="majorHAnsi" w:cstheme="majorHAnsi"/>
          <w:lang w:val="en-GB"/>
        </w:rPr>
        <w:t xml:space="preserve"> </w:t>
      </w:r>
      <w:r w:rsidRPr="00D32DCC">
        <w:rPr>
          <w:rFonts w:asciiTheme="majorHAnsi" w:hAnsiTheme="majorHAnsi" w:cstheme="majorHAnsi"/>
          <w:color w:val="262626"/>
        </w:rPr>
        <w:t>µ</w:t>
      </w:r>
      <w:r w:rsidRPr="00D32DCC">
        <w:rPr>
          <w:rFonts w:asciiTheme="majorHAnsi" w:hAnsiTheme="majorHAnsi" w:cstheme="majorHAnsi"/>
          <w:lang w:val="en-GB"/>
        </w:rPr>
        <w:t xml:space="preserve">l of </w:t>
      </w:r>
      <w:r>
        <w:rPr>
          <w:rFonts w:asciiTheme="majorHAnsi" w:hAnsiTheme="majorHAnsi" w:cstheme="majorHAnsi"/>
          <w:lang w:val="en-GB"/>
        </w:rPr>
        <w:t xml:space="preserve">each primer </w:t>
      </w:r>
      <w:r w:rsidRPr="00D32DCC">
        <w:rPr>
          <w:rFonts w:asciiTheme="majorHAnsi" w:hAnsiTheme="majorHAnsi" w:cstheme="majorHAnsi"/>
          <w:lang w:val="en-GB"/>
        </w:rPr>
        <w:t>(</w:t>
      </w:r>
      <w:r>
        <w:rPr>
          <w:rFonts w:asciiTheme="majorHAnsi" w:hAnsiTheme="majorHAnsi" w:cstheme="majorHAnsi"/>
          <w:lang w:val="en-GB"/>
        </w:rPr>
        <w:t>10</w:t>
      </w:r>
      <w:r w:rsidRPr="00D32DCC">
        <w:rPr>
          <w:rFonts w:asciiTheme="majorHAnsi" w:hAnsiTheme="majorHAnsi" w:cstheme="majorHAnsi"/>
          <w:lang w:val="en-GB"/>
        </w:rPr>
        <w:t xml:space="preserve"> </w:t>
      </w:r>
      <w:r w:rsidRPr="00D32DCC">
        <w:rPr>
          <w:rFonts w:asciiTheme="majorHAnsi" w:hAnsiTheme="majorHAnsi" w:cstheme="majorHAnsi"/>
          <w:color w:val="262626"/>
        </w:rPr>
        <w:t>µ</w:t>
      </w:r>
      <w:r w:rsidRPr="00D32DCC">
        <w:rPr>
          <w:rFonts w:asciiTheme="majorHAnsi" w:hAnsiTheme="majorHAnsi" w:cstheme="majorHAnsi"/>
          <w:lang w:val="en-GB"/>
        </w:rPr>
        <w:t>M)</w:t>
      </w:r>
      <w:r>
        <w:rPr>
          <w:rFonts w:asciiTheme="majorHAnsi" w:hAnsiTheme="majorHAnsi" w:cstheme="majorHAnsi"/>
          <w:lang w:val="en-GB"/>
        </w:rPr>
        <w:t xml:space="preserve"> </w:t>
      </w:r>
      <w:r w:rsidRPr="00D32DCC">
        <w:rPr>
          <w:rFonts w:asciiTheme="majorHAnsi" w:hAnsiTheme="majorHAnsi" w:cstheme="majorHAnsi"/>
          <w:szCs w:val="26"/>
          <w:lang w:val="en-GB"/>
        </w:rPr>
        <w:t>for a total volume of 25</w:t>
      </w:r>
      <w:r w:rsidRPr="00D32DCC">
        <w:rPr>
          <w:rFonts w:asciiTheme="majorHAnsi" w:hAnsiTheme="majorHAnsi" w:cstheme="majorHAnsi"/>
          <w:color w:val="262626"/>
        </w:rPr>
        <w:t xml:space="preserve"> µ</w:t>
      </w:r>
      <w:r w:rsidRPr="00D32DCC">
        <w:rPr>
          <w:rFonts w:asciiTheme="majorHAnsi" w:hAnsiTheme="majorHAnsi" w:cstheme="majorHAnsi"/>
          <w:lang w:val="en-GB"/>
        </w:rPr>
        <w:t xml:space="preserve">l. </w:t>
      </w:r>
      <w:r w:rsidRPr="00D32DCC">
        <w:rPr>
          <w:rFonts w:asciiTheme="majorHAnsi" w:hAnsiTheme="majorHAnsi" w:cstheme="majorHAnsi"/>
          <w:szCs w:val="26"/>
          <w:lang w:val="en-GB"/>
        </w:rPr>
        <w:t xml:space="preserve">PCR cycling was performed using the following program: an initial cycle at 95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w:t>
      </w:r>
      <w:r>
        <w:rPr>
          <w:rFonts w:asciiTheme="majorHAnsi" w:hAnsiTheme="majorHAnsi" w:cstheme="majorHAnsi"/>
          <w:szCs w:val="26"/>
          <w:lang w:val="en-GB"/>
        </w:rPr>
        <w:t xml:space="preserve">2 </w:t>
      </w:r>
      <w:r w:rsidRPr="00D32DCC">
        <w:rPr>
          <w:rFonts w:asciiTheme="majorHAnsi" w:hAnsiTheme="majorHAnsi" w:cstheme="majorHAnsi"/>
          <w:szCs w:val="26"/>
          <w:lang w:val="en-GB"/>
        </w:rPr>
        <w:t xml:space="preserve">minutes, followed by 45 cycles of 95 </w:t>
      </w:r>
      <w:r w:rsidRPr="00D32DCC">
        <w:rPr>
          <w:rFonts w:asciiTheme="majorHAnsi" w:hAnsiTheme="majorHAnsi" w:cstheme="majorHAnsi"/>
          <w:lang w:val="en-GB"/>
        </w:rPr>
        <w:lastRenderedPageBreak/>
        <w:t>°C</w:t>
      </w:r>
      <w:r w:rsidRPr="00D32DCC">
        <w:rPr>
          <w:rFonts w:asciiTheme="majorHAnsi" w:hAnsiTheme="majorHAnsi" w:cstheme="majorHAnsi"/>
          <w:szCs w:val="26"/>
          <w:lang w:val="en-GB"/>
        </w:rPr>
        <w:t xml:space="preserve"> for </w:t>
      </w:r>
      <w:r>
        <w:rPr>
          <w:rFonts w:asciiTheme="majorHAnsi" w:hAnsiTheme="majorHAnsi" w:cstheme="majorHAnsi"/>
          <w:szCs w:val="26"/>
          <w:lang w:val="en-GB"/>
        </w:rPr>
        <w:t>2</w:t>
      </w:r>
      <w:r w:rsidRPr="00D32DCC">
        <w:rPr>
          <w:rFonts w:asciiTheme="majorHAnsi" w:hAnsiTheme="majorHAnsi" w:cstheme="majorHAnsi"/>
          <w:szCs w:val="26"/>
          <w:lang w:val="en-GB"/>
        </w:rPr>
        <w:t>0 seconds, 5</w:t>
      </w:r>
      <w:r>
        <w:rPr>
          <w:rFonts w:asciiTheme="majorHAnsi" w:hAnsiTheme="majorHAnsi" w:cstheme="majorHAnsi"/>
          <w:szCs w:val="26"/>
          <w:lang w:val="en-GB"/>
        </w:rPr>
        <w:t>5</w:t>
      </w:r>
      <w:r w:rsidRPr="00D32DCC">
        <w:rPr>
          <w:rFonts w:asciiTheme="majorHAnsi" w:hAnsiTheme="majorHAnsi" w:cstheme="majorHAnsi"/>
          <w:szCs w:val="26"/>
          <w:lang w:val="en-GB"/>
        </w:rPr>
        <w:t xml:space="preserve">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w:t>
      </w:r>
      <w:r>
        <w:rPr>
          <w:rFonts w:asciiTheme="majorHAnsi" w:hAnsiTheme="majorHAnsi" w:cstheme="majorHAnsi"/>
          <w:szCs w:val="26"/>
          <w:lang w:val="en-GB"/>
        </w:rPr>
        <w:t>15</w:t>
      </w:r>
      <w:r w:rsidRPr="00D32DCC">
        <w:rPr>
          <w:rFonts w:asciiTheme="majorHAnsi" w:hAnsiTheme="majorHAnsi" w:cstheme="majorHAnsi"/>
          <w:szCs w:val="26"/>
          <w:lang w:val="en-GB"/>
        </w:rPr>
        <w:t xml:space="preserve"> seconds,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w:t>
      </w:r>
      <w:r>
        <w:rPr>
          <w:rFonts w:asciiTheme="majorHAnsi" w:hAnsiTheme="majorHAnsi" w:cstheme="majorHAnsi"/>
          <w:szCs w:val="26"/>
          <w:lang w:val="en-GB"/>
        </w:rPr>
        <w:t>5</w:t>
      </w:r>
      <w:r w:rsidRPr="00D32DCC">
        <w:rPr>
          <w:rFonts w:asciiTheme="majorHAnsi" w:hAnsiTheme="majorHAnsi" w:cstheme="majorHAnsi"/>
          <w:szCs w:val="26"/>
          <w:lang w:val="en-GB"/>
        </w:rPr>
        <w:t xml:space="preserve"> </w:t>
      </w:r>
      <w:r>
        <w:rPr>
          <w:rFonts w:asciiTheme="majorHAnsi" w:hAnsiTheme="majorHAnsi" w:cstheme="majorHAnsi"/>
          <w:szCs w:val="26"/>
          <w:lang w:val="en-GB"/>
        </w:rPr>
        <w:t>minutes</w:t>
      </w:r>
      <w:r w:rsidRPr="00D32DCC">
        <w:rPr>
          <w:rFonts w:asciiTheme="majorHAnsi" w:hAnsiTheme="majorHAnsi" w:cstheme="majorHAnsi"/>
          <w:szCs w:val="26"/>
          <w:lang w:val="en-GB"/>
        </w:rPr>
        <w:t xml:space="preserve">, and a final extension cycle at 72 </w:t>
      </w:r>
      <w:r w:rsidRPr="00D32DCC">
        <w:rPr>
          <w:rFonts w:asciiTheme="majorHAnsi" w:hAnsiTheme="majorHAnsi" w:cstheme="majorHAnsi"/>
          <w:lang w:val="en-GB"/>
        </w:rPr>
        <w:t>°C</w:t>
      </w:r>
      <w:r w:rsidRPr="00D32DCC">
        <w:rPr>
          <w:rFonts w:asciiTheme="majorHAnsi" w:hAnsiTheme="majorHAnsi" w:cstheme="majorHAnsi"/>
          <w:szCs w:val="26"/>
          <w:lang w:val="en-GB"/>
        </w:rPr>
        <w:t xml:space="preserve"> for 5 minutes.</w:t>
      </w:r>
      <w:r>
        <w:rPr>
          <w:rFonts w:asciiTheme="majorHAnsi" w:hAnsiTheme="majorHAnsi" w:cstheme="majorHAnsi"/>
          <w:color w:val="000000" w:themeColor="text1"/>
        </w:rPr>
        <w:t xml:space="preserve"> </w:t>
      </w:r>
      <w:r>
        <w:rPr>
          <w:rFonts w:asciiTheme="majorHAnsi" w:hAnsiTheme="majorHAnsi" w:cstheme="majorHAnsi"/>
        </w:rPr>
        <w:t>PCR clean-up was performed using Agencourt AMPure XP beads (Beckman Coulter, USA).</w:t>
      </w:r>
    </w:p>
    <w:p w:rsidR="00BB51F6" w:rsidRDefault="00BB51F6" w:rsidP="00BB51F6">
      <w:pPr>
        <w:spacing w:line="360" w:lineRule="auto"/>
        <w:rPr>
          <w:rFonts w:asciiTheme="majorHAnsi" w:hAnsiTheme="majorHAnsi" w:cstheme="majorHAnsi"/>
        </w:rPr>
      </w:pPr>
    </w:p>
    <w:p w:rsidR="00BB51F6" w:rsidRDefault="00BB51F6" w:rsidP="00BB51F6">
      <w:pPr>
        <w:spacing w:line="360" w:lineRule="auto"/>
        <w:rPr>
          <w:rFonts w:asciiTheme="majorHAnsi" w:hAnsiTheme="majorHAnsi" w:cstheme="majorHAnsi"/>
        </w:rPr>
      </w:pPr>
      <w:r w:rsidRPr="00D32DCC">
        <w:rPr>
          <w:rFonts w:asciiTheme="majorHAnsi" w:hAnsiTheme="majorHAnsi" w:cstheme="majorHAnsi"/>
        </w:rPr>
        <w:t xml:space="preserve">Amplicon libraries were quantified using the Qubit dsDNA HS Assay Kit, normalized to 4 nM and pooled together. </w:t>
      </w:r>
      <w:r>
        <w:rPr>
          <w:rFonts w:asciiTheme="majorHAnsi" w:hAnsiTheme="majorHAnsi" w:cstheme="majorHAnsi"/>
        </w:rPr>
        <w:t>The pooled library was denatured with NaOH and diluted to 10 pM. The library was spiked (15%) with PhiX from the PhiX Control Kit (Illumina). Paired-end sequencing was performed using 2x250 cycles on the Illumina MiSeq using reagents from the MiSeq reagent kit v3.</w:t>
      </w:r>
    </w:p>
    <w:p w:rsidR="00BB51F6" w:rsidRDefault="00BB51F6" w:rsidP="00BB51F6">
      <w:pPr>
        <w:spacing w:line="360" w:lineRule="auto"/>
        <w:rPr>
          <w:rFonts w:asciiTheme="majorHAnsi" w:hAnsiTheme="majorHAnsi" w:cstheme="majorHAnsi"/>
        </w:rPr>
      </w:pPr>
    </w:p>
    <w:p w:rsidR="00BB51F6" w:rsidRDefault="00BB51F6" w:rsidP="00BB51F6">
      <w:pPr>
        <w:spacing w:line="360" w:lineRule="auto"/>
        <w:rPr>
          <w:rFonts w:asciiTheme="majorHAnsi" w:hAnsiTheme="majorHAnsi" w:cstheme="majorHAnsi"/>
        </w:rPr>
      </w:pPr>
    </w:p>
    <w:p w:rsidR="00BB51F6" w:rsidRDefault="00BB51F6" w:rsidP="00BB51F6">
      <w:pPr>
        <w:spacing w:line="360" w:lineRule="auto"/>
        <w:rPr>
          <w:rFonts w:asciiTheme="majorHAnsi" w:hAnsiTheme="majorHAnsi" w:cstheme="majorHAnsi"/>
        </w:rPr>
      </w:pPr>
    </w:p>
    <w:p w:rsidR="00BB51F6" w:rsidRPr="00E01527" w:rsidRDefault="00BB51F6" w:rsidP="00BB51F6">
      <w:pPr>
        <w:spacing w:line="360" w:lineRule="auto"/>
        <w:rPr>
          <w:rFonts w:asciiTheme="majorHAnsi" w:hAnsiTheme="majorHAnsi" w:cstheme="majorHAnsi"/>
          <w:b/>
          <w:bCs/>
          <w:sz w:val="28"/>
          <w:szCs w:val="28"/>
        </w:rPr>
      </w:pPr>
      <w:r w:rsidRPr="00E01527">
        <w:rPr>
          <w:rFonts w:asciiTheme="majorHAnsi" w:hAnsiTheme="majorHAnsi" w:cstheme="majorHAnsi"/>
          <w:b/>
          <w:bCs/>
          <w:sz w:val="28"/>
          <w:szCs w:val="28"/>
        </w:rPr>
        <w:t>References</w:t>
      </w:r>
    </w:p>
    <w:p w:rsidR="00BB51F6" w:rsidRPr="009E594E" w:rsidRDefault="00BB51F6" w:rsidP="00BB51F6">
      <w:pPr>
        <w:widowControl w:val="0"/>
        <w:autoSpaceDE w:val="0"/>
        <w:autoSpaceDN w:val="0"/>
        <w:adjustRightInd w:val="0"/>
        <w:rPr>
          <w:rFonts w:ascii="Calibri Light" w:hAnsiTheme="majorHAnsi" w:cs="Calibri Light"/>
        </w:rPr>
      </w:pPr>
      <w:r w:rsidRPr="00E01527">
        <w:rPr>
          <w:rFonts w:asciiTheme="majorHAnsi" w:hAnsiTheme="majorHAnsi" w:cstheme="majorHAnsi"/>
          <w:b/>
          <w:bCs/>
        </w:rPr>
        <w:fldChar w:fldCharType="begin"/>
      </w:r>
      <w:r w:rsidRPr="00E01527">
        <w:rPr>
          <w:rFonts w:asciiTheme="majorHAnsi" w:hAnsiTheme="majorHAnsi" w:cstheme="majorHAnsi"/>
        </w:rPr>
        <w:instrText xml:space="preserve"> ADDIN ZOTERO_BIBL {"uncited":[],"omitted":[],"custom":[]} CSL_BIBLIOGRAPHY </w:instrText>
      </w:r>
      <w:r w:rsidRPr="00E01527">
        <w:rPr>
          <w:rFonts w:asciiTheme="majorHAnsi" w:hAnsiTheme="majorHAnsi" w:cstheme="majorHAnsi"/>
          <w:b/>
          <w:bCs/>
        </w:rPr>
        <w:fldChar w:fldCharType="separate"/>
      </w:r>
      <w:r w:rsidRPr="009E594E">
        <w:rPr>
          <w:rFonts w:ascii="Calibri Light" w:hAnsiTheme="majorHAnsi" w:cs="Calibri Light"/>
        </w:rPr>
        <w:t>1. Klindworth A, Pruesse E, Schweer T, Peplies J, Quast C, Horn M, et al. Evaluation of general 16S ribosomal RNA gene PCR primers for classical and next-generation sequencing-based diversity studies. Nucleic Acids Res. 2013;41:e1.</w:t>
      </w:r>
    </w:p>
    <w:p w:rsidR="00BB51F6" w:rsidRPr="009E594E" w:rsidRDefault="00BB51F6" w:rsidP="00BB51F6">
      <w:pPr>
        <w:widowControl w:val="0"/>
        <w:autoSpaceDE w:val="0"/>
        <w:autoSpaceDN w:val="0"/>
        <w:adjustRightInd w:val="0"/>
        <w:rPr>
          <w:rFonts w:ascii="Calibri Light" w:hAnsiTheme="majorHAnsi" w:cs="Calibri Light"/>
        </w:rPr>
      </w:pPr>
      <w:r w:rsidRPr="009E594E">
        <w:rPr>
          <w:rFonts w:ascii="Calibri Light" w:hAnsiTheme="majorHAnsi" w:cs="Calibri Light"/>
        </w:rPr>
        <w:t>2. Caporaso JG, Lauber CL, Walters WA, Berg-Lyons D, Lozupone CA, Turnbaugh PJ, et al. Global patterns of 16S rRNA diversity at a depth of millions of sequences per sample. Proc Natl Acad Sci USA. 2011;108 Suppl 1:4516–22.</w:t>
      </w:r>
    </w:p>
    <w:p w:rsidR="00BB51F6" w:rsidRPr="009E594E" w:rsidRDefault="00BB51F6" w:rsidP="00BB51F6">
      <w:pPr>
        <w:widowControl w:val="0"/>
        <w:autoSpaceDE w:val="0"/>
        <w:autoSpaceDN w:val="0"/>
        <w:adjustRightInd w:val="0"/>
        <w:rPr>
          <w:rFonts w:ascii="Calibri Light" w:hAnsiTheme="majorHAnsi" w:cs="Calibri Light"/>
        </w:rPr>
      </w:pPr>
      <w:r w:rsidRPr="009E594E">
        <w:rPr>
          <w:rFonts w:ascii="Calibri Light" w:hAnsiTheme="majorHAnsi" w:cs="Calibri Light"/>
        </w:rPr>
        <w:t>3. Kozich JJ, Westcott SL, Baxter NT, Highlander SK, Schloss PD. Development of a Dual-Index Sequencing Strategy and Curation Pipeline for Analyzing Amplicon Sequence Data on the MiSeq Illumina Sequencing Platform. Appl Environ Microbiol. 2013;79:5112–20.</w:t>
      </w:r>
    </w:p>
    <w:p w:rsidR="00BB51F6" w:rsidRPr="00E01527" w:rsidRDefault="00BB51F6" w:rsidP="00BB51F6">
      <w:pPr>
        <w:spacing w:line="360" w:lineRule="auto"/>
        <w:rPr>
          <w:rFonts w:asciiTheme="majorHAnsi" w:hAnsiTheme="majorHAnsi" w:cstheme="majorHAnsi"/>
          <w:b/>
          <w:bCs/>
          <w:sz w:val="32"/>
          <w:szCs w:val="32"/>
        </w:rPr>
      </w:pPr>
      <w:r w:rsidRPr="00E01527">
        <w:rPr>
          <w:rFonts w:asciiTheme="majorHAnsi" w:hAnsiTheme="majorHAnsi" w:cstheme="majorHAnsi"/>
          <w:sz w:val="32"/>
          <w:szCs w:val="32"/>
        </w:rPr>
        <w:fldChar w:fldCharType="end"/>
      </w:r>
    </w:p>
    <w:p w:rsidR="00BB51F6" w:rsidRDefault="00BB51F6" w:rsidP="00BB51F6">
      <w:pPr>
        <w:spacing w:line="360" w:lineRule="auto"/>
        <w:jc w:val="center"/>
        <w:rPr>
          <w:rFonts w:cs="Arial"/>
          <w:b/>
          <w:bCs/>
          <w:sz w:val="32"/>
          <w:szCs w:val="32"/>
        </w:rPr>
      </w:pPr>
    </w:p>
    <w:p w:rsidR="00BB51F6" w:rsidRPr="00BB51F6" w:rsidRDefault="00BB51F6" w:rsidP="00BB51F6"/>
    <w:sectPr w:rsidR="00BB51F6" w:rsidRPr="00BB51F6" w:rsidSect="0099743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F6"/>
    <w:rsid w:val="000B2C31"/>
    <w:rsid w:val="0099743B"/>
    <w:rsid w:val="00BB51F6"/>
    <w:rsid w:val="00E02A50"/>
    <w:rsid w:val="00F164D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BBA0809"/>
  <w15:chartTrackingRefBased/>
  <w15:docId w15:val="{6749E05F-60BB-E944-A76E-70D7FF01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1F6"/>
    <w:rPr>
      <w:rFonts w:eastAsiaTheme="minorEastAsia"/>
      <w:lang w:val="en-US"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BB51F6"/>
    <w:rPr>
      <w:rFonts w:eastAsiaTheme="minorEastAsia"/>
      <w:lang w:eastAsia="nb-N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derline">
    <w:name w:val="underline"/>
    <w:basedOn w:val="Standardskriftforavsnitt"/>
    <w:rsid w:val="00BB5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2794</Words>
  <Characters>14809</Characters>
  <Application>Microsoft Office Word</Application>
  <DocSecurity>0</DocSecurity>
  <Lines>123</Lines>
  <Paragraphs>35</Paragraphs>
  <ScaleCrop>false</ScaleCrop>
  <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Drengenes</dc:creator>
  <cp:keywords/>
  <dc:description/>
  <cp:lastModifiedBy>Christine Drengenes</cp:lastModifiedBy>
  <cp:revision>4</cp:revision>
  <dcterms:created xsi:type="dcterms:W3CDTF">2020-10-06T16:25:00Z</dcterms:created>
  <dcterms:modified xsi:type="dcterms:W3CDTF">2020-11-13T18:57:00Z</dcterms:modified>
</cp:coreProperties>
</file>