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ascii="Times New Roman" w:hAnsi="Times New Roman" w:cs="Times New Roman"/>
          <w:b/>
          <w:bCs/>
        </w:rPr>
        <w:t xml:space="preserve">Table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S2</w:t>
      </w:r>
      <w:bookmarkStart w:id="0" w:name="_GoBack"/>
      <w:bookmarkEnd w:id="0"/>
    </w:p>
    <w:p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Correlation analysis between different gonadal development groups.</w:t>
      </w:r>
    </w:p>
    <w:tbl>
      <w:tblPr>
        <w:tblStyle w:val="6"/>
        <w:tblW w:w="13892" w:type="dxa"/>
        <w:tblInd w:w="108" w:type="dxa"/>
        <w:tblBorders>
          <w:top w:val="single" w:color="000000" w:sz="8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276"/>
        <w:gridCol w:w="1276"/>
        <w:gridCol w:w="1134"/>
        <w:gridCol w:w="1134"/>
        <w:gridCol w:w="1134"/>
        <w:gridCol w:w="1134"/>
        <w:gridCol w:w="1701"/>
        <w:gridCol w:w="1701"/>
        <w:gridCol w:w="1701"/>
      </w:tblGrid>
      <w:tr>
        <w:tblPrEx>
          <w:tblBorders>
            <w:top w:val="single" w:color="000000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op w:val="single" w:color="000000" w:sz="8" w:space="0"/>
              <w:bottom w:val="single" w:color="auto" w:sz="6" w:space="0"/>
            </w:tcBorders>
            <w:shd w:val="clear" w:color="auto" w:fill="FFFFFF"/>
          </w:tcPr>
          <w:p>
            <w:pPr>
              <w:pStyle w:val="5"/>
              <w:spacing w:line="480" w:lineRule="auto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Sample</w:t>
            </w:r>
          </w:p>
        </w:tc>
        <w:tc>
          <w:tcPr>
            <w:tcW w:w="1276" w:type="dxa"/>
            <w:tcBorders>
              <w:top w:val="single" w:color="000000" w:sz="8" w:space="0"/>
              <w:bottom w:val="single" w:color="auto" w:sz="6" w:space="0"/>
            </w:tcBorders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Resting 1</w:t>
            </w:r>
          </w:p>
        </w:tc>
        <w:tc>
          <w:tcPr>
            <w:tcW w:w="1276" w:type="dxa"/>
            <w:tcBorders>
              <w:top w:val="single" w:color="000000" w:sz="8" w:space="0"/>
              <w:bottom w:val="single" w:color="auto" w:sz="6" w:space="0"/>
            </w:tcBorders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Resting 2</w:t>
            </w:r>
          </w:p>
        </w:tc>
        <w:tc>
          <w:tcPr>
            <w:tcW w:w="1134" w:type="dxa"/>
            <w:tcBorders>
              <w:top w:val="single" w:color="000000" w:sz="8" w:space="0"/>
              <w:bottom w:val="single" w:color="auto" w:sz="6" w:space="0"/>
            </w:tcBorders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Resting 3</w:t>
            </w:r>
          </w:p>
        </w:tc>
        <w:tc>
          <w:tcPr>
            <w:tcW w:w="1134" w:type="dxa"/>
            <w:tcBorders>
              <w:top w:val="single" w:color="000000" w:sz="8" w:space="0"/>
              <w:bottom w:val="single" w:color="auto" w:sz="6" w:space="0"/>
            </w:tcBorders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Male 1</w:t>
            </w:r>
          </w:p>
        </w:tc>
        <w:tc>
          <w:tcPr>
            <w:tcW w:w="1134" w:type="dxa"/>
            <w:tcBorders>
              <w:top w:val="single" w:color="000000" w:sz="8" w:space="0"/>
              <w:bottom w:val="single" w:color="auto" w:sz="6" w:space="0"/>
            </w:tcBorders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Male 2</w:t>
            </w:r>
          </w:p>
        </w:tc>
        <w:tc>
          <w:tcPr>
            <w:tcW w:w="1134" w:type="dxa"/>
            <w:tcBorders>
              <w:top w:val="single" w:color="000000" w:sz="8" w:space="0"/>
              <w:bottom w:val="single" w:color="auto" w:sz="6" w:space="0"/>
            </w:tcBorders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Male 3</w:t>
            </w:r>
          </w:p>
        </w:tc>
        <w:tc>
          <w:tcPr>
            <w:tcW w:w="1701" w:type="dxa"/>
            <w:tcBorders>
              <w:top w:val="single" w:color="000000" w:sz="8" w:space="0"/>
              <w:bottom w:val="single" w:color="auto" w:sz="6" w:space="0"/>
            </w:tcBorders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 xml:space="preserve">Hermaphrodite </w:t>
            </w:r>
            <w:r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color="000000" w:sz="8" w:space="0"/>
              <w:bottom w:val="single" w:color="auto" w:sz="6" w:space="0"/>
            </w:tcBorders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 xml:space="preserve">Hermaphrodite </w:t>
            </w:r>
            <w:r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color="000000" w:sz="8" w:space="0"/>
              <w:bottom w:val="single" w:color="auto" w:sz="6" w:space="0"/>
            </w:tcBorders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Hermaphrodite 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op w:val="single" w:color="auto" w:sz="6" w:space="0"/>
            </w:tcBorders>
            <w:shd w:val="clear" w:color="auto" w:fill="FFFFFF"/>
          </w:tcPr>
          <w:p>
            <w:pPr>
              <w:pStyle w:val="5"/>
              <w:spacing w:line="480" w:lineRule="auto"/>
              <w:jc w:val="center"/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Resting 1</w:t>
            </w:r>
          </w:p>
        </w:tc>
        <w:tc>
          <w:tcPr>
            <w:tcW w:w="1276" w:type="dxa"/>
            <w:tcBorders>
              <w:top w:val="single" w:color="auto" w:sz="6" w:space="0"/>
            </w:tcBorders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color="auto" w:sz="6" w:space="0"/>
            </w:tcBorders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</w:tcBorders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</w:tcBorders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</w:tcBorders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</w:tcBorders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shd w:val="clear" w:color="auto" w:fill="FFFFFF"/>
          </w:tcPr>
          <w:p>
            <w:pPr>
              <w:pStyle w:val="5"/>
              <w:spacing w:line="480" w:lineRule="auto"/>
              <w:jc w:val="center"/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Resting 2</w:t>
            </w:r>
          </w:p>
        </w:tc>
        <w:tc>
          <w:tcPr>
            <w:tcW w:w="1276" w:type="dxa"/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  <w:t>0.9407</w:t>
            </w:r>
          </w:p>
        </w:tc>
        <w:tc>
          <w:tcPr>
            <w:tcW w:w="1276" w:type="dxa"/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shd w:val="clear" w:color="auto" w:fill="FFFFFF"/>
          </w:tcPr>
          <w:p>
            <w:pPr>
              <w:pStyle w:val="5"/>
              <w:spacing w:line="480" w:lineRule="auto"/>
              <w:jc w:val="center"/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Resting 3</w:t>
            </w:r>
          </w:p>
        </w:tc>
        <w:tc>
          <w:tcPr>
            <w:tcW w:w="1276" w:type="dxa"/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  <w:t>0.8959</w:t>
            </w:r>
          </w:p>
        </w:tc>
        <w:tc>
          <w:tcPr>
            <w:tcW w:w="1276" w:type="dxa"/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  <w:t>0.9382</w:t>
            </w:r>
          </w:p>
        </w:tc>
        <w:tc>
          <w:tcPr>
            <w:tcW w:w="1134" w:type="dxa"/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shd w:val="clear" w:color="auto" w:fill="FFFFFF"/>
          </w:tcPr>
          <w:p>
            <w:pPr>
              <w:pStyle w:val="5"/>
              <w:spacing w:line="480" w:lineRule="auto"/>
              <w:jc w:val="center"/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Male 1</w:t>
            </w:r>
          </w:p>
        </w:tc>
        <w:tc>
          <w:tcPr>
            <w:tcW w:w="1276" w:type="dxa"/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  <w:t>0.2655</w:t>
            </w:r>
          </w:p>
        </w:tc>
        <w:tc>
          <w:tcPr>
            <w:tcW w:w="1276" w:type="dxa"/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  <w:t>0.2583</w:t>
            </w:r>
          </w:p>
        </w:tc>
        <w:tc>
          <w:tcPr>
            <w:tcW w:w="1134" w:type="dxa"/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0.2329</w:t>
            </w:r>
          </w:p>
        </w:tc>
        <w:tc>
          <w:tcPr>
            <w:tcW w:w="1134" w:type="dxa"/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shd w:val="clear" w:color="auto" w:fill="FFFFFF"/>
          </w:tcPr>
          <w:p>
            <w:pPr>
              <w:pStyle w:val="5"/>
              <w:spacing w:line="480" w:lineRule="auto"/>
              <w:jc w:val="center"/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Male 2</w:t>
            </w:r>
          </w:p>
        </w:tc>
        <w:tc>
          <w:tcPr>
            <w:tcW w:w="1276" w:type="dxa"/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  <w:t>0.1820</w:t>
            </w:r>
          </w:p>
        </w:tc>
        <w:tc>
          <w:tcPr>
            <w:tcW w:w="1276" w:type="dxa"/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  <w:t>0.1759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line="480" w:lineRule="auto"/>
              <w:rPr>
                <w:rFonts w:ascii="Times New Roman" w:hAnsi="Times New Roman" w:cs="Times New Roman" w:eastAsiaTheme="minorEastAsia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Cs/>
                <w:color w:val="000000"/>
                <w:szCs w:val="21"/>
              </w:rPr>
              <w:t>0.1649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line="480" w:lineRule="auto"/>
              <w:rPr>
                <w:rFonts w:ascii="Times New Roman" w:hAnsi="Times New Roman" w:cs="Times New Roman" w:eastAsiaTheme="minorEastAsia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Cs/>
                <w:color w:val="000000"/>
                <w:szCs w:val="21"/>
              </w:rPr>
              <w:t>0.9498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line="480" w:lineRule="auto"/>
              <w:rPr>
                <w:rFonts w:ascii="Times New Roman" w:hAnsi="Times New Roman" w:eastAsia="AdvOT863180fb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AdvOT863180fb" w:cs="Times New Roman"/>
                <w:bCs/>
                <w:color w:val="000000"/>
                <w:szCs w:val="21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line="480" w:lineRule="auto"/>
              <w:rPr>
                <w:rFonts w:ascii="Times New Roman" w:hAnsi="Times New Roman" w:eastAsia="AdvOT863180fb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shd w:val="clear" w:color="auto" w:fill="FFFFFF"/>
          </w:tcPr>
          <w:p>
            <w:pPr>
              <w:spacing w:line="480" w:lineRule="auto"/>
              <w:rPr>
                <w:rFonts w:ascii="Times New Roman" w:hAnsi="Times New Roman" w:eastAsia="AdvOT863180fb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shd w:val="clear" w:color="auto" w:fill="FFFFFF"/>
          </w:tcPr>
          <w:p>
            <w:pPr>
              <w:spacing w:line="480" w:lineRule="auto"/>
              <w:rPr>
                <w:rFonts w:ascii="Times New Roman" w:hAnsi="Times New Roman" w:eastAsia="AdvOT863180fb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shd w:val="clear" w:color="auto" w:fill="FFFFFF"/>
          </w:tcPr>
          <w:p>
            <w:pPr>
              <w:spacing w:line="480" w:lineRule="auto"/>
              <w:rPr>
                <w:rFonts w:ascii="Times New Roman" w:hAnsi="Times New Roman" w:eastAsia="AdvOT863180fb" w:cs="Times New Roman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shd w:val="clear" w:color="auto" w:fill="FFFFFF"/>
          </w:tcPr>
          <w:p>
            <w:pPr>
              <w:pStyle w:val="5"/>
              <w:spacing w:line="480" w:lineRule="auto"/>
              <w:jc w:val="center"/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Male 3</w:t>
            </w:r>
          </w:p>
        </w:tc>
        <w:tc>
          <w:tcPr>
            <w:tcW w:w="1276" w:type="dxa"/>
            <w:shd w:val="clear" w:color="auto" w:fill="FFFFFF"/>
          </w:tcPr>
          <w:p>
            <w:pPr>
              <w:pStyle w:val="5"/>
              <w:spacing w:line="480" w:lineRule="auto"/>
              <w:jc w:val="center"/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0.3980</w:t>
            </w:r>
          </w:p>
        </w:tc>
        <w:tc>
          <w:tcPr>
            <w:tcW w:w="1276" w:type="dxa"/>
            <w:shd w:val="clear" w:color="auto" w:fill="FFFFFF"/>
          </w:tcPr>
          <w:p>
            <w:pPr>
              <w:pStyle w:val="5"/>
              <w:spacing w:line="480" w:lineRule="auto"/>
              <w:jc w:val="center"/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0.3981</w:t>
            </w:r>
          </w:p>
        </w:tc>
        <w:tc>
          <w:tcPr>
            <w:tcW w:w="1134" w:type="dxa"/>
            <w:shd w:val="clear" w:color="auto" w:fill="FFFFFF"/>
          </w:tcPr>
          <w:p>
            <w:pPr>
              <w:pStyle w:val="5"/>
              <w:spacing w:line="480" w:lineRule="auto"/>
              <w:jc w:val="center"/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0.3643</w:t>
            </w:r>
          </w:p>
        </w:tc>
        <w:tc>
          <w:tcPr>
            <w:tcW w:w="1134" w:type="dxa"/>
            <w:shd w:val="clear" w:color="auto" w:fill="FFFFFF"/>
          </w:tcPr>
          <w:p>
            <w:pPr>
              <w:pStyle w:val="5"/>
              <w:spacing w:line="480" w:lineRule="auto"/>
              <w:jc w:val="center"/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0.8294</w:t>
            </w:r>
          </w:p>
        </w:tc>
        <w:tc>
          <w:tcPr>
            <w:tcW w:w="1134" w:type="dxa"/>
            <w:shd w:val="clear" w:color="auto" w:fill="FFFFFF"/>
          </w:tcPr>
          <w:p>
            <w:pPr>
              <w:pStyle w:val="5"/>
              <w:spacing w:line="480" w:lineRule="auto"/>
              <w:jc w:val="center"/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0.8123</w:t>
            </w:r>
          </w:p>
        </w:tc>
        <w:tc>
          <w:tcPr>
            <w:tcW w:w="1134" w:type="dxa"/>
            <w:shd w:val="clear" w:color="auto" w:fill="FFFFFF"/>
          </w:tcPr>
          <w:p>
            <w:pPr>
              <w:pStyle w:val="5"/>
              <w:spacing w:line="480" w:lineRule="auto"/>
              <w:jc w:val="center"/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701" w:type="dxa"/>
            <w:shd w:val="clear" w:color="auto" w:fill="FFFFFF"/>
          </w:tcPr>
          <w:p>
            <w:pPr>
              <w:pStyle w:val="5"/>
              <w:spacing w:line="480" w:lineRule="auto"/>
              <w:jc w:val="center"/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FFFFFF"/>
          </w:tcPr>
          <w:p>
            <w:pPr>
              <w:pStyle w:val="5"/>
              <w:spacing w:line="480" w:lineRule="auto"/>
              <w:jc w:val="center"/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 w:eastAsia="AdvOT863180fb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shd w:val="clear" w:color="auto" w:fill="FFFFFF"/>
          </w:tcPr>
          <w:p>
            <w:pPr>
              <w:pStyle w:val="5"/>
              <w:spacing w:line="480" w:lineRule="auto"/>
              <w:jc w:val="center"/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Hermaphrodite 1</w:t>
            </w:r>
          </w:p>
        </w:tc>
        <w:tc>
          <w:tcPr>
            <w:tcW w:w="1276" w:type="dxa"/>
            <w:shd w:val="clear" w:color="auto" w:fill="FFFFFF"/>
          </w:tcPr>
          <w:p>
            <w:pPr>
              <w:pStyle w:val="5"/>
              <w:spacing w:line="480" w:lineRule="auto"/>
              <w:jc w:val="center"/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0.5535</w:t>
            </w:r>
          </w:p>
        </w:tc>
        <w:tc>
          <w:tcPr>
            <w:tcW w:w="1276" w:type="dxa"/>
            <w:shd w:val="clear" w:color="auto" w:fill="FFFFFF"/>
          </w:tcPr>
          <w:p>
            <w:pPr>
              <w:pStyle w:val="5"/>
              <w:spacing w:line="480" w:lineRule="auto"/>
              <w:jc w:val="center"/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0.5217</w:t>
            </w:r>
          </w:p>
        </w:tc>
        <w:tc>
          <w:tcPr>
            <w:tcW w:w="1134" w:type="dxa"/>
            <w:shd w:val="clear" w:color="auto" w:fill="FFFFFF"/>
          </w:tcPr>
          <w:p>
            <w:pPr>
              <w:pStyle w:val="5"/>
              <w:spacing w:line="480" w:lineRule="auto"/>
              <w:jc w:val="center"/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0.5037</w:t>
            </w:r>
          </w:p>
        </w:tc>
        <w:tc>
          <w:tcPr>
            <w:tcW w:w="1134" w:type="dxa"/>
            <w:shd w:val="clear" w:color="auto" w:fill="FFFFFF"/>
          </w:tcPr>
          <w:p>
            <w:pPr>
              <w:pStyle w:val="5"/>
              <w:spacing w:line="480" w:lineRule="auto"/>
              <w:jc w:val="center"/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0.7135</w:t>
            </w:r>
          </w:p>
        </w:tc>
        <w:tc>
          <w:tcPr>
            <w:tcW w:w="1134" w:type="dxa"/>
            <w:shd w:val="clear" w:color="auto" w:fill="FFFFFF"/>
          </w:tcPr>
          <w:p>
            <w:pPr>
              <w:pStyle w:val="5"/>
              <w:spacing w:line="480" w:lineRule="auto"/>
              <w:jc w:val="center"/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0.6564</w:t>
            </w:r>
          </w:p>
        </w:tc>
        <w:tc>
          <w:tcPr>
            <w:tcW w:w="1134" w:type="dxa"/>
            <w:shd w:val="clear" w:color="auto" w:fill="FFFFFF"/>
          </w:tcPr>
          <w:p>
            <w:pPr>
              <w:pStyle w:val="5"/>
              <w:spacing w:line="480" w:lineRule="auto"/>
              <w:jc w:val="center"/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0.5669</w:t>
            </w:r>
          </w:p>
        </w:tc>
        <w:tc>
          <w:tcPr>
            <w:tcW w:w="1701" w:type="dxa"/>
            <w:shd w:val="clear" w:color="auto" w:fill="FFFFFF"/>
          </w:tcPr>
          <w:p>
            <w:pPr>
              <w:pStyle w:val="5"/>
              <w:spacing w:line="480" w:lineRule="auto"/>
              <w:jc w:val="center"/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701" w:type="dxa"/>
            <w:shd w:val="clear" w:color="auto" w:fill="FFFFFF"/>
          </w:tcPr>
          <w:p>
            <w:pPr>
              <w:pStyle w:val="5"/>
              <w:spacing w:line="480" w:lineRule="auto"/>
              <w:jc w:val="center"/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 w:eastAsia="AdvOT863180fb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shd w:val="clear" w:color="auto" w:fill="FFFFFF"/>
          </w:tcPr>
          <w:p>
            <w:pPr>
              <w:pStyle w:val="5"/>
              <w:spacing w:line="480" w:lineRule="auto"/>
              <w:jc w:val="center"/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Hermaphrodite 2</w:t>
            </w:r>
          </w:p>
        </w:tc>
        <w:tc>
          <w:tcPr>
            <w:tcW w:w="1276" w:type="dxa"/>
            <w:shd w:val="clear" w:color="auto" w:fill="FFFFFF"/>
          </w:tcPr>
          <w:p>
            <w:pPr>
              <w:pStyle w:val="5"/>
              <w:spacing w:line="480" w:lineRule="auto"/>
              <w:jc w:val="center"/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0.784</w:t>
            </w:r>
          </w:p>
        </w:tc>
        <w:tc>
          <w:tcPr>
            <w:tcW w:w="1276" w:type="dxa"/>
            <w:shd w:val="clear" w:color="auto" w:fill="FFFFFF"/>
          </w:tcPr>
          <w:p>
            <w:pPr>
              <w:pStyle w:val="5"/>
              <w:spacing w:line="480" w:lineRule="auto"/>
              <w:jc w:val="center"/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0.7321</w:t>
            </w:r>
          </w:p>
        </w:tc>
        <w:tc>
          <w:tcPr>
            <w:tcW w:w="1134" w:type="dxa"/>
            <w:shd w:val="clear" w:color="auto" w:fill="FFFFFF"/>
          </w:tcPr>
          <w:p>
            <w:pPr>
              <w:pStyle w:val="5"/>
              <w:spacing w:line="480" w:lineRule="auto"/>
              <w:jc w:val="center"/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0.6719</w:t>
            </w:r>
          </w:p>
        </w:tc>
        <w:tc>
          <w:tcPr>
            <w:tcW w:w="1134" w:type="dxa"/>
            <w:shd w:val="clear" w:color="auto" w:fill="FFFFFF"/>
          </w:tcPr>
          <w:p>
            <w:pPr>
              <w:pStyle w:val="5"/>
              <w:spacing w:line="480" w:lineRule="auto"/>
              <w:jc w:val="center"/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0.4651</w:t>
            </w:r>
          </w:p>
        </w:tc>
        <w:tc>
          <w:tcPr>
            <w:tcW w:w="1134" w:type="dxa"/>
            <w:shd w:val="clear" w:color="auto" w:fill="FFFFFF"/>
          </w:tcPr>
          <w:p>
            <w:pPr>
              <w:pStyle w:val="5"/>
              <w:spacing w:line="480" w:lineRule="auto"/>
              <w:jc w:val="center"/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0.3712</w:t>
            </w:r>
          </w:p>
        </w:tc>
        <w:tc>
          <w:tcPr>
            <w:tcW w:w="1134" w:type="dxa"/>
            <w:shd w:val="clear" w:color="auto" w:fill="FFFFFF"/>
          </w:tcPr>
          <w:p>
            <w:pPr>
              <w:pStyle w:val="5"/>
              <w:spacing w:line="480" w:lineRule="auto"/>
              <w:jc w:val="center"/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0.5155</w:t>
            </w:r>
          </w:p>
        </w:tc>
        <w:tc>
          <w:tcPr>
            <w:tcW w:w="1701" w:type="dxa"/>
            <w:shd w:val="clear" w:color="auto" w:fill="FFFFFF"/>
          </w:tcPr>
          <w:p>
            <w:pPr>
              <w:pStyle w:val="5"/>
              <w:spacing w:line="480" w:lineRule="auto"/>
              <w:jc w:val="center"/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0.8142</w:t>
            </w:r>
          </w:p>
        </w:tc>
        <w:tc>
          <w:tcPr>
            <w:tcW w:w="1701" w:type="dxa"/>
            <w:shd w:val="clear" w:color="auto" w:fill="FFFFFF"/>
          </w:tcPr>
          <w:p>
            <w:pPr>
              <w:pStyle w:val="5"/>
              <w:spacing w:line="480" w:lineRule="auto"/>
              <w:jc w:val="center"/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701" w:type="dxa"/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 w:eastAsia="AdvOT863180fb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shd w:val="clear" w:color="auto" w:fill="FFFFFF"/>
          </w:tcPr>
          <w:p>
            <w:pPr>
              <w:pStyle w:val="5"/>
              <w:spacing w:line="480" w:lineRule="auto"/>
              <w:jc w:val="center"/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Hermaphrodite 3</w:t>
            </w:r>
          </w:p>
        </w:tc>
        <w:tc>
          <w:tcPr>
            <w:tcW w:w="1276" w:type="dxa"/>
            <w:shd w:val="clear" w:color="auto" w:fill="FFFFFF"/>
          </w:tcPr>
          <w:p>
            <w:pPr>
              <w:pStyle w:val="5"/>
              <w:spacing w:line="480" w:lineRule="auto"/>
              <w:jc w:val="center"/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0.5651</w:t>
            </w:r>
          </w:p>
        </w:tc>
        <w:tc>
          <w:tcPr>
            <w:tcW w:w="1276" w:type="dxa"/>
            <w:shd w:val="clear" w:color="auto" w:fill="FFFFFF"/>
          </w:tcPr>
          <w:p>
            <w:pPr>
              <w:pStyle w:val="5"/>
              <w:spacing w:line="480" w:lineRule="auto"/>
              <w:jc w:val="center"/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0.5254</w:t>
            </w:r>
          </w:p>
        </w:tc>
        <w:tc>
          <w:tcPr>
            <w:tcW w:w="1134" w:type="dxa"/>
            <w:shd w:val="clear" w:color="auto" w:fill="FFFFFF"/>
          </w:tcPr>
          <w:p>
            <w:pPr>
              <w:pStyle w:val="5"/>
              <w:spacing w:line="480" w:lineRule="auto"/>
              <w:jc w:val="center"/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0.4816</w:t>
            </w:r>
          </w:p>
        </w:tc>
        <w:tc>
          <w:tcPr>
            <w:tcW w:w="1134" w:type="dxa"/>
            <w:shd w:val="clear" w:color="auto" w:fill="FFFFFF"/>
          </w:tcPr>
          <w:p>
            <w:pPr>
              <w:pStyle w:val="5"/>
              <w:spacing w:line="480" w:lineRule="auto"/>
              <w:jc w:val="center"/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0.6003</w:t>
            </w:r>
          </w:p>
        </w:tc>
        <w:tc>
          <w:tcPr>
            <w:tcW w:w="1134" w:type="dxa"/>
            <w:shd w:val="clear" w:color="auto" w:fill="FFFFFF"/>
          </w:tcPr>
          <w:p>
            <w:pPr>
              <w:pStyle w:val="5"/>
              <w:spacing w:line="480" w:lineRule="auto"/>
              <w:jc w:val="center"/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0.5086</w:t>
            </w:r>
          </w:p>
        </w:tc>
        <w:tc>
          <w:tcPr>
            <w:tcW w:w="1134" w:type="dxa"/>
            <w:shd w:val="clear" w:color="auto" w:fill="FFFFFF"/>
          </w:tcPr>
          <w:p>
            <w:pPr>
              <w:pStyle w:val="5"/>
              <w:spacing w:line="480" w:lineRule="auto"/>
              <w:jc w:val="center"/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0.6910</w:t>
            </w:r>
          </w:p>
        </w:tc>
        <w:tc>
          <w:tcPr>
            <w:tcW w:w="1701" w:type="dxa"/>
            <w:shd w:val="clear" w:color="auto" w:fill="FFFFFF"/>
          </w:tcPr>
          <w:p>
            <w:pPr>
              <w:pStyle w:val="5"/>
              <w:spacing w:line="480" w:lineRule="auto"/>
              <w:jc w:val="center"/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0.8591</w:t>
            </w:r>
          </w:p>
        </w:tc>
        <w:tc>
          <w:tcPr>
            <w:tcW w:w="1701" w:type="dxa"/>
            <w:shd w:val="clear" w:color="auto" w:fill="FFFFFF"/>
          </w:tcPr>
          <w:p>
            <w:pPr>
              <w:pStyle w:val="5"/>
              <w:spacing w:line="480" w:lineRule="auto"/>
              <w:jc w:val="center"/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color w:val="000000"/>
                <w:sz w:val="21"/>
                <w:szCs w:val="21"/>
              </w:rPr>
              <w:t>0.8031</w:t>
            </w:r>
          </w:p>
        </w:tc>
        <w:tc>
          <w:tcPr>
            <w:tcW w:w="1701" w:type="dxa"/>
            <w:shd w:val="clear" w:color="auto" w:fill="FFFFFF"/>
          </w:tcPr>
          <w:p>
            <w:pPr>
              <w:pStyle w:val="5"/>
              <w:spacing w:line="480" w:lineRule="auto"/>
              <w:rPr>
                <w:rFonts w:ascii="Times New Roman" w:hAnsi="Times New Roman" w:eastAsia="AdvOT863180fb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AdvOT863180fb"/>
                <w:color w:val="000000"/>
                <w:sz w:val="21"/>
                <w:szCs w:val="21"/>
              </w:rPr>
              <w:t>1</w:t>
            </w:r>
          </w:p>
        </w:tc>
      </w:tr>
    </w:tbl>
    <w:p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Values shown represent r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value. The condition (r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&gt;0.80) was used to eliminate differential individuals.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dvOT863180fb">
    <w:altName w:val="Times New Roman"/>
    <w:panose1 w:val="00000000000000000000"/>
    <w:charset w:val="00"/>
    <w:family w:val="roman"/>
    <w:pitch w:val="default"/>
    <w:sig w:usb0="00000000" w:usb1="00000000" w:usb2="0000001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 w:val="1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F86"/>
    <w:rsid w:val="0019616F"/>
    <w:rsid w:val="0067211D"/>
    <w:rsid w:val="00676FE3"/>
    <w:rsid w:val="0083099D"/>
    <w:rsid w:val="008C3812"/>
    <w:rsid w:val="008D0C0B"/>
    <w:rsid w:val="009770EF"/>
    <w:rsid w:val="00AB6DB7"/>
    <w:rsid w:val="00B61C47"/>
    <w:rsid w:val="00B63F86"/>
    <w:rsid w:val="00BB3174"/>
    <w:rsid w:val="00BD7895"/>
    <w:rsid w:val="00CD175F"/>
    <w:rsid w:val="00D329E3"/>
    <w:rsid w:val="00D66726"/>
    <w:rsid w:val="00EA6B33"/>
    <w:rsid w:val="00F80901"/>
    <w:rsid w:val="2AAC3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kern w:val="0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footnote text"/>
    <w:basedOn w:val="1"/>
    <w:link w:val="8"/>
    <w:unhideWhenUsed/>
    <w:qFormat/>
    <w:uiPriority w:val="99"/>
    <w:pPr>
      <w:adjustRightInd/>
      <w:snapToGrid/>
      <w:spacing w:after="0"/>
    </w:pPr>
    <w:rPr>
      <w:rFonts w:ascii="Calibri" w:hAnsi="Calibri" w:eastAsia="宋体" w:cs="Times New Roman"/>
      <w:sz w:val="20"/>
      <w:szCs w:val="20"/>
    </w:rPr>
  </w:style>
  <w:style w:type="character" w:customStyle="1" w:styleId="8">
    <w:name w:val="脚注文本 Char"/>
    <w:basedOn w:val="7"/>
    <w:link w:val="5"/>
    <w:uiPriority w:val="99"/>
    <w:rPr>
      <w:rFonts w:ascii="Calibri" w:hAnsi="Calibri" w:eastAsia="宋体" w:cs="Times New Roman"/>
      <w:kern w:val="0"/>
      <w:sz w:val="20"/>
      <w:szCs w:val="20"/>
    </w:rPr>
  </w:style>
  <w:style w:type="character" w:customStyle="1" w:styleId="9">
    <w:name w:val="页眉 Char"/>
    <w:basedOn w:val="7"/>
    <w:link w:val="4"/>
    <w:qFormat/>
    <w:uiPriority w:val="99"/>
    <w:rPr>
      <w:rFonts w:ascii="Tahoma" w:hAnsi="Tahoma" w:eastAsia="微软雅黑"/>
      <w:kern w:val="0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rFonts w:ascii="Tahoma" w:hAnsi="Tahoma" w:eastAsia="微软雅黑"/>
      <w:kern w:val="0"/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rFonts w:ascii="Tahoma" w:hAnsi="Tahoma" w:eastAsia="微软雅黑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104</Words>
  <Characters>597</Characters>
  <Lines>4</Lines>
  <Paragraphs>1</Paragraphs>
  <TotalTime>58</TotalTime>
  <ScaleCrop>false</ScaleCrop>
  <LinksUpToDate>false</LinksUpToDate>
  <CharactersWithSpaces>700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2019-10-24T01:28:00Z</dcterms:created>
  <dc:creator>[张跃环]</dc:creator>
  <cp:lastModifiedBy>跃环</cp:lastModifiedBy>
  <dcterms:modified xsi:type="dcterms:W3CDTF">2020-02-10T11:22:53Z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