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87A" w:rsidRPr="00A8487A" w:rsidRDefault="00DA35CB" w:rsidP="00A8487A">
      <w:pPr>
        <w:spacing w:after="240"/>
        <w:jc w:val="both"/>
        <w:rPr>
          <w:rFonts w:ascii="Century Schoolbook L" w:hAnsi="Century Schoolbook L"/>
          <w:b/>
          <w:sz w:val="20"/>
          <w:szCs w:val="20"/>
        </w:rPr>
      </w:pPr>
      <w:bookmarkStart w:id="0" w:name="__DdeLink__5025_3255342601"/>
      <w:bookmarkStart w:id="1" w:name="_GoBack"/>
      <w:bookmarkEnd w:id="1"/>
      <w:r w:rsidRPr="00A8487A">
        <w:rPr>
          <w:rFonts w:ascii="Century Schoolbook L" w:hAnsi="Century Schoolbook L"/>
          <w:b/>
          <w:bCs/>
          <w:sz w:val="20"/>
          <w:szCs w:val="20"/>
        </w:rPr>
        <w:t>Table S</w:t>
      </w:r>
      <w:r w:rsidR="005179C0">
        <w:rPr>
          <w:rFonts w:ascii="Century Schoolbook L" w:hAnsi="Century Schoolbook L"/>
          <w:b/>
          <w:bCs/>
          <w:sz w:val="20"/>
          <w:szCs w:val="20"/>
        </w:rPr>
        <w:t>1</w:t>
      </w:r>
      <w:r w:rsidRPr="00A8487A">
        <w:rPr>
          <w:rFonts w:ascii="Century Schoolbook L" w:hAnsi="Century Schoolbook L"/>
          <w:b/>
          <w:bCs/>
          <w:sz w:val="20"/>
          <w:szCs w:val="20"/>
        </w:rPr>
        <w:t>.</w:t>
      </w:r>
      <w:r w:rsidRPr="00A8487A">
        <w:rPr>
          <w:rFonts w:ascii="Century Schoolbook L" w:hAnsi="Century Schoolbook L"/>
          <w:b/>
          <w:sz w:val="20"/>
          <w:szCs w:val="20"/>
        </w:rPr>
        <w:t xml:space="preserve"> </w:t>
      </w:r>
      <w:bookmarkEnd w:id="0"/>
      <w:r w:rsidRPr="00A8487A">
        <w:rPr>
          <w:rFonts w:ascii="Century Schoolbook L" w:hAnsi="Century Schoolbook L"/>
          <w:b/>
          <w:sz w:val="20"/>
          <w:szCs w:val="20"/>
        </w:rPr>
        <w:t xml:space="preserve">AntiSMASH </w:t>
      </w:r>
      <w:r w:rsidR="00F50A0E">
        <w:rPr>
          <w:rFonts w:ascii="Century Schoolbook L" w:hAnsi="Century Schoolbook L"/>
          <w:b/>
          <w:sz w:val="20"/>
          <w:szCs w:val="20"/>
        </w:rPr>
        <w:t>c</w:t>
      </w:r>
      <w:r w:rsidRPr="00A8487A">
        <w:rPr>
          <w:rFonts w:ascii="Century Schoolbook L" w:hAnsi="Century Schoolbook L"/>
          <w:b/>
          <w:sz w:val="20"/>
          <w:szCs w:val="20"/>
        </w:rPr>
        <w:t>lusters with CAZy domains and their known activities</w:t>
      </w:r>
    </w:p>
    <w:p w:rsidR="006A33A9" w:rsidRDefault="00DA35CB" w:rsidP="00A8487A">
      <w:pPr>
        <w:spacing w:after="240"/>
        <w:jc w:val="both"/>
        <w:rPr>
          <w:sz w:val="20"/>
          <w:szCs w:val="20"/>
        </w:rPr>
      </w:pPr>
      <w:r>
        <w:rPr>
          <w:rFonts w:ascii="Century Schoolbook L" w:hAnsi="Century Schoolbook L"/>
          <w:sz w:val="20"/>
          <w:szCs w:val="20"/>
        </w:rPr>
        <w:t xml:space="preserve">In case there were more than one known activities for a CAZy family, only the first reported activity from CAZy database is shown. Clusters for which a structure was predicted are highlighted in bold. </w:t>
      </w:r>
    </w:p>
    <w:tbl>
      <w:tblPr>
        <w:tblW w:w="9972" w:type="dxa"/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1"/>
        <w:gridCol w:w="1044"/>
        <w:gridCol w:w="1843"/>
        <w:gridCol w:w="5164"/>
      </w:tblGrid>
      <w:tr w:rsidR="006A33A9">
        <w:tc>
          <w:tcPr>
            <w:tcW w:w="192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Type</w:t>
            </w:r>
          </w:p>
        </w:tc>
        <w:tc>
          <w:tcPr>
            <w:tcW w:w="104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Cluster No.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CAZy Family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Known Activities</w:t>
            </w:r>
          </w:p>
        </w:tc>
      </w:tr>
      <w:tr w:rsidR="006A33A9">
        <w:tc>
          <w:tcPr>
            <w:tcW w:w="1921" w:type="dxa"/>
            <w:vMerge w:val="restart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Terpene</w:t>
            </w:r>
          </w:p>
        </w:tc>
        <w:tc>
          <w:tcPr>
            <w:tcW w:w="104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GT2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Cellulose synthase</w:t>
            </w:r>
          </w:p>
        </w:tc>
      </w:tr>
      <w:tr w:rsidR="006A33A9">
        <w:trPr>
          <w:trHeight w:val="575"/>
        </w:trPr>
        <w:tc>
          <w:tcPr>
            <w:tcW w:w="1921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GT2</w:t>
            </w:r>
          </w:p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CE3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Cellulose synthase</w:t>
            </w:r>
          </w:p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Acetyl xylan esterase</w:t>
            </w:r>
          </w:p>
        </w:tc>
      </w:tr>
      <w:tr w:rsidR="006A33A9">
        <w:tc>
          <w:tcPr>
            <w:tcW w:w="1921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GH35; CBM51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α-L-Rhamnosidase; galactose binding</w:t>
            </w:r>
          </w:p>
        </w:tc>
      </w:tr>
      <w:tr w:rsidR="006A33A9">
        <w:tc>
          <w:tcPr>
            <w:tcW w:w="1921" w:type="dxa"/>
            <w:vMerge w:val="restart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rFonts w:eastAsia="DengXian" w:hint="eastAsia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NRPS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GH2; CBM35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="Symbol" w:eastAsia="Symbol" w:hAnsi="Symbol" w:cs="Symbol"/>
                <w:b/>
                <w:bCs/>
                <w:sz w:val="20"/>
                <w:szCs w:val="20"/>
              </w:rPr>
              <w:t></w:t>
            </w:r>
            <w:r>
              <w:rPr>
                <w:b/>
                <w:bCs/>
                <w:sz w:val="20"/>
                <w:szCs w:val="20"/>
              </w:rPr>
              <w:t>-Galactosidase; xylan binding</w:t>
            </w:r>
          </w:p>
        </w:tc>
      </w:tr>
      <w:tr w:rsidR="006A33A9">
        <w:tc>
          <w:tcPr>
            <w:tcW w:w="1921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GT51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Murein polymerase</w:t>
            </w:r>
          </w:p>
        </w:tc>
      </w:tr>
      <w:tr w:rsidR="006A33A9">
        <w:tc>
          <w:tcPr>
            <w:tcW w:w="1921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GH106; CBM67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α-L-Rhamnosidase; L-rhamnose binding</w:t>
            </w:r>
          </w:p>
        </w:tc>
      </w:tr>
      <w:tr w:rsidR="006A33A9">
        <w:tc>
          <w:tcPr>
            <w:tcW w:w="192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1 PKS</w:t>
            </w:r>
          </w:p>
        </w:tc>
        <w:tc>
          <w:tcPr>
            <w:tcW w:w="104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AA3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Cellobiose dehydrogenase</w:t>
            </w:r>
          </w:p>
        </w:tc>
      </w:tr>
      <w:tr w:rsidR="006A33A9">
        <w:tc>
          <w:tcPr>
            <w:tcW w:w="1921" w:type="dxa"/>
            <w:vMerge w:val="restart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 2 PKS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GH5; CBM2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Endo-β-1,4-glucanase / cellulase; cellulose binding</w:t>
            </w:r>
          </w:p>
        </w:tc>
      </w:tr>
      <w:tr w:rsidR="006A33A9">
        <w:tc>
          <w:tcPr>
            <w:tcW w:w="1921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CBM32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Galactose and lactose binding</w:t>
            </w:r>
          </w:p>
        </w:tc>
      </w:tr>
      <w:tr w:rsidR="006A33A9">
        <w:tc>
          <w:tcPr>
            <w:tcW w:w="1921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GH1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β-Glucosidase</w:t>
            </w:r>
          </w:p>
        </w:tc>
      </w:tr>
      <w:tr w:rsidR="006A33A9">
        <w:tc>
          <w:tcPr>
            <w:tcW w:w="192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Butyrolactone</w:t>
            </w:r>
          </w:p>
        </w:tc>
        <w:tc>
          <w:tcPr>
            <w:tcW w:w="104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CE7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Acetyl xylan esterase</w:t>
            </w:r>
          </w:p>
        </w:tc>
      </w:tr>
      <w:tr w:rsidR="006A33A9">
        <w:tc>
          <w:tcPr>
            <w:tcW w:w="1921" w:type="dxa"/>
            <w:vMerge w:val="restart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T1PKS-NRPS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GH3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β-Glucosidase</w:t>
            </w:r>
          </w:p>
        </w:tc>
      </w:tr>
      <w:tr w:rsidR="006A33A9">
        <w:tc>
          <w:tcPr>
            <w:tcW w:w="1921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GH109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α-N-Acetylgalactosaminidase</w:t>
            </w:r>
          </w:p>
        </w:tc>
      </w:tr>
      <w:tr w:rsidR="006A33A9">
        <w:tc>
          <w:tcPr>
            <w:tcW w:w="1921" w:type="dxa"/>
            <w:vMerge w:val="restart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T1PKS-NRPS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GT28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1,2-Diacylglycerol 3-β-galactosyltransferase</w:t>
            </w:r>
          </w:p>
        </w:tc>
      </w:tr>
      <w:tr w:rsidR="006A33A9">
        <w:tc>
          <w:tcPr>
            <w:tcW w:w="1921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6A33A9" w:rsidP="00A8487A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6A33A9" w:rsidP="00A848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CE4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Acetyl xylan esterase</w:t>
            </w:r>
          </w:p>
        </w:tc>
      </w:tr>
      <w:tr w:rsidR="006A33A9">
        <w:tc>
          <w:tcPr>
            <w:tcW w:w="1921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6A33A9" w:rsidP="00A8487A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6A33A9" w:rsidP="00A848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GH3; CBM6; CBM32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β-Glucosidase; cellulose binding; galactose and lactose binding</w:t>
            </w:r>
          </w:p>
        </w:tc>
      </w:tr>
      <w:tr w:rsidR="006A33A9">
        <w:tc>
          <w:tcPr>
            <w:tcW w:w="1921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6A33A9" w:rsidP="00A8487A">
            <w:pPr>
              <w:rPr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6A33A9" w:rsidP="00A848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GT87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Polyprenol-P-Man: α-1,2-mannosyltransferase</w:t>
            </w:r>
          </w:p>
        </w:tc>
      </w:tr>
      <w:tr w:rsidR="006A33A9">
        <w:tc>
          <w:tcPr>
            <w:tcW w:w="1921" w:type="dxa"/>
            <w:vMerge w:val="restart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T1PKS-Butyrolactone</w:t>
            </w:r>
          </w:p>
        </w:tc>
        <w:tc>
          <w:tcPr>
            <w:tcW w:w="1044" w:type="dxa"/>
            <w:vMerge w:val="restart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AA7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Glucooligosaccharide oxidase</w:t>
            </w:r>
          </w:p>
        </w:tc>
      </w:tr>
      <w:tr w:rsidR="006A33A9">
        <w:tc>
          <w:tcPr>
            <w:tcW w:w="1921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AA3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Cellobiose dehydrogenase</w:t>
            </w:r>
          </w:p>
        </w:tc>
      </w:tr>
      <w:tr w:rsidR="006A33A9">
        <w:tc>
          <w:tcPr>
            <w:tcW w:w="192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Nucleoside</w:t>
            </w:r>
          </w:p>
        </w:tc>
        <w:tc>
          <w:tcPr>
            <w:tcW w:w="104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GH99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Glycoprotein endo-α-1,2-mannosidase</w:t>
            </w:r>
          </w:p>
        </w:tc>
      </w:tr>
      <w:tr w:rsidR="006A33A9">
        <w:tc>
          <w:tcPr>
            <w:tcW w:w="192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Melanin</w:t>
            </w:r>
          </w:p>
        </w:tc>
        <w:tc>
          <w:tcPr>
            <w:tcW w:w="104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GH26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β-Mannanase</w:t>
            </w:r>
          </w:p>
        </w:tc>
      </w:tr>
      <w:tr w:rsidR="006A33A9">
        <w:tc>
          <w:tcPr>
            <w:tcW w:w="1921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Bacteriocin</w:t>
            </w:r>
          </w:p>
        </w:tc>
        <w:tc>
          <w:tcPr>
            <w:tcW w:w="1044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4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GH16</w:t>
            </w:r>
          </w:p>
        </w:tc>
        <w:tc>
          <w:tcPr>
            <w:tcW w:w="5163" w:type="dxa"/>
            <w:tcBorders>
              <w:top w:val="single" w:sz="2" w:space="0" w:color="000001"/>
              <w:bottom w:val="single" w:sz="2" w:space="0" w:color="000001"/>
            </w:tcBorders>
            <w:shd w:val="clear" w:color="auto" w:fill="auto"/>
          </w:tcPr>
          <w:p w:rsidR="006A33A9" w:rsidRDefault="00DA35CB" w:rsidP="00A84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Xyloglucan:xyloglucosyltransferase</w:t>
            </w:r>
          </w:p>
        </w:tc>
      </w:tr>
    </w:tbl>
    <w:p w:rsidR="006A33A9" w:rsidRDefault="006A33A9" w:rsidP="00A8487A">
      <w:pPr>
        <w:rPr>
          <w:sz w:val="20"/>
          <w:szCs w:val="20"/>
        </w:rPr>
      </w:pPr>
    </w:p>
    <w:p w:rsidR="006A33A9" w:rsidRDefault="00DA35CB" w:rsidP="00A8487A">
      <w:r>
        <w:br w:type="page"/>
      </w:r>
    </w:p>
    <w:p w:rsidR="006A33A9" w:rsidRDefault="00DA35CB" w:rsidP="00A8487A">
      <w:pPr>
        <w:spacing w:after="240"/>
        <w:rPr>
          <w:b/>
          <w:bCs/>
          <w:sz w:val="20"/>
          <w:szCs w:val="20"/>
        </w:rPr>
      </w:pPr>
      <w:r>
        <w:rPr>
          <w:rFonts w:eastAsiaTheme="minorEastAsia"/>
          <w:b/>
          <w:bCs/>
          <w:sz w:val="20"/>
          <w:szCs w:val="20"/>
          <w:lang w:eastAsia="ko-KR"/>
        </w:rPr>
        <w:lastRenderedPageBreak/>
        <w:t>Table S</w:t>
      </w:r>
      <w:r w:rsidR="005179C0">
        <w:rPr>
          <w:rFonts w:eastAsiaTheme="minorEastAsia"/>
          <w:b/>
          <w:bCs/>
          <w:sz w:val="20"/>
          <w:szCs w:val="20"/>
          <w:lang w:eastAsia="ko-KR"/>
        </w:rPr>
        <w:t>2</w:t>
      </w:r>
      <w:r>
        <w:rPr>
          <w:rFonts w:eastAsiaTheme="minorEastAsia"/>
          <w:b/>
          <w:bCs/>
          <w:sz w:val="20"/>
          <w:szCs w:val="20"/>
          <w:lang w:eastAsia="ko-KR"/>
        </w:rPr>
        <w:t xml:space="preserve">. Antimicrobial </w:t>
      </w:r>
      <w:r w:rsidR="00EB0606">
        <w:rPr>
          <w:rFonts w:eastAsiaTheme="minorEastAsia"/>
          <w:b/>
          <w:bCs/>
          <w:sz w:val="20"/>
          <w:szCs w:val="20"/>
          <w:lang w:eastAsia="ko-KR"/>
        </w:rPr>
        <w:t>activity</w:t>
      </w:r>
      <w:r>
        <w:rPr>
          <w:rFonts w:eastAsiaTheme="minorEastAsia"/>
          <w:b/>
          <w:bCs/>
          <w:sz w:val="20"/>
          <w:szCs w:val="20"/>
          <w:lang w:eastAsia="ko-KR"/>
        </w:rPr>
        <w:t xml:space="preserve"> of </w:t>
      </w:r>
      <w:r>
        <w:rPr>
          <w:rFonts w:eastAsiaTheme="minorEastAsia"/>
          <w:b/>
          <w:bCs/>
          <w:i/>
          <w:sz w:val="20"/>
          <w:szCs w:val="20"/>
          <w:lang w:eastAsia="ko-KR"/>
        </w:rPr>
        <w:t>S. yeochonensis</w:t>
      </w:r>
      <w:r>
        <w:rPr>
          <w:rFonts w:eastAsiaTheme="minorEastAsia"/>
          <w:b/>
          <w:bCs/>
          <w:sz w:val="20"/>
          <w:szCs w:val="20"/>
          <w:lang w:eastAsia="ko-KR"/>
        </w:rPr>
        <w:t xml:space="preserve"> CN732 on various </w:t>
      </w:r>
      <w:r w:rsidR="00EB0606">
        <w:rPr>
          <w:rFonts w:eastAsiaTheme="minorEastAsia"/>
          <w:b/>
          <w:bCs/>
          <w:sz w:val="20"/>
          <w:szCs w:val="20"/>
          <w:lang w:eastAsia="ko-KR"/>
        </w:rPr>
        <w:t xml:space="preserve">culture </w:t>
      </w:r>
      <w:r>
        <w:rPr>
          <w:rFonts w:eastAsiaTheme="minorEastAsia"/>
          <w:b/>
          <w:bCs/>
          <w:sz w:val="20"/>
          <w:szCs w:val="20"/>
          <w:lang w:eastAsia="ko-KR"/>
        </w:rPr>
        <w:t>media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70"/>
        <w:gridCol w:w="576"/>
        <w:gridCol w:w="599"/>
        <w:gridCol w:w="638"/>
        <w:gridCol w:w="934"/>
        <w:gridCol w:w="521"/>
        <w:gridCol w:w="565"/>
      </w:tblGrid>
      <w:tr w:rsidR="00EB0606" w:rsidTr="00EB0606">
        <w:trPr>
          <w:trHeight w:val="585"/>
        </w:trPr>
        <w:tc>
          <w:tcPr>
            <w:tcW w:w="0" w:type="auto"/>
            <w:vMerge w:val="restart"/>
            <w:tcBorders>
              <w:top w:val="single" w:sz="8" w:space="0" w:color="000000"/>
            </w:tcBorders>
            <w:shd w:val="clear" w:color="000000" w:fill="auto"/>
            <w:vAlign w:val="center"/>
          </w:tcPr>
          <w:p w:rsidR="00EB0606" w:rsidRDefault="00EB0606" w:rsidP="00A8487A">
            <w:pPr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Test microbe</w:t>
            </w:r>
          </w:p>
        </w:tc>
        <w:tc>
          <w:tcPr>
            <w:tcW w:w="0" w:type="auto"/>
            <w:gridSpan w:val="6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:rsidR="00EB0606" w:rsidRDefault="00EB0606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  <w:r>
              <w:rPr>
                <w:rFonts w:eastAsiaTheme="minorEastAsia" w:hint="eastAsia"/>
                <w:bCs/>
                <w:sz w:val="20"/>
                <w:szCs w:val="20"/>
                <w:lang w:eastAsia="ko-KR"/>
              </w:rPr>
              <w:t>Culture Medium*</w:t>
            </w:r>
          </w:p>
        </w:tc>
      </w:tr>
      <w:tr w:rsidR="00EB0606" w:rsidTr="00EB0606">
        <w:trPr>
          <w:trHeight w:val="585"/>
        </w:trPr>
        <w:tc>
          <w:tcPr>
            <w:tcW w:w="0" w:type="auto"/>
            <w:vMerge/>
            <w:tcBorders>
              <w:bottom w:val="single" w:sz="8" w:space="0" w:color="000000"/>
            </w:tcBorders>
            <w:shd w:val="clear" w:color="000000" w:fill="auto"/>
            <w:vAlign w:val="center"/>
          </w:tcPr>
          <w:p w:rsidR="00EB0606" w:rsidRDefault="00EB0606" w:rsidP="00A8487A"/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:rsidR="00EB0606" w:rsidRDefault="00EB0606" w:rsidP="00A8487A"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TSA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:rsidR="00EB0606" w:rsidRDefault="00EB0606" w:rsidP="00A8487A"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SNA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:rsidR="00EB0606" w:rsidRDefault="00EB0606" w:rsidP="00A8487A"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ISP 2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:rsidR="00EB0606" w:rsidRDefault="00EB0606" w:rsidP="00A8487A"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Bennett's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:rsidR="00EB0606" w:rsidRDefault="00EB0606" w:rsidP="000A33F1"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 xml:space="preserve">MH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center"/>
          </w:tcPr>
          <w:p w:rsidR="00EB0606" w:rsidRDefault="00EB0606" w:rsidP="00A8487A"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PEC</w:t>
            </w:r>
          </w:p>
        </w:tc>
      </w:tr>
      <w:tr w:rsidR="006A33A9" w:rsidTr="00EB0606">
        <w:trPr>
          <w:trHeight w:val="330"/>
        </w:trPr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6A33A9" w:rsidRDefault="00DA35CB" w:rsidP="00A8487A">
            <w:r>
              <w:rPr>
                <w:rFonts w:eastAsiaTheme="minorEastAsia"/>
                <w:b/>
                <w:bCs/>
                <w:iCs/>
                <w:sz w:val="20"/>
                <w:szCs w:val="20"/>
                <w:lang w:eastAsia="ko-KR"/>
              </w:rPr>
              <w:t>Gram positive bacteria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</w:tr>
      <w:tr w:rsidR="006A33A9" w:rsidTr="00EB0606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Micrococcus luteus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</w:tr>
      <w:tr w:rsidR="006A33A9" w:rsidTr="00EB0606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Staphylococcus aureus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</w:tr>
      <w:tr w:rsidR="006A33A9" w:rsidTr="00EB0606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Corynebacterium dightheriae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</w:tr>
      <w:tr w:rsidR="006A33A9" w:rsidTr="00EB0606">
        <w:trPr>
          <w:trHeight w:val="345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Bacillus subtilis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</w:tr>
      <w:tr w:rsidR="006A33A9" w:rsidTr="00EB0606">
        <w:trPr>
          <w:trHeight w:val="345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r>
              <w:rPr>
                <w:rFonts w:eastAsiaTheme="minorEastAsia"/>
                <w:b/>
                <w:bCs/>
                <w:iCs/>
                <w:sz w:val="20"/>
                <w:szCs w:val="20"/>
                <w:lang w:eastAsia="ko-KR"/>
              </w:rPr>
              <w:t>Gram negative bacteria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</w:tr>
      <w:tr w:rsidR="006A33A9" w:rsidTr="00EB0606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Klebsiella pneumoniae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</w:tr>
      <w:tr w:rsidR="006A33A9" w:rsidTr="00EB0606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Salmonella enterica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</w:tr>
      <w:tr w:rsidR="006A33A9" w:rsidTr="00EB0606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Serratia marcescens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</w:tr>
      <w:tr w:rsidR="006A33A9" w:rsidTr="00EB0606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Escherichia coli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</w:tr>
      <w:tr w:rsidR="006A33A9" w:rsidTr="00EB0606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Enterococcus faecalis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</w:tr>
      <w:tr w:rsidR="006A33A9" w:rsidTr="00EB0606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Enterovacter cloacae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</w:tr>
      <w:tr w:rsidR="006A33A9" w:rsidTr="00EB0606">
        <w:trPr>
          <w:trHeight w:val="345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Pseudomonas aeruginosa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</w:tr>
      <w:tr w:rsidR="006A33A9" w:rsidTr="00EB0606">
        <w:trPr>
          <w:trHeight w:val="345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r>
              <w:rPr>
                <w:rFonts w:eastAsiaTheme="minorEastAsia"/>
                <w:b/>
                <w:bCs/>
                <w:iCs/>
                <w:sz w:val="20"/>
                <w:szCs w:val="20"/>
                <w:lang w:eastAsia="ko-KR"/>
              </w:rPr>
              <w:t>Yeasts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6A33A9" w:rsidP="00A8487A">
            <w:pPr>
              <w:jc w:val="center"/>
              <w:rPr>
                <w:rFonts w:eastAsiaTheme="minorEastAsia" w:hint="eastAsia"/>
                <w:bCs/>
                <w:sz w:val="20"/>
                <w:szCs w:val="20"/>
                <w:lang w:eastAsia="ko-KR"/>
              </w:rPr>
            </w:pPr>
          </w:p>
        </w:tc>
      </w:tr>
      <w:tr w:rsidR="006A33A9" w:rsidTr="00EB0606">
        <w:trPr>
          <w:trHeight w:val="330"/>
        </w:trPr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Candida krusei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</w:tr>
      <w:tr w:rsidR="006A33A9" w:rsidTr="00EB0606">
        <w:trPr>
          <w:trHeight w:val="345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6A33A9" w:rsidRDefault="00DA35CB" w:rsidP="00A8487A">
            <w:pPr>
              <w:ind w:firstLine="100"/>
            </w:pPr>
            <w:r>
              <w:rPr>
                <w:rFonts w:eastAsiaTheme="minorEastAsia"/>
                <w:bCs/>
                <w:i/>
                <w:iCs/>
                <w:sz w:val="20"/>
                <w:szCs w:val="20"/>
                <w:lang w:eastAsia="ko-KR"/>
              </w:rPr>
              <w:t>Candida albicans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+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6A33A9" w:rsidRDefault="00DA35CB" w:rsidP="00A8487A">
            <w:pPr>
              <w:jc w:val="center"/>
            </w:pPr>
            <w:r>
              <w:rPr>
                <w:rFonts w:eastAsiaTheme="minorEastAsia"/>
                <w:bCs/>
                <w:sz w:val="20"/>
                <w:szCs w:val="20"/>
                <w:lang w:eastAsia="ko-KR"/>
              </w:rPr>
              <w:t>-</w:t>
            </w:r>
          </w:p>
        </w:tc>
      </w:tr>
    </w:tbl>
    <w:p w:rsidR="006A33A9" w:rsidRPr="00EB0606" w:rsidRDefault="00EB0606" w:rsidP="00A8487A">
      <w:pPr>
        <w:spacing w:before="240"/>
        <w:rPr>
          <w:rFonts w:eastAsiaTheme="minorEastAsia" w:hint="eastAsia"/>
          <w:bCs/>
          <w:sz w:val="20"/>
          <w:szCs w:val="20"/>
          <w:lang w:eastAsia="ko-KR"/>
        </w:rPr>
      </w:pPr>
      <w:r w:rsidRPr="00EB0606">
        <w:rPr>
          <w:rFonts w:eastAsiaTheme="minorEastAsia" w:hint="eastAsia"/>
          <w:bCs/>
          <w:sz w:val="20"/>
          <w:szCs w:val="20"/>
          <w:lang w:eastAsia="ko-KR"/>
        </w:rPr>
        <w:t xml:space="preserve">* </w:t>
      </w:r>
      <w:r w:rsidRPr="00EB0606">
        <w:rPr>
          <w:rFonts w:eastAsiaTheme="minorEastAsia"/>
          <w:bCs/>
          <w:sz w:val="20"/>
          <w:szCs w:val="20"/>
          <w:lang w:eastAsia="ko-KR"/>
        </w:rPr>
        <w:t>TSA, tryptic soy agar;</w:t>
      </w:r>
      <w:r>
        <w:rPr>
          <w:rFonts w:eastAsiaTheme="minorEastAsia"/>
          <w:bCs/>
          <w:sz w:val="20"/>
          <w:szCs w:val="20"/>
          <w:lang w:eastAsia="ko-KR"/>
        </w:rPr>
        <w:t xml:space="preserve"> SNA, synthetic nutrient poor agar; ISP 2, International </w:t>
      </w:r>
      <w:r w:rsidRPr="00EB0606">
        <w:rPr>
          <w:rFonts w:eastAsiaTheme="minorEastAsia"/>
          <w:bCs/>
          <w:i/>
          <w:sz w:val="20"/>
          <w:szCs w:val="20"/>
          <w:lang w:eastAsia="ko-KR"/>
        </w:rPr>
        <w:t>Streptomyces</w:t>
      </w:r>
      <w:r>
        <w:rPr>
          <w:rFonts w:eastAsiaTheme="minorEastAsia"/>
          <w:bCs/>
          <w:sz w:val="20"/>
          <w:szCs w:val="20"/>
          <w:lang w:eastAsia="ko-KR"/>
        </w:rPr>
        <w:t xml:space="preserve"> medium 2; </w:t>
      </w:r>
      <w:r w:rsidR="000A33F1">
        <w:rPr>
          <w:rFonts w:eastAsiaTheme="minorEastAsia"/>
          <w:bCs/>
          <w:sz w:val="20"/>
          <w:szCs w:val="20"/>
          <w:lang w:eastAsia="ko-KR"/>
        </w:rPr>
        <w:t xml:space="preserve">MH, Mueller-Hinton medium; </w:t>
      </w:r>
      <w:r>
        <w:rPr>
          <w:rFonts w:eastAsiaTheme="minorEastAsia"/>
          <w:bCs/>
          <w:sz w:val="20"/>
          <w:szCs w:val="20"/>
          <w:lang w:eastAsia="ko-KR"/>
        </w:rPr>
        <w:t xml:space="preserve">PEC, </w:t>
      </w:r>
      <w:r w:rsidR="000A33F1">
        <w:rPr>
          <w:rFonts w:eastAsiaTheme="minorEastAsia"/>
          <w:bCs/>
          <w:sz w:val="20"/>
          <w:szCs w:val="20"/>
          <w:lang w:eastAsia="ko-KR"/>
        </w:rPr>
        <w:t xml:space="preserve">pectin-malt extract-casamino acid </w:t>
      </w:r>
      <w:r>
        <w:rPr>
          <w:rFonts w:eastAsiaTheme="minorEastAsia"/>
          <w:bCs/>
          <w:sz w:val="20"/>
          <w:szCs w:val="20"/>
          <w:lang w:eastAsia="ko-KR"/>
        </w:rPr>
        <w:t>medium.</w:t>
      </w:r>
    </w:p>
    <w:sectPr w:rsidR="006A33A9" w:rsidRPr="00EB0606">
      <w:pgSz w:w="12240" w:h="15840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0F2C" w:rsidRDefault="00E90F2C" w:rsidP="001604E7">
      <w:r>
        <w:separator/>
      </w:r>
    </w:p>
  </w:endnote>
  <w:endnote w:type="continuationSeparator" w:id="0">
    <w:p w:rsidR="00E90F2C" w:rsidRDefault="00E90F2C" w:rsidP="00160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Lohit Devanagari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entury Schoolbook L">
    <w:altName w:val="Times New Roman"/>
    <w:charset w:val="01"/>
    <w:family w:val="roman"/>
    <w:pitch w:val="variable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0F2C" w:rsidRDefault="00E90F2C" w:rsidP="001604E7">
      <w:r>
        <w:separator/>
      </w:r>
    </w:p>
  </w:footnote>
  <w:footnote w:type="continuationSeparator" w:id="0">
    <w:p w:rsidR="00E90F2C" w:rsidRDefault="00E90F2C" w:rsidP="001604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A9"/>
    <w:rsid w:val="000A33F1"/>
    <w:rsid w:val="00136694"/>
    <w:rsid w:val="001604E7"/>
    <w:rsid w:val="005179C0"/>
    <w:rsid w:val="0066379E"/>
    <w:rsid w:val="006A33A9"/>
    <w:rsid w:val="008C2B31"/>
    <w:rsid w:val="00A52484"/>
    <w:rsid w:val="00A8487A"/>
    <w:rsid w:val="00BA2CDB"/>
    <w:rsid w:val="00C06348"/>
    <w:rsid w:val="00DA35CB"/>
    <w:rsid w:val="00E90F2C"/>
    <w:rsid w:val="00EB0606"/>
    <w:rsid w:val="00F50A0E"/>
    <w:rsid w:val="00F67985"/>
    <w:rsid w:val="00FA51C3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ACF88C9-BFE6-4E81-9F6E-4BC04397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EastAsia" w:hAnsi="Liberation Serif" w:cs="Lohit Devanagari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Source Han Sans CN Regular"/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풍선 도움말 텍스트 Char"/>
    <w:basedOn w:val="a0"/>
    <w:link w:val="a3"/>
    <w:uiPriority w:val="99"/>
    <w:semiHidden/>
    <w:qFormat/>
    <w:rsid w:val="00A50974"/>
    <w:rPr>
      <w:rFonts w:asciiTheme="majorHAnsi" w:eastAsiaTheme="majorEastAsia" w:hAnsiTheme="majorHAnsi" w:cs="Mangal"/>
      <w:color w:val="00000A"/>
      <w:sz w:val="18"/>
      <w:szCs w:val="16"/>
    </w:rPr>
  </w:style>
  <w:style w:type="character" w:customStyle="1" w:styleId="Char1">
    <w:name w:val="바닥글 Char1"/>
    <w:basedOn w:val="a0"/>
    <w:link w:val="a4"/>
    <w:uiPriority w:val="99"/>
    <w:qFormat/>
    <w:rsid w:val="00A50974"/>
    <w:rPr>
      <w:rFonts w:eastAsia="Source Han Sans CN Regular" w:cs="Mangal"/>
      <w:color w:val="00000A"/>
      <w:sz w:val="24"/>
      <w:szCs w:val="21"/>
    </w:rPr>
  </w:style>
  <w:style w:type="character" w:customStyle="1" w:styleId="Char0">
    <w:name w:val="바닥글 Char"/>
    <w:basedOn w:val="a0"/>
    <w:uiPriority w:val="99"/>
    <w:qFormat/>
    <w:rsid w:val="00A50974"/>
    <w:rPr>
      <w:rFonts w:eastAsia="Source Han Sans CN Regular" w:cs="Mangal"/>
      <w:color w:val="00000A"/>
      <w:sz w:val="24"/>
      <w:szCs w:val="21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3">
    <w:name w:val="Balloon Text"/>
    <w:basedOn w:val="a"/>
    <w:link w:val="Char"/>
    <w:uiPriority w:val="99"/>
    <w:semiHidden/>
    <w:unhideWhenUsed/>
    <w:qFormat/>
    <w:rsid w:val="00A50974"/>
    <w:rPr>
      <w:rFonts w:asciiTheme="majorHAnsi" w:eastAsiaTheme="majorEastAsia" w:hAnsiTheme="majorHAnsi" w:cs="Mangal"/>
      <w:sz w:val="18"/>
      <w:szCs w:val="16"/>
    </w:rPr>
  </w:style>
  <w:style w:type="paragraph" w:styleId="a8">
    <w:name w:val="header"/>
    <w:basedOn w:val="a"/>
    <w:uiPriority w:val="99"/>
    <w:unhideWhenUsed/>
    <w:rsid w:val="00A50974"/>
    <w:pPr>
      <w:tabs>
        <w:tab w:val="center" w:pos="4513"/>
        <w:tab w:val="right" w:pos="9026"/>
      </w:tabs>
      <w:snapToGrid w:val="0"/>
    </w:pPr>
    <w:rPr>
      <w:rFonts w:cs="Mangal"/>
      <w:szCs w:val="21"/>
    </w:rPr>
  </w:style>
  <w:style w:type="paragraph" w:styleId="a4">
    <w:name w:val="footer"/>
    <w:basedOn w:val="a"/>
    <w:link w:val="Char1"/>
    <w:uiPriority w:val="99"/>
    <w:unhideWhenUsed/>
    <w:rsid w:val="00A50974"/>
    <w:pPr>
      <w:tabs>
        <w:tab w:val="center" w:pos="4513"/>
        <w:tab w:val="right" w:pos="9026"/>
      </w:tabs>
      <w:snapToGrid w:val="0"/>
    </w:pPr>
    <w:rPr>
      <w:rFonts w:cs="Mangal"/>
      <w:szCs w:val="21"/>
    </w:rPr>
  </w:style>
  <w:style w:type="paragraph" w:customStyle="1" w:styleId="Default">
    <w:name w:val="Default"/>
    <w:qFormat/>
    <w:pPr>
      <w:spacing w:line="200" w:lineRule="atLeast"/>
    </w:pPr>
    <w:rPr>
      <w:rFonts w:ascii="Lohit Devanagari" w:eastAsia="DejaVu Sans" w:hAnsi="Lohit Devanagari" w:cs="Liberation Sans"/>
      <w:kern w:val="2"/>
      <w:sz w:val="36"/>
    </w:rPr>
  </w:style>
  <w:style w:type="paragraph" w:styleId="a9">
    <w:name w:val="List Paragraph"/>
    <w:basedOn w:val="a"/>
    <w:uiPriority w:val="34"/>
    <w:qFormat/>
    <w:rsid w:val="00EB0606"/>
    <w:pPr>
      <w:ind w:leftChars="400" w:left="80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09C92-BCDD-4EBE-81DE-57F5F229F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dcterms:created xsi:type="dcterms:W3CDTF">2019-12-05T07:19:00Z</dcterms:created>
  <dcterms:modified xsi:type="dcterms:W3CDTF">2019-12-05T07:19:00Z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