
<file path=[Content_Types].xml><?xml version="1.0" encoding="utf-8"?>
<Types xmlns="http://schemas.openxmlformats.org/package/2006/content-types">
  <Default Extension="xml" ContentType="application/xml"/>
  <Default Extension="png" ContentType="image/png"/>
  <Default Extension="tiff" ContentType="image/tif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ascii="Times New Roman" w:hAnsi="Times New Roman" w:cs="Times New Roman"/>
          <w:b/>
          <w:bCs/>
          <w:sz w:val="24"/>
          <w:szCs w:val="24"/>
        </w:rPr>
      </w:pPr>
      <w:r>
        <w:rPr>
          <w:rFonts w:ascii="Times New Roman" w:hAnsi="Times New Roman" w:cs="Times New Roman"/>
          <w:b/>
          <w:bCs/>
          <w:sz w:val="24"/>
          <w:szCs w:val="24"/>
        </w:rPr>
        <w:t>Additional file 4</w:t>
      </w:r>
    </w:p>
    <w:p>
      <w:pPr>
        <w:spacing w:line="480" w:lineRule="auto"/>
        <w:rPr>
          <w:rFonts w:ascii="Times New Roman" w:hAnsi="Times New Roman" w:cs="Times New Roman"/>
          <w:sz w:val="24"/>
          <w:szCs w:val="24"/>
        </w:rPr>
      </w:pPr>
      <w:r>
        <w:rPr>
          <w:rFonts w:ascii="Times New Roman" w:hAnsi="Times New Roman" w:cs="Times New Roman"/>
          <w:sz w:val="24"/>
          <w:szCs w:val="24"/>
        </w:rPr>
        <w:drawing>
          <wp:inline distT="0" distB="0" distL="0" distR="0">
            <wp:extent cx="5448300" cy="196278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4" cstate="print"/>
                    <a:srcRect/>
                    <a:stretch>
                      <a:fillRect/>
                    </a:stretch>
                  </pic:blipFill>
                  <pic:spPr>
                    <a:xfrm>
                      <a:off x="0" y="0"/>
                      <a:ext cx="5455450" cy="1965758"/>
                    </a:xfrm>
                    <a:prstGeom prst="rect">
                      <a:avLst/>
                    </a:prstGeom>
                    <a:noFill/>
                    <a:ln w="9525">
                      <a:noFill/>
                      <a:miter lim="800000"/>
                      <a:headEnd/>
                      <a:tailEnd/>
                    </a:ln>
                  </pic:spPr>
                </pic:pic>
              </a:graphicData>
            </a:graphic>
          </wp:inline>
        </w:drawing>
      </w:r>
    </w:p>
    <w:p>
      <w:pPr>
        <w:spacing w:line="480" w:lineRule="auto"/>
        <w:rPr>
          <w:rFonts w:ascii="Times New Roman" w:hAnsi="Times New Roman" w:cs="Times New Roman"/>
          <w:sz w:val="24"/>
          <w:szCs w:val="24"/>
        </w:rPr>
      </w:pPr>
      <w:r>
        <w:rPr>
          <w:rFonts w:ascii="Times New Roman" w:hAnsi="Times New Roman" w:cs="Times New Roman"/>
          <w:b/>
          <w:sz w:val="24"/>
          <w:szCs w:val="24"/>
        </w:rPr>
        <w:t xml:space="preserve">Fig. S1 Constitution of clean </w:t>
      </w:r>
      <w:r>
        <w:rPr>
          <w:rFonts w:ascii="Times New Roman" w:hAnsi="Times New Roman" w:cs="Times New Roman"/>
          <w:b/>
          <w:bCs/>
          <w:sz w:val="24"/>
          <w:szCs w:val="24"/>
        </w:rPr>
        <w:t>sequencing reads of all 110 chicken genomes produced in this study.</w:t>
      </w:r>
      <w:r>
        <w:rPr>
          <w:rFonts w:ascii="Times New Roman" w:hAnsi="Times New Roman" w:cs="Times New Roman"/>
          <w:sz w:val="24"/>
          <w:szCs w:val="24"/>
        </w:rPr>
        <w:t xml:space="preserve"> Adapters (yellow) indicate reads with sequencing adapters below the filtering threshold, HQ_clean (green) represents high quality reads, Low_quality (orange) indicates reads with a low number of low quality bases, N_containing (purple) indicates reads with a low degree of N bases.</w:t>
      </w:r>
    </w:p>
    <w:p>
      <w:pPr>
        <w:spacing w:line="48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3579495" cy="2150745"/>
            <wp:effectExtent l="19050" t="0" r="151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 cstate="print"/>
                    <a:srcRect/>
                    <a:stretch>
                      <a:fillRect/>
                    </a:stretch>
                  </pic:blipFill>
                  <pic:spPr>
                    <a:xfrm>
                      <a:off x="0" y="0"/>
                      <a:ext cx="3581325" cy="2151659"/>
                    </a:xfrm>
                    <a:prstGeom prst="rect">
                      <a:avLst/>
                    </a:prstGeom>
                    <a:noFill/>
                    <a:ln w="9525">
                      <a:noFill/>
                      <a:miter lim="800000"/>
                      <a:headEnd/>
                      <a:tailEnd/>
                    </a:ln>
                  </pic:spPr>
                </pic:pic>
              </a:graphicData>
            </a:graphic>
          </wp:inline>
        </w:drawing>
      </w:r>
    </w:p>
    <w:p>
      <w:pPr>
        <w:spacing w:line="480" w:lineRule="auto"/>
        <w:rPr>
          <w:rFonts w:ascii="Times New Roman" w:hAnsi="Times New Roman" w:cs="Times New Roman"/>
          <w:sz w:val="24"/>
          <w:szCs w:val="24"/>
        </w:rPr>
      </w:pPr>
      <w:r>
        <w:rPr>
          <w:rFonts w:ascii="Times New Roman" w:hAnsi="Times New Roman" w:cs="Times New Roman"/>
          <w:b/>
          <w:sz w:val="24"/>
          <w:szCs w:val="24"/>
        </w:rPr>
        <w:t>Fig. S2 Summary of the average sequencing coverage of all 110 chicken genomes generated in this study.</w:t>
      </w:r>
      <w:r>
        <w:rPr>
          <w:rFonts w:hint="eastAsia" w:ascii="Times New Roman" w:hAnsi="Times New Roman" w:cs="Times New Roman"/>
          <w:b/>
          <w:sz w:val="24"/>
          <w:szCs w:val="24"/>
        </w:rPr>
        <w:t xml:space="preserve"> </w:t>
      </w:r>
      <w:r>
        <w:rPr>
          <w:rFonts w:ascii="Times New Roman" w:hAnsi="Times New Roman" w:cs="Times New Roman"/>
          <w:sz w:val="24"/>
          <w:szCs w:val="24"/>
        </w:rPr>
        <w:t>Coverage statistics are computed up to the 30</w:t>
      </w:r>
      <w:r>
        <w:rPr>
          <w:rFonts w:hint="eastAsia" w:ascii="Times New Roman" w:hAnsi="Times New Roman" w:cs="Times New Roman"/>
          <w:sz w:val="24"/>
          <w:szCs w:val="24"/>
        </w:rPr>
        <w:t>X</w:t>
      </w:r>
      <w:r>
        <w:rPr>
          <w:rFonts w:ascii="Times New Roman" w:hAnsi="Times New Roman" w:cs="Times New Roman"/>
          <w:sz w:val="24"/>
          <w:szCs w:val="24"/>
        </w:rPr>
        <w:t xml:space="preserve"> target depth with reference to the Galgal5 reference genome.</w:t>
      </w:r>
    </w:p>
    <w:p>
      <w:pPr>
        <w:spacing w:line="480" w:lineRule="auto"/>
        <w:rPr>
          <w:rFonts w:ascii="Times New Roman" w:hAnsi="Times New Roman" w:cs="Times New Roman"/>
          <w:sz w:val="24"/>
          <w:szCs w:val="24"/>
        </w:rPr>
      </w:pPr>
      <w:r>
        <w:rPr>
          <w:rFonts w:ascii="Times New Roman" w:hAnsi="Times New Roman" w:cs="Times New Roman"/>
          <w:sz w:val="24"/>
          <w:szCs w:val="24"/>
        </w:rPr>
        <w:drawing>
          <wp:inline distT="0" distB="0" distL="0" distR="0">
            <wp:extent cx="4147185" cy="4147185"/>
            <wp:effectExtent l="19050" t="0" r="5467" b="0"/>
            <wp:docPr id="10" name="Picture 10" descr="G:\GDDB2999-原始数据\RESULTS\GDDB2999-Gallus_gallus-110-Resequencing-brief_report\circ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GDDB2999-原始数据\RESULTS\GDDB2999-Gallus_gallus-110-Resequencing-brief_report\circos.png"/>
                    <pic:cNvPicPr>
                      <a:picLocks noChangeAspect="1" noChangeArrowheads="1"/>
                    </pic:cNvPicPr>
                  </pic:nvPicPr>
                  <pic:blipFill>
                    <a:blip r:embed="rId6" cstate="print"/>
                    <a:srcRect/>
                    <a:stretch>
                      <a:fillRect/>
                    </a:stretch>
                  </pic:blipFill>
                  <pic:spPr>
                    <a:xfrm>
                      <a:off x="0" y="0"/>
                      <a:ext cx="4157791" cy="4157791"/>
                    </a:xfrm>
                    <a:prstGeom prst="rect">
                      <a:avLst/>
                    </a:prstGeom>
                    <a:noFill/>
                    <a:ln w="9525">
                      <a:noFill/>
                      <a:miter lim="800000"/>
                      <a:headEnd/>
                      <a:tailEnd/>
                    </a:ln>
                  </pic:spPr>
                </pic:pic>
              </a:graphicData>
            </a:graphic>
          </wp:inline>
        </w:drawing>
      </w:r>
    </w:p>
    <w:p>
      <w:pPr>
        <w:spacing w:line="480" w:lineRule="auto"/>
        <w:rPr>
          <w:rFonts w:ascii="Times New Roman" w:hAnsi="Times New Roman" w:eastAsia="TimesNewRomanPSMT" w:cs="Times New Roman"/>
          <w:color w:val="000000"/>
          <w:sz w:val="24"/>
          <w:szCs w:val="24"/>
        </w:rPr>
      </w:pPr>
      <w:r>
        <w:rPr>
          <w:rFonts w:ascii="Times New Roman" w:hAnsi="Times New Roman" w:eastAsia="TimesNewRomanPSMT" w:cs="Times New Roman"/>
          <w:b/>
          <w:bCs/>
          <w:color w:val="000000"/>
          <w:sz w:val="24"/>
          <w:szCs w:val="24"/>
        </w:rPr>
        <w:t xml:space="preserve">Fig. S3 </w:t>
      </w:r>
      <w:r>
        <w:rPr>
          <w:rFonts w:ascii="Times New Roman" w:hAnsi="Times New Roman" w:cs="Times New Roman"/>
          <w:b/>
          <w:sz w:val="24"/>
          <w:szCs w:val="24"/>
        </w:rPr>
        <w:t>Circos plot depicting the genomic variants landscape in each chromosome.</w:t>
      </w:r>
      <w:r>
        <w:rPr>
          <w:rFonts w:ascii="Times New Roman" w:hAnsi="Times New Roman" w:cs="Times New Roman"/>
          <w:sz w:val="24"/>
          <w:szCs w:val="24"/>
        </w:rPr>
        <w:t xml:space="preserve"> Different loops from outside to inside summarize the length of each chromosome (unit: Mb), the gene density, the SNP density (SNP density &gt; 0.0015 is marked by a red square, 0.0005 &lt; SNP density ≤ 0.0015 by gray circle, and SNP density ≤ 0.0005 by a green triangle), the positions of INS (structural variation of the insertion type), the positions of INV (structural variation of the inverted type) on the chromosome, the positions of ITX (structural variation of the intrachromosomal translocation type). The lines of the inner circle indicate positions of CTX (structural variation of the interchromosomal translocation type) on the two chromosomes.</w:t>
      </w:r>
    </w:p>
    <w:p>
      <w:pPr>
        <w:spacing w:line="480" w:lineRule="auto"/>
        <w:rPr>
          <w:rFonts w:ascii="Times New Roman" w:hAnsi="Times New Roman" w:cs="Times New Roman"/>
          <w:sz w:val="24"/>
          <w:szCs w:val="24"/>
        </w:rPr>
      </w:pPr>
      <w:r>
        <w:t xml:space="preserve"> </w:t>
      </w:r>
      <w:r>
        <w:rPr>
          <w:rFonts w:ascii="Times New Roman" w:hAnsi="Times New Roman" w:cs="Times New Roman"/>
          <w:sz w:val="24"/>
          <w:szCs w:val="24"/>
        </w:rPr>
        <w:drawing>
          <wp:inline distT="0" distB="0" distL="0" distR="0">
            <wp:extent cx="5486400" cy="281241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pic:cNvPicPr>
                  </pic:nvPicPr>
                  <pic:blipFill>
                    <a:blip r:embed="rId7"/>
                    <a:stretch>
                      <a:fillRect/>
                    </a:stretch>
                  </pic:blipFill>
                  <pic:spPr>
                    <a:xfrm>
                      <a:off x="0" y="0"/>
                      <a:ext cx="5486400" cy="2812415"/>
                    </a:xfrm>
                    <a:prstGeom prst="rect">
                      <a:avLst/>
                    </a:prstGeom>
                  </pic:spPr>
                </pic:pic>
              </a:graphicData>
            </a:graphic>
          </wp:inline>
        </w:drawing>
      </w:r>
    </w:p>
    <w:p>
      <w:pPr>
        <w:spacing w:line="480" w:lineRule="auto"/>
        <w:rPr>
          <w:rFonts w:ascii="Times New Roman" w:hAnsi="Times New Roman" w:cs="Times New Roman"/>
          <w:sz w:val="24"/>
          <w:szCs w:val="24"/>
        </w:rPr>
      </w:pPr>
      <w:r>
        <w:rPr>
          <w:rFonts w:ascii="Times New Roman" w:hAnsi="Times New Roman" w:cs="Times New Roman"/>
          <w:b/>
          <w:sz w:val="24"/>
          <w:szCs w:val="24"/>
        </w:rPr>
        <w:t xml:space="preserve">Fig. S4 </w:t>
      </w:r>
      <w:r>
        <w:rPr>
          <w:rFonts w:ascii="Times New Roman" w:hAnsi="Times New Roman" w:cs="Times New Roman"/>
          <w:b/>
          <w:bCs/>
          <w:sz w:val="24"/>
          <w:szCs w:val="24"/>
        </w:rPr>
        <w:t>Annotation of the clean genomic SNPs of all 110 chickens sequenced in this study.</w:t>
      </w:r>
      <w:r>
        <w:rPr>
          <w:rFonts w:ascii="Times New Roman" w:hAnsi="Times New Roman" w:cs="Times New Roman"/>
          <w:sz w:val="24"/>
          <w:szCs w:val="24"/>
        </w:rPr>
        <w:t xml:space="preserve"> Proportions of SNPs are classified according to: </w:t>
      </w:r>
      <w:r>
        <w:rPr>
          <w:rFonts w:hint="eastAsia" w:ascii="Times New Roman" w:hAnsi="Times New Roman" w:cs="Times New Roman"/>
          <w:sz w:val="24"/>
          <w:szCs w:val="24"/>
          <w:lang w:val="en-US" w:eastAsia="zh-CN"/>
        </w:rPr>
        <w:t>(</w:t>
      </w:r>
      <w:r>
        <w:rPr>
          <w:rFonts w:ascii="Times New Roman" w:hAnsi="Times New Roman" w:cs="Times New Roman"/>
          <w:b/>
          <w:bCs/>
          <w:sz w:val="24"/>
          <w:szCs w:val="24"/>
        </w:rPr>
        <w:t>a</w:t>
      </w:r>
      <w:r>
        <w:rPr>
          <w:rFonts w:hint="eastAsia" w:ascii="Times New Roman" w:hAnsi="Times New Roman" w:cs="Times New Roman"/>
          <w:b w:val="0"/>
          <w:bCs w:val="0"/>
          <w:sz w:val="24"/>
          <w:szCs w:val="24"/>
          <w:lang w:val="en-US" w:eastAsia="zh-CN"/>
        </w:rPr>
        <w:t>)</w:t>
      </w:r>
      <w:r>
        <w:rPr>
          <w:rFonts w:ascii="Times New Roman" w:hAnsi="Times New Roman" w:cs="Times New Roman"/>
          <w:sz w:val="24"/>
          <w:szCs w:val="24"/>
        </w:rPr>
        <w:t xml:space="preserve"> the genomic locations in which they occur; and </w:t>
      </w:r>
      <w:r>
        <w:rPr>
          <w:rFonts w:hint="eastAsia" w:ascii="Times New Roman" w:hAnsi="Times New Roman" w:cs="Times New Roman"/>
          <w:sz w:val="24"/>
          <w:szCs w:val="24"/>
          <w:lang w:val="en-US" w:eastAsia="zh-CN"/>
        </w:rPr>
        <w:t>(</w:t>
      </w:r>
      <w:r>
        <w:rPr>
          <w:rFonts w:ascii="Times New Roman" w:hAnsi="Times New Roman" w:cs="Times New Roman"/>
          <w:b/>
          <w:bCs/>
          <w:sz w:val="24"/>
          <w:szCs w:val="24"/>
        </w:rPr>
        <w:t>b</w:t>
      </w:r>
      <w:r>
        <w:rPr>
          <w:rFonts w:hint="eastAsia" w:ascii="Times New Roman" w:hAnsi="Times New Roman" w:cs="Times New Roman"/>
          <w:b w:val="0"/>
          <w:bCs w:val="0"/>
          <w:sz w:val="24"/>
          <w:szCs w:val="24"/>
          <w:lang w:val="en-US" w:eastAsia="zh-CN"/>
        </w:rPr>
        <w:t>)</w:t>
      </w:r>
      <w:r>
        <w:rPr>
          <w:rFonts w:ascii="Times New Roman" w:hAnsi="Times New Roman" w:cs="Times New Roman"/>
          <w:sz w:val="24"/>
          <w:szCs w:val="24"/>
        </w:rPr>
        <w:t xml:space="preserve"> the genetic coding attributes.</w:t>
      </w:r>
    </w:p>
    <w:p>
      <w:pPr>
        <w:spacing w:line="480" w:lineRule="auto"/>
        <w:rPr>
          <w:rFonts w:ascii="Times New Roman" w:hAnsi="Times New Roman" w:cs="Times New Roman"/>
          <w:sz w:val="24"/>
          <w:szCs w:val="24"/>
        </w:rPr>
      </w:pPr>
      <w:bookmarkStart w:id="0" w:name="_GoBack"/>
      <w:bookmarkEnd w:id="0"/>
    </w:p>
    <w:p>
      <w:pPr>
        <w:spacing w:line="480" w:lineRule="auto"/>
        <w:jc w:val="center"/>
        <w:rPr>
          <w:rFonts w:ascii="Times New Roman" w:hAnsi="Times New Roman" w:cs="Times New Roman"/>
          <w:sz w:val="24"/>
          <w:szCs w:val="24"/>
        </w:rPr>
      </w:pPr>
      <w:r>
        <w:rPr>
          <w:rFonts w:ascii="Times New Roman" w:hAnsi="Times New Roman" w:eastAsia="Times New Roman" w:cs="Times New Roman"/>
          <w:snapToGrid w:val="0"/>
          <w:color w:val="000000"/>
          <w:w w:val="0"/>
          <w:sz w:val="0"/>
          <w:szCs w:val="0"/>
          <w:u w:color="000000"/>
          <w:shd w:val="clear" w:color="000000" w:fill="000000"/>
          <w:lang w:val="zh-CN" w:eastAsia="zh-CN" w:bidi="zh-CN"/>
        </w:rPr>
        <w:t xml:space="preserve"> </w:t>
      </w:r>
      <w:r>
        <w:rPr>
          <w:rFonts w:ascii="Times New Roman" w:hAnsi="Times New Roman" w:eastAsia="Times New Roman" w:cs="Times New Roman"/>
          <w:snapToGrid w:val="0"/>
          <w:color w:val="000000"/>
          <w:w w:val="0"/>
          <w:sz w:val="0"/>
          <w:szCs w:val="0"/>
          <w:u w:color="000000"/>
          <w:shd w:val="clear" w:color="000000" w:fill="000000"/>
        </w:rPr>
        <w:drawing>
          <wp:inline distT="0" distB="0" distL="0" distR="0">
            <wp:extent cx="5486400" cy="3126740"/>
            <wp:effectExtent l="0" t="0" r="0" b="0"/>
            <wp:docPr id="7" name="Picture 7" descr="C:\Users\notec\Pictures\ts-t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notec\Pictures\ts-tv.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486400" cy="3127080"/>
                    </a:xfrm>
                    <a:prstGeom prst="rect">
                      <a:avLst/>
                    </a:prstGeom>
                    <a:noFill/>
                    <a:ln>
                      <a:noFill/>
                    </a:ln>
                  </pic:spPr>
                </pic:pic>
              </a:graphicData>
            </a:graphic>
          </wp:inline>
        </w:drawing>
      </w:r>
    </w:p>
    <w:p>
      <w:pPr>
        <w:spacing w:line="480" w:lineRule="auto"/>
        <w:rPr>
          <w:rFonts w:ascii="Times New Roman" w:hAnsi="Times New Roman" w:cs="Times New Roman"/>
          <w:sz w:val="24"/>
          <w:szCs w:val="24"/>
        </w:rPr>
      </w:pPr>
      <w:r>
        <w:rPr>
          <w:rFonts w:ascii="Times New Roman" w:hAnsi="Times New Roman" w:cs="Times New Roman"/>
          <w:b/>
          <w:sz w:val="24"/>
          <w:szCs w:val="24"/>
        </w:rPr>
        <w:t xml:space="preserve">Fig. S5 </w:t>
      </w:r>
      <w:r>
        <w:rPr>
          <w:rFonts w:ascii="Times New Roman" w:hAnsi="Times New Roman" w:cs="Times New Roman"/>
          <w:b/>
          <w:bCs/>
          <w:sz w:val="24"/>
          <w:szCs w:val="24"/>
        </w:rPr>
        <w:t>Transition-transversion analysis of the clean SNPs of all 110 chicken genomes sequenced in this study.</w:t>
      </w:r>
      <w:r>
        <w:rPr>
          <w:rFonts w:ascii="Times New Roman" w:hAnsi="Times New Roman" w:cs="Times New Roman"/>
          <w:sz w:val="24"/>
          <w:szCs w:val="24"/>
        </w:rPr>
        <w:t xml:space="preserve"> Bars represent the total number of transitional SNPs (red) followed by the individual base transitions types, and the total number of transversional SNPs (green) followed by the individual base transversion types. Numbers and proportions of the two groups of variants are their constituent variants are shown.  </w:t>
      </w:r>
    </w:p>
    <w:p>
      <w:pPr>
        <w:spacing w:line="480" w:lineRule="auto"/>
        <w:rPr>
          <w:rFonts w:ascii="Times New Roman" w:hAnsi="Times New Roman" w:cs="Times New Roman"/>
          <w:b/>
          <w:sz w:val="24"/>
          <w:szCs w:val="24"/>
        </w:rPr>
      </w:pPr>
    </w:p>
    <w:p>
      <w:pPr>
        <w:spacing w:line="480" w:lineRule="auto"/>
        <w:rPr>
          <w:rFonts w:ascii="Times New Roman" w:hAnsi="Times New Roman" w:cs="Times New Roman"/>
          <w:b/>
          <w:sz w:val="24"/>
          <w:szCs w:val="24"/>
        </w:rPr>
      </w:pPr>
      <w:r>
        <w:rPr>
          <w:rFonts w:ascii="Times New Roman" w:hAnsi="Times New Roman" w:cs="Times New Roman"/>
          <w:b/>
          <w:sz w:val="24"/>
          <w:szCs w:val="24"/>
        </w:rPr>
        <w:drawing>
          <wp:inline distT="0" distB="0" distL="0" distR="0">
            <wp:extent cx="5486400" cy="28829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9"/>
                    <a:stretch>
                      <a:fillRect/>
                    </a:stretch>
                  </pic:blipFill>
                  <pic:spPr>
                    <a:xfrm>
                      <a:off x="0" y="0"/>
                      <a:ext cx="5486400" cy="2882900"/>
                    </a:xfrm>
                    <a:prstGeom prst="rect">
                      <a:avLst/>
                    </a:prstGeom>
                  </pic:spPr>
                </pic:pic>
              </a:graphicData>
            </a:graphic>
          </wp:inline>
        </w:drawing>
      </w:r>
    </w:p>
    <w:p>
      <w:pPr>
        <w:spacing w:line="480" w:lineRule="auto"/>
        <w:rPr>
          <w:rFonts w:ascii="Times New Roman" w:hAnsi="Times New Roman" w:cs="Times New Roman"/>
          <w:sz w:val="24"/>
          <w:szCs w:val="24"/>
        </w:rPr>
      </w:pPr>
      <w:r>
        <w:rPr>
          <w:rFonts w:ascii="Times New Roman" w:hAnsi="Times New Roman" w:cs="Times New Roman"/>
          <w:b/>
          <w:sz w:val="24"/>
          <w:szCs w:val="24"/>
        </w:rPr>
        <w:t xml:space="preserve">Fig. S6 </w:t>
      </w:r>
      <w:r>
        <w:rPr>
          <w:rFonts w:ascii="Times New Roman" w:hAnsi="Times New Roman" w:cs="Times New Roman"/>
          <w:b/>
          <w:bCs/>
          <w:sz w:val="24"/>
          <w:szCs w:val="24"/>
        </w:rPr>
        <w:t>Annotation of the clean InDels of all 110 chicken genomes sequenced in this study.</w:t>
      </w:r>
      <w:r>
        <w:rPr>
          <w:rFonts w:ascii="Times New Roman" w:hAnsi="Times New Roman" w:cs="Times New Roman"/>
          <w:sz w:val="24"/>
          <w:szCs w:val="24"/>
        </w:rPr>
        <w:t xml:space="preserve"> Proportions of InDels are classified according to: </w:t>
      </w:r>
      <w:r>
        <w:rPr>
          <w:rFonts w:ascii="Times New Roman" w:hAnsi="Times New Roman" w:cs="Times New Roman"/>
          <w:b/>
          <w:bCs/>
          <w:sz w:val="24"/>
          <w:szCs w:val="24"/>
        </w:rPr>
        <w:t>a</w:t>
      </w:r>
      <w:r>
        <w:rPr>
          <w:rFonts w:ascii="Times New Roman" w:hAnsi="Times New Roman" w:cs="Times New Roman"/>
          <w:sz w:val="24"/>
          <w:szCs w:val="24"/>
        </w:rPr>
        <w:t xml:space="preserve">. the genomic locations in which they occur; and </w:t>
      </w:r>
      <w:r>
        <w:rPr>
          <w:rFonts w:ascii="Times New Roman" w:hAnsi="Times New Roman" w:cs="Times New Roman"/>
          <w:b/>
          <w:bCs/>
          <w:sz w:val="24"/>
          <w:szCs w:val="24"/>
        </w:rPr>
        <w:t>b</w:t>
      </w:r>
      <w:r>
        <w:rPr>
          <w:rFonts w:ascii="Times New Roman" w:hAnsi="Times New Roman" w:cs="Times New Roman"/>
          <w:sz w:val="24"/>
          <w:szCs w:val="24"/>
        </w:rPr>
        <w:t>. the genetic coding attributes.</w:t>
      </w:r>
    </w:p>
    <w:p>
      <w:pPr>
        <w:spacing w:line="480" w:lineRule="auto"/>
        <w:rPr>
          <w:rFonts w:ascii="Times New Roman" w:hAnsi="Times New Roman" w:cs="Times New Roman"/>
          <w:sz w:val="24"/>
          <w:szCs w:val="24"/>
        </w:rPr>
      </w:pPr>
    </w:p>
    <w:p>
      <w:pPr>
        <w:spacing w:line="480" w:lineRule="auto"/>
        <w:rPr>
          <w:rFonts w:ascii="Times New Roman" w:hAnsi="Times New Roman" w:cs="Times New Roman"/>
          <w:sz w:val="24"/>
          <w:szCs w:val="24"/>
        </w:rPr>
      </w:pPr>
    </w:p>
    <w:p>
      <w:pPr>
        <w:spacing w:line="480" w:lineRule="auto"/>
      </w:pPr>
      <w:r>
        <w:t xml:space="preserve"> </w:t>
      </w:r>
    </w:p>
    <w:p>
      <w:pPr>
        <w:spacing w:line="48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4163060" cy="4922520"/>
            <wp:effectExtent l="0" t="0" r="2540" b="5080"/>
            <wp:docPr id="59" name="Picture 59" descr="A picture containing screensho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picture containing screenshot, text&#10;&#10;Description automatically generated"/>
                    <pic:cNvPicPr>
                      <a:picLocks noChangeAspect="1"/>
                    </pic:cNvPicPr>
                  </pic:nvPicPr>
                  <pic:blipFill>
                    <a:blip r:embed="rId10"/>
                    <a:stretch>
                      <a:fillRect/>
                    </a:stretch>
                  </pic:blipFill>
                  <pic:spPr>
                    <a:xfrm>
                      <a:off x="0" y="0"/>
                      <a:ext cx="4167522" cy="4927709"/>
                    </a:xfrm>
                    <a:prstGeom prst="rect">
                      <a:avLst/>
                    </a:prstGeom>
                  </pic:spPr>
                </pic:pic>
              </a:graphicData>
            </a:graphic>
          </wp:inline>
        </w:drawing>
      </w:r>
    </w:p>
    <w:p>
      <w:pPr>
        <w:spacing w:line="480" w:lineRule="auto"/>
        <w:rPr>
          <w:rFonts w:ascii="Times New Roman" w:hAnsi="Times New Roman" w:cs="Times New Roman"/>
          <w:sz w:val="24"/>
          <w:szCs w:val="24"/>
        </w:rPr>
      </w:pPr>
      <w:r>
        <w:rPr>
          <w:rFonts w:ascii="Times New Roman" w:hAnsi="Times New Roman" w:cs="Times New Roman"/>
          <w:b/>
          <w:sz w:val="24"/>
          <w:szCs w:val="24"/>
        </w:rPr>
        <w:t xml:space="preserve">Fig. S7 </w:t>
      </w:r>
      <w:r>
        <w:rPr>
          <w:rFonts w:ascii="Times New Roman" w:hAnsi="Times New Roman" w:cs="Times New Roman"/>
          <w:b/>
          <w:bCs/>
          <w:sz w:val="24"/>
          <w:szCs w:val="24"/>
        </w:rPr>
        <w:t>Summary of the structural variations (SVs) and copy number variations (CNVs) in all 110 chicken genomes generated in this study.</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w:t>
      </w:r>
      <w:r>
        <w:rPr>
          <w:rFonts w:ascii="Times New Roman" w:hAnsi="Times New Roman" w:cs="Times New Roman"/>
          <w:b/>
          <w:bCs/>
          <w:sz w:val="24"/>
          <w:szCs w:val="24"/>
        </w:rPr>
        <w:t>a</w:t>
      </w:r>
      <w:r>
        <w:rPr>
          <w:rFonts w:hint="eastAsia" w:ascii="Times New Roman" w:hAnsi="Times New Roman" w:cs="Times New Roman"/>
          <w:b w:val="0"/>
          <w:bCs w:val="0"/>
          <w:sz w:val="24"/>
          <w:szCs w:val="24"/>
          <w:lang w:val="en-US" w:eastAsia="zh-CN"/>
        </w:rPr>
        <w:t>)</w:t>
      </w:r>
      <w:r>
        <w:rPr>
          <w:rFonts w:ascii="Times New Roman" w:hAnsi="Times New Roman" w:cs="Times New Roman"/>
          <w:sz w:val="24"/>
          <w:szCs w:val="24"/>
        </w:rPr>
        <w:t xml:space="preserve"> Proportion of different SV types. CTX (interchromosomal translocation), DEL (deletion), INV (inversion), and ITX (intrachromosomal translocation). </w:t>
      </w:r>
      <w:r>
        <w:rPr>
          <w:rFonts w:hint="eastAsia" w:ascii="Times New Roman" w:hAnsi="Times New Roman" w:cs="Times New Roman"/>
          <w:sz w:val="24"/>
          <w:szCs w:val="24"/>
          <w:lang w:val="en-US" w:eastAsia="zh-CN"/>
        </w:rPr>
        <w:t>(</w:t>
      </w:r>
      <w:r>
        <w:rPr>
          <w:rFonts w:ascii="Times New Roman" w:hAnsi="Times New Roman" w:cs="Times New Roman"/>
          <w:b/>
          <w:bCs/>
          <w:sz w:val="24"/>
          <w:szCs w:val="24"/>
        </w:rPr>
        <w:t>b</w:t>
      </w:r>
      <w:r>
        <w:rPr>
          <w:rFonts w:hint="eastAsia" w:ascii="Times New Roman" w:hAnsi="Times New Roman" w:cs="Times New Roman"/>
          <w:b w:val="0"/>
          <w:bCs w:val="0"/>
          <w:sz w:val="24"/>
          <w:szCs w:val="24"/>
          <w:lang w:val="en-US" w:eastAsia="zh-CN"/>
        </w:rPr>
        <w:t>)</w:t>
      </w:r>
      <w:r>
        <w:rPr>
          <w:rFonts w:ascii="Times New Roman" w:hAnsi="Times New Roman" w:cs="Times New Roman"/>
          <w:sz w:val="24"/>
          <w:szCs w:val="24"/>
        </w:rPr>
        <w:t xml:space="preserve"> Number of CNVs of both deletion and duplication types identified in the dataset.</w:t>
      </w:r>
    </w:p>
    <w:p>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sectPr>
      <w:pgSz w:w="12240" w:h="15840"/>
      <w:pgMar w:top="1440" w:right="1800" w:bottom="1440" w:left="1800" w:header="720" w:footer="720" w:gutter="0"/>
      <w:lnNumType w:countBy="1" w:restart="continuou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TimesNewRomanPSMT">
    <w:altName w:val="Times New Roman"/>
    <w:panose1 w:val="020B0604020202020204"/>
    <w:charset w:val="00"/>
    <w:family w:val="roman"/>
    <w:pitch w:val="default"/>
    <w:sig w:usb0="00000000" w:usb1="00000000" w:usb2="0000001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653"/>
    <w:rsid w:val="0000071F"/>
    <w:rsid w:val="000142DC"/>
    <w:rsid w:val="000434F6"/>
    <w:rsid w:val="000905C6"/>
    <w:rsid w:val="00090F6B"/>
    <w:rsid w:val="000B3ADB"/>
    <w:rsid w:val="000B6218"/>
    <w:rsid w:val="00147484"/>
    <w:rsid w:val="00170054"/>
    <w:rsid w:val="00170EA1"/>
    <w:rsid w:val="001816E0"/>
    <w:rsid w:val="001A4648"/>
    <w:rsid w:val="001A7441"/>
    <w:rsid w:val="001F1742"/>
    <w:rsid w:val="00215BCD"/>
    <w:rsid w:val="00245469"/>
    <w:rsid w:val="00255921"/>
    <w:rsid w:val="002739CB"/>
    <w:rsid w:val="00281353"/>
    <w:rsid w:val="0028442F"/>
    <w:rsid w:val="00292F6F"/>
    <w:rsid w:val="002B78AE"/>
    <w:rsid w:val="002E3D93"/>
    <w:rsid w:val="002E5801"/>
    <w:rsid w:val="0032186F"/>
    <w:rsid w:val="00392392"/>
    <w:rsid w:val="003B1086"/>
    <w:rsid w:val="003E550E"/>
    <w:rsid w:val="00442DA4"/>
    <w:rsid w:val="004A1B21"/>
    <w:rsid w:val="004D3026"/>
    <w:rsid w:val="00527D44"/>
    <w:rsid w:val="00552757"/>
    <w:rsid w:val="005B2935"/>
    <w:rsid w:val="006A4107"/>
    <w:rsid w:val="006D1AB4"/>
    <w:rsid w:val="00720619"/>
    <w:rsid w:val="007413DF"/>
    <w:rsid w:val="00771E23"/>
    <w:rsid w:val="007B6A1A"/>
    <w:rsid w:val="007D18D3"/>
    <w:rsid w:val="007F0F37"/>
    <w:rsid w:val="008348C1"/>
    <w:rsid w:val="00867F61"/>
    <w:rsid w:val="008B037E"/>
    <w:rsid w:val="008C19D4"/>
    <w:rsid w:val="008E0CB8"/>
    <w:rsid w:val="009110A9"/>
    <w:rsid w:val="00947C03"/>
    <w:rsid w:val="009F645C"/>
    <w:rsid w:val="00A012F5"/>
    <w:rsid w:val="00A105BD"/>
    <w:rsid w:val="00A42BDD"/>
    <w:rsid w:val="00AB1CF4"/>
    <w:rsid w:val="00AF6653"/>
    <w:rsid w:val="00B00A91"/>
    <w:rsid w:val="00B16733"/>
    <w:rsid w:val="00B24F05"/>
    <w:rsid w:val="00B266BD"/>
    <w:rsid w:val="00B331D6"/>
    <w:rsid w:val="00B45F08"/>
    <w:rsid w:val="00B62E37"/>
    <w:rsid w:val="00B77C5A"/>
    <w:rsid w:val="00BA3534"/>
    <w:rsid w:val="00BD112A"/>
    <w:rsid w:val="00BE06B0"/>
    <w:rsid w:val="00BE3526"/>
    <w:rsid w:val="00BF6BDD"/>
    <w:rsid w:val="00C22980"/>
    <w:rsid w:val="00C73117"/>
    <w:rsid w:val="00CA1637"/>
    <w:rsid w:val="00CA557E"/>
    <w:rsid w:val="00CC35E1"/>
    <w:rsid w:val="00CC6291"/>
    <w:rsid w:val="00CD46BB"/>
    <w:rsid w:val="00CE78DE"/>
    <w:rsid w:val="00D31B35"/>
    <w:rsid w:val="00D5190A"/>
    <w:rsid w:val="00D86DB7"/>
    <w:rsid w:val="00DA544F"/>
    <w:rsid w:val="00E228D6"/>
    <w:rsid w:val="00E332B5"/>
    <w:rsid w:val="00E33B62"/>
    <w:rsid w:val="00E51588"/>
    <w:rsid w:val="00E53447"/>
    <w:rsid w:val="00E76B0F"/>
    <w:rsid w:val="00EB10CE"/>
    <w:rsid w:val="00EB5BC7"/>
    <w:rsid w:val="00EC7050"/>
    <w:rsid w:val="00F10B2C"/>
    <w:rsid w:val="00F130F5"/>
    <w:rsid w:val="00F25772"/>
    <w:rsid w:val="00F31D9B"/>
    <w:rsid w:val="00F352B3"/>
    <w:rsid w:val="00F86D35"/>
    <w:rsid w:val="00FC5987"/>
    <w:rsid w:val="016E41C9"/>
    <w:rsid w:val="17DF1A1A"/>
    <w:rsid w:val="4E873A77"/>
    <w:rsid w:val="50C82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nhideWhenUsed="0" w:uiPriority="99" w:semiHidden="0" w:name="Table Professional"/>
    <w:lsdException w:uiPriority="99" w:name="Table Subtle 1"/>
    <w:lsdException w:uiPriority="99" w:name="Table Subtle 2"/>
    <w:lsdException w:unhideWhenUsed="0" w:uiPriority="99" w:semiHidden="0" w:name="Table Web 1"/>
    <w:lsdException w:unhideWhenUsed="0" w:uiPriority="99" w:semiHidden="0"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zh-CN" w:bidi="ar-SA"/>
    </w:rPr>
  </w:style>
  <w:style w:type="character" w:default="1" w:styleId="6">
    <w:name w:val="Default Paragraph Font"/>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qFormat/>
    <w:uiPriority w:val="99"/>
    <w:pPr>
      <w:spacing w:after="0" w:line="240" w:lineRule="auto"/>
    </w:pPr>
    <w:rPr>
      <w:rFonts w:ascii="Tahoma" w:hAnsi="Tahoma" w:cs="Tahoma"/>
      <w:sz w:val="16"/>
      <w:szCs w:val="16"/>
    </w:rPr>
  </w:style>
  <w:style w:type="paragraph" w:styleId="3">
    <w:name w:val="footer"/>
    <w:basedOn w:val="1"/>
    <w:link w:val="10"/>
    <w:unhideWhenUsed/>
    <w:qFormat/>
    <w:uiPriority w:val="99"/>
    <w:pPr>
      <w:tabs>
        <w:tab w:val="center" w:pos="4320"/>
        <w:tab w:val="right" w:pos="8640"/>
      </w:tabs>
      <w:spacing w:after="0" w:line="240" w:lineRule="auto"/>
    </w:pPr>
  </w:style>
  <w:style w:type="paragraph" w:styleId="4">
    <w:name w:val="header"/>
    <w:basedOn w:val="1"/>
    <w:link w:val="9"/>
    <w:unhideWhenUsed/>
    <w:qFormat/>
    <w:uiPriority w:val="99"/>
    <w:pPr>
      <w:tabs>
        <w:tab w:val="center" w:pos="4320"/>
        <w:tab w:val="right" w:pos="8640"/>
      </w:tabs>
      <w:spacing w:after="0" w:line="240" w:lineRule="auto"/>
    </w:pPr>
  </w:style>
  <w:style w:type="character" w:styleId="7">
    <w:name w:val="line number"/>
    <w:basedOn w:val="6"/>
    <w:semiHidden/>
    <w:unhideWhenUsed/>
    <w:qFormat/>
    <w:uiPriority w:val="99"/>
  </w:style>
  <w:style w:type="character" w:customStyle="1" w:styleId="8">
    <w:name w:val="Balloon Text Char"/>
    <w:basedOn w:val="6"/>
    <w:link w:val="2"/>
    <w:semiHidden/>
    <w:qFormat/>
    <w:uiPriority w:val="99"/>
    <w:rPr>
      <w:rFonts w:ascii="Tahoma" w:hAnsi="Tahoma" w:cs="Tahoma"/>
      <w:sz w:val="16"/>
      <w:szCs w:val="16"/>
    </w:rPr>
  </w:style>
  <w:style w:type="character" w:customStyle="1" w:styleId="9">
    <w:name w:val="Header Char"/>
    <w:basedOn w:val="6"/>
    <w:link w:val="4"/>
    <w:qFormat/>
    <w:uiPriority w:val="99"/>
  </w:style>
  <w:style w:type="character" w:customStyle="1" w:styleId="10">
    <w:name w:val="Footer Char"/>
    <w:basedOn w:val="6"/>
    <w:link w:val="3"/>
    <w:qFormat/>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5.emf"/><Relationship Id="rId8" Type="http://schemas.openxmlformats.org/officeDocument/2006/relationships/image" Target="media/image1.tiff"/><Relationship Id="rId7" Type="http://schemas.openxmlformats.org/officeDocument/2006/relationships/image" Target="media/image4.emf"/><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1AB570-0908-4C4D-9C37-9ECFE8B12BCE}">
  <ds:schemaRefs/>
</ds:datastoreItem>
</file>

<file path=docProps/app.xml><?xml version="1.0" encoding="utf-8"?>
<Properties xmlns="http://schemas.openxmlformats.org/officeDocument/2006/extended-properties" xmlns:vt="http://schemas.openxmlformats.org/officeDocument/2006/docPropsVTypes">
  <Template>Normal.dotm</Template>
  <Pages>5</Pages>
  <Words>390</Words>
  <Characters>2226</Characters>
  <Lines>18</Lines>
  <Paragraphs>5</Paragraphs>
  <TotalTime>5</TotalTime>
  <ScaleCrop>false</ScaleCrop>
  <LinksUpToDate>false</LinksUpToDate>
  <CharactersWithSpaces>2611</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2019-09-18T21:24:00Z</dcterms:created>
  <dc:creator>Newton PC</dc:creator>
  <cp:lastModifiedBy>Huang</cp:lastModifiedBy>
  <dcterms:modified xsi:type="dcterms:W3CDTF">2020-03-28T12:54:09Z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