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9DBBBE" w14:textId="41F54488" w:rsidR="00470588" w:rsidRPr="00C6229E" w:rsidRDefault="00470588" w:rsidP="00470588">
      <w:pPr>
        <w:spacing w:line="360" w:lineRule="auto"/>
        <w:rPr>
          <w:rFonts w:ascii="Times New Roman" w:eastAsia="Arial Unicode MS" w:hAnsi="Times New Roman"/>
          <w:kern w:val="0"/>
          <w:sz w:val="24"/>
          <w:szCs w:val="24"/>
          <w:shd w:val="clear" w:color="auto" w:fill="FFFFFF"/>
        </w:rPr>
      </w:pPr>
      <w:r w:rsidRPr="00C6229E">
        <w:rPr>
          <w:rFonts w:ascii="Times New Roman" w:eastAsia="Arial Unicode MS" w:hAnsi="Times New Roman"/>
          <w:b/>
          <w:kern w:val="0"/>
          <w:sz w:val="24"/>
          <w:szCs w:val="24"/>
          <w:shd w:val="clear" w:color="auto" w:fill="FFFFFF"/>
        </w:rPr>
        <w:t xml:space="preserve">Additional file </w:t>
      </w:r>
      <w:r w:rsidR="00C6300B">
        <w:rPr>
          <w:rFonts w:ascii="Times New Roman" w:eastAsia="Arial Unicode MS" w:hAnsi="Times New Roman"/>
          <w:b/>
          <w:kern w:val="0"/>
          <w:sz w:val="24"/>
          <w:szCs w:val="24"/>
          <w:shd w:val="clear" w:color="auto" w:fill="FFFFFF"/>
        </w:rPr>
        <w:t>4</w:t>
      </w:r>
      <w:r w:rsidRPr="00C6229E">
        <w:rPr>
          <w:rFonts w:ascii="Times New Roman" w:eastAsia="Arial Unicode MS" w:hAnsi="Times New Roman" w:hint="eastAsia"/>
          <w:b/>
          <w:kern w:val="0"/>
          <w:sz w:val="24"/>
          <w:szCs w:val="24"/>
          <w:shd w:val="clear" w:color="auto" w:fill="FFFFFF"/>
        </w:rPr>
        <w:t>.</w:t>
      </w:r>
      <w:r>
        <w:rPr>
          <w:rFonts w:ascii="Times New Roman" w:eastAsia="Arial Unicode MS" w:hAnsi="Times New Roman"/>
          <w:b/>
          <w:kern w:val="0"/>
          <w:sz w:val="24"/>
          <w:szCs w:val="24"/>
          <w:shd w:val="clear" w:color="auto" w:fill="FFFFFF"/>
        </w:rPr>
        <w:t xml:space="preserve"> </w:t>
      </w:r>
      <w:r w:rsidRPr="00E7322F">
        <w:rPr>
          <w:rFonts w:ascii="Times New Roman" w:eastAsia="Arial Unicode MS" w:hAnsi="Times New Roman"/>
          <w:b/>
          <w:kern w:val="0"/>
          <w:sz w:val="24"/>
          <w:szCs w:val="24"/>
          <w:shd w:val="clear" w:color="auto" w:fill="FFFFFF"/>
        </w:rPr>
        <w:t xml:space="preserve">The genes number and </w:t>
      </w:r>
      <w:r w:rsidRPr="00E7322F">
        <w:rPr>
          <w:rFonts w:ascii="Times New Roman" w:eastAsia="Arial Unicode MS" w:hAnsi="Times New Roman"/>
          <w:b/>
          <w:i/>
          <w:kern w:val="0"/>
          <w:sz w:val="24"/>
          <w:szCs w:val="24"/>
          <w:shd w:val="clear" w:color="auto" w:fill="FFFFFF"/>
        </w:rPr>
        <w:t xml:space="preserve">P </w:t>
      </w:r>
      <w:r w:rsidRPr="00E7322F">
        <w:rPr>
          <w:rFonts w:ascii="Times New Roman" w:eastAsia="Arial Unicode MS" w:hAnsi="Times New Roman"/>
          <w:b/>
          <w:kern w:val="0"/>
          <w:sz w:val="24"/>
          <w:szCs w:val="24"/>
          <w:shd w:val="clear" w:color="auto" w:fill="FFFFFF"/>
        </w:rPr>
        <w:t>value of pathways</w:t>
      </w:r>
      <w:r w:rsidRPr="00E7322F">
        <w:rPr>
          <w:rFonts w:eastAsia="Arial Unicode MS"/>
          <w:b/>
          <w:kern w:val="0"/>
          <w:shd w:val="clear" w:color="auto" w:fill="FFFFFF"/>
        </w:rPr>
        <w:t xml:space="preserve"> </w:t>
      </w:r>
      <w:r w:rsidRPr="00E7322F">
        <w:rPr>
          <w:rFonts w:ascii="Times New Roman" w:eastAsia="Arial Unicode MS" w:hAnsi="Times New Roman"/>
          <w:b/>
          <w:kern w:val="0"/>
          <w:sz w:val="24"/>
          <w:szCs w:val="24"/>
        </w:rPr>
        <w:t>which target genes for differentially expressed miRNAs between anestrus an</w:t>
      </w:r>
      <w:r w:rsidRPr="00E7322F">
        <w:rPr>
          <w:rFonts w:ascii="Times New Roman" w:eastAsia="Arial Unicode MS" w:hAnsi="Times New Roman" w:cs="Times New Roman"/>
          <w:b/>
          <w:kern w:val="0"/>
          <w:sz w:val="24"/>
          <w:szCs w:val="24"/>
        </w:rPr>
        <w:t>d breeding season</w:t>
      </w:r>
      <w:r w:rsidRPr="00E7322F">
        <w:rPr>
          <w:rStyle w:val="simple"/>
          <w:rFonts w:ascii="Times New Roman" w:hAnsi="Times New Roman"/>
          <w:b/>
          <w:bCs/>
          <w:sz w:val="24"/>
          <w:szCs w:val="24"/>
        </w:rPr>
        <w:t xml:space="preserve"> enriched</w:t>
      </w:r>
      <w:r w:rsidRPr="00E7322F">
        <w:rPr>
          <w:rFonts w:ascii="Times New Roman" w:eastAsia="Arial Unicode MS" w:hAnsi="Times New Roman"/>
          <w:b/>
          <w:kern w:val="0"/>
          <w:sz w:val="24"/>
          <w:szCs w:val="24"/>
        </w:rPr>
        <w:t xml:space="preserve"> in</w:t>
      </w:r>
      <w:r w:rsidRPr="00E7322F">
        <w:rPr>
          <w:rStyle w:val="simple"/>
          <w:rFonts w:ascii="Times New Roman" w:hAnsi="Times New Roman"/>
          <w:b/>
          <w:bCs/>
          <w:sz w:val="24"/>
          <w:szCs w:val="24"/>
        </w:rPr>
        <w:t>.</w:t>
      </w:r>
    </w:p>
    <w:p w14:paraId="1C747C89" w14:textId="3BDA655E" w:rsidR="00470588" w:rsidRDefault="00470588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28"/>
        <w:gridCol w:w="1595"/>
        <w:gridCol w:w="1189"/>
        <w:gridCol w:w="1694"/>
      </w:tblGrid>
      <w:tr w:rsidR="00C11291" w:rsidRPr="00470588" w14:paraId="370BC23B" w14:textId="77777777" w:rsidTr="00C6300B">
        <w:trPr>
          <w:trHeight w:val="285"/>
          <w:jc w:val="center"/>
        </w:trPr>
        <w:tc>
          <w:tcPr>
            <w:tcW w:w="23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EE8DB2" w14:textId="05F6A0C0" w:rsidR="00C11291" w:rsidRPr="00470588" w:rsidRDefault="00C11291" w:rsidP="0047058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Pathway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s</w:t>
            </w:r>
          </w:p>
        </w:tc>
        <w:tc>
          <w:tcPr>
            <w:tcW w:w="96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51AEF" w14:textId="77777777" w:rsidR="00077BB0" w:rsidRDefault="00C11291" w:rsidP="0047058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 xml:space="preserve">Genes </w:t>
            </w:r>
          </w:p>
          <w:p w14:paraId="07BE9399" w14:textId="6BF78C7A" w:rsidR="00C11291" w:rsidRPr="00470588" w:rsidRDefault="00C11291" w:rsidP="0047058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15397FB" w14:textId="099D1ED9" w:rsidR="00C11291" w:rsidRPr="00470588" w:rsidRDefault="00C11291" w:rsidP="0047058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/>
                <w:color w:val="000000"/>
                <w:kern w:val="0"/>
                <w:sz w:val="22"/>
              </w:rPr>
              <w:t>D</w:t>
            </w:r>
            <w:r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2"/>
              </w:rPr>
              <w:t>E</w:t>
            </w:r>
            <w:r w:rsidRPr="00470588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 xml:space="preserve"> Genes number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311552" w14:textId="0856B467" w:rsidR="00C11291" w:rsidRPr="00470588" w:rsidRDefault="00C11291" w:rsidP="0047058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2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2"/>
              </w:rPr>
              <w:t xml:space="preserve"> </w:t>
            </w:r>
            <w:r w:rsidRPr="0047058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value</w:t>
            </w:r>
          </w:p>
        </w:tc>
      </w:tr>
      <w:tr w:rsidR="00C11291" w:rsidRPr="00470588" w14:paraId="7591B154" w14:textId="77777777" w:rsidTr="00252FEB">
        <w:trPr>
          <w:trHeight w:val="315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2A4C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Endocytosis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E8FC8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91D6BF" w14:textId="0B66488B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64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D441" w14:textId="7EFA3360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2.14E-11</w:t>
            </w:r>
          </w:p>
        </w:tc>
        <w:bookmarkStart w:id="0" w:name="_GoBack"/>
        <w:bookmarkEnd w:id="0"/>
      </w:tr>
      <w:tr w:rsidR="00C11291" w:rsidRPr="00470588" w14:paraId="26453FCD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DD0C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Axon guidance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072D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EEBF" w14:textId="6DF9BF54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51FE4" w14:textId="78E83FEA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1.50E-10</w:t>
            </w:r>
          </w:p>
        </w:tc>
      </w:tr>
      <w:tr w:rsidR="00C11291" w:rsidRPr="00470588" w14:paraId="59A1488F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D6A5F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MAPK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6A29E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B6FF" w14:textId="212DFA9F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72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954A6" w14:textId="031BB6E2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3.16E-09</w:t>
            </w:r>
          </w:p>
        </w:tc>
      </w:tr>
      <w:tr w:rsidR="00C11291" w:rsidRPr="00470588" w14:paraId="1C067E9A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714A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Vascular smooth muscle contraction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BE778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9C46F" w14:textId="7BF45809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38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BBA4A" w14:textId="15D03123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4.34E-07</w:t>
            </w:r>
          </w:p>
        </w:tc>
      </w:tr>
      <w:tr w:rsidR="00C11291" w:rsidRPr="00470588" w14:paraId="3F4F3170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3ABFE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Dopaminergic synapse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A0525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2CBB2" w14:textId="67E24CE6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1610" w14:textId="7EF1C36B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1.12E-06</w:t>
            </w:r>
          </w:p>
        </w:tc>
      </w:tr>
      <w:tr w:rsidR="00C11291" w:rsidRPr="00470588" w14:paraId="29CAB3E5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8766B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Oxytocin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3D3D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3E068" w14:textId="6FAD08AA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1D6D1" w14:textId="66AD2DD3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6.93E-05</w:t>
            </w:r>
          </w:p>
        </w:tc>
      </w:tr>
      <w:tr w:rsidR="00C11291" w:rsidRPr="00470588" w14:paraId="3FCE217B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12DC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GnRH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46460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C5F0B" w14:textId="5C325E4A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BAAA4" w14:textId="2184A6B6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0.00031</w:t>
            </w:r>
          </w:p>
        </w:tc>
      </w:tr>
      <w:tr w:rsidR="00C11291" w:rsidRPr="00470588" w14:paraId="06C0976D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74599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cAMP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5D73A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37312" w14:textId="13581287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46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E7AF9" w14:textId="04D71B6A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0.00034</w:t>
            </w:r>
          </w:p>
        </w:tc>
      </w:tr>
      <w:tr w:rsidR="00C11291" w:rsidRPr="00470588" w14:paraId="3DA90F41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E0DA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Synaptic vesicle cycle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7E42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A62D" w14:textId="34CB901F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7DD7E" w14:textId="75A250E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0.00035</w:t>
            </w:r>
          </w:p>
        </w:tc>
      </w:tr>
      <w:tr w:rsidR="00C11291" w:rsidRPr="00470588" w14:paraId="3F83B445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FA58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Phosphatidylinositol signaling system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D19E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9C2DC0" w14:textId="0064CF41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07776" w14:textId="6D21FAB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0.00036</w:t>
            </w:r>
          </w:p>
        </w:tc>
      </w:tr>
      <w:tr w:rsidR="00C11291" w:rsidRPr="00470588" w14:paraId="72579A74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A311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Rap1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A183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35BDB" w14:textId="366FA9DC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47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BEC5E" w14:textId="4193EE8D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0.00043</w:t>
            </w:r>
          </w:p>
        </w:tc>
      </w:tr>
      <w:tr w:rsidR="00C11291" w:rsidRPr="00470588" w14:paraId="6735A6E7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D38D9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Ribosome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951A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A1360" w14:textId="74D42E11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F019" w14:textId="4457C915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0.00062</w:t>
            </w:r>
          </w:p>
        </w:tc>
      </w:tr>
      <w:tr w:rsidR="00C11291" w:rsidRPr="00470588" w14:paraId="795659D8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D220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Hippo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9BFD0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02F769" w14:textId="0AF845E7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4C28" w14:textId="41564788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0.00063</w:t>
            </w:r>
          </w:p>
        </w:tc>
      </w:tr>
      <w:tr w:rsidR="00C11291" w:rsidRPr="00470588" w14:paraId="71B1C421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19FF8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PI3K-Akt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2A12C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C10FE" w14:textId="719E6EFB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66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D1AE" w14:textId="5ADA4A2A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0.00070</w:t>
            </w:r>
          </w:p>
        </w:tc>
      </w:tr>
      <w:tr w:rsidR="00C11291" w:rsidRPr="00470588" w14:paraId="25BFAFD4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E2C39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Calcium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5D19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92E13" w14:textId="661478A2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43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727B" w14:textId="7E048AAE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0.00075</w:t>
            </w:r>
          </w:p>
        </w:tc>
      </w:tr>
      <w:tr w:rsidR="00C11291" w:rsidRPr="00470588" w14:paraId="47CAAED0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150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proofErr w:type="spellStart"/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Wnt</w:t>
            </w:r>
            <w:proofErr w:type="spellEnd"/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 xml:space="preserve">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7C205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315B0" w14:textId="3A64DCF5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B20EB" w14:textId="057941EF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0.00088</w:t>
            </w:r>
          </w:p>
        </w:tc>
      </w:tr>
      <w:tr w:rsidR="00C11291" w:rsidRPr="00470588" w14:paraId="47C0C9FA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13A6D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Long-term potentiation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51C5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06E47" w14:textId="4A7D7161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17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CDB2B" w14:textId="7DC3CCB0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0.00159</w:t>
            </w:r>
          </w:p>
        </w:tc>
      </w:tr>
      <w:tr w:rsidR="00C11291" w:rsidRPr="00470588" w14:paraId="34330DDB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14EFE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cGMP - PKG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3194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BD31D" w14:textId="49736FED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36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AC34C" w14:textId="4EE37AD3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0.00167</w:t>
            </w:r>
          </w:p>
        </w:tc>
      </w:tr>
      <w:tr w:rsidR="00C11291" w:rsidRPr="00470588" w14:paraId="13D83D1E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5CD5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Biosynthesis of amino acids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11BCA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9213B" w14:textId="6C99C132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3E800" w14:textId="7D0EA692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0.00198</w:t>
            </w:r>
          </w:p>
        </w:tc>
      </w:tr>
      <w:tr w:rsidR="00C11291" w:rsidRPr="00470588" w14:paraId="0477AA8B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D57B3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GABAergic synapse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A69E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4E1100" w14:textId="61957CCB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CE69B" w14:textId="7D1CA760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0.00212</w:t>
            </w:r>
          </w:p>
        </w:tc>
      </w:tr>
      <w:tr w:rsidR="00C11291" w:rsidRPr="00470588" w14:paraId="365E12EC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64EFD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Phototransduction - fly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3E77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E400D" w14:textId="3EE16BA9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7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62D21" w14:textId="00EF020C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0.00254</w:t>
            </w:r>
          </w:p>
        </w:tc>
      </w:tr>
      <w:tr w:rsidR="00C11291" w:rsidRPr="00470588" w14:paraId="18589A97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8A998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Phototransduction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1F76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1546F" w14:textId="68EC0C28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9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6B348" w14:textId="455C2DAE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0.00348</w:t>
            </w:r>
          </w:p>
        </w:tc>
      </w:tr>
      <w:tr w:rsidR="00C11291" w:rsidRPr="00470588" w14:paraId="494C4412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F46A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HIF-1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57C09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E913D" w14:textId="429B4B99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24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2E2D" w14:textId="57211990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0.00413</w:t>
            </w:r>
          </w:p>
        </w:tc>
      </w:tr>
      <w:tr w:rsidR="00C11291" w:rsidRPr="00470588" w14:paraId="0A43E113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C4A9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Protein digestion and absorption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895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C14F1" w14:textId="5AB00A17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18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1F72A" w14:textId="1476A888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0.00598</w:t>
            </w:r>
          </w:p>
        </w:tc>
      </w:tr>
      <w:tr w:rsidR="00C11291" w:rsidRPr="00470588" w14:paraId="0EB341E9" w14:textId="77777777" w:rsidTr="00252FE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4F12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Estrogen signaling pathway</w:t>
            </w:r>
          </w:p>
        </w:tc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C5615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03BE8" w14:textId="2E800892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22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F36BA" w14:textId="612C297B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0.00835</w:t>
            </w:r>
          </w:p>
        </w:tc>
      </w:tr>
      <w:tr w:rsidR="00C11291" w:rsidRPr="00470588" w14:paraId="54387798" w14:textId="77777777" w:rsidTr="00C6300B">
        <w:trPr>
          <w:trHeight w:val="300"/>
          <w:jc w:val="center"/>
        </w:trPr>
        <w:tc>
          <w:tcPr>
            <w:tcW w:w="23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F42DF0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bCs/>
                <w:color w:val="000000"/>
                <w:kern w:val="0"/>
                <w:sz w:val="22"/>
              </w:rPr>
              <w:t>Ubiquitin mediated proteolysis</w:t>
            </w:r>
          </w:p>
        </w:tc>
        <w:tc>
          <w:tcPr>
            <w:tcW w:w="9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2FCB1" w14:textId="77777777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99DA43E" w14:textId="00D59851" w:rsidR="00C11291" w:rsidRPr="00C11291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C11291">
              <w:rPr>
                <w:rFonts w:ascii="Times New Roman" w:hAnsi="Times New Roman" w:cs="Times New Roman"/>
                <w:color w:val="000000"/>
                <w:sz w:val="22"/>
              </w:rPr>
              <w:t>34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50E76" w14:textId="19472686" w:rsidR="00C11291" w:rsidRPr="00470588" w:rsidRDefault="00C11291" w:rsidP="00C11291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470588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0.00970</w:t>
            </w:r>
          </w:p>
        </w:tc>
      </w:tr>
    </w:tbl>
    <w:p w14:paraId="446F9992" w14:textId="77777777" w:rsidR="00470588" w:rsidRPr="00470588" w:rsidRDefault="00470588"/>
    <w:sectPr w:rsidR="00470588" w:rsidRPr="004705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3DF38C" w14:textId="77777777" w:rsidR="00C669E7" w:rsidRDefault="00C669E7" w:rsidP="00470588">
      <w:r>
        <w:separator/>
      </w:r>
    </w:p>
  </w:endnote>
  <w:endnote w:type="continuationSeparator" w:id="0">
    <w:p w14:paraId="724A01DA" w14:textId="77777777" w:rsidR="00C669E7" w:rsidRDefault="00C669E7" w:rsidP="0047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D6996" w14:textId="77777777" w:rsidR="00C669E7" w:rsidRDefault="00C669E7" w:rsidP="00470588">
      <w:r>
        <w:separator/>
      </w:r>
    </w:p>
  </w:footnote>
  <w:footnote w:type="continuationSeparator" w:id="0">
    <w:p w14:paraId="1A520A2A" w14:textId="77777777" w:rsidR="00C669E7" w:rsidRDefault="00C669E7" w:rsidP="004705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3D"/>
    <w:rsid w:val="00077BB0"/>
    <w:rsid w:val="00142DCE"/>
    <w:rsid w:val="00470588"/>
    <w:rsid w:val="008B5951"/>
    <w:rsid w:val="00AD103D"/>
    <w:rsid w:val="00C11291"/>
    <w:rsid w:val="00C20E38"/>
    <w:rsid w:val="00C6300B"/>
    <w:rsid w:val="00C669E7"/>
    <w:rsid w:val="00E7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20F1D6"/>
  <w15:chartTrackingRefBased/>
  <w15:docId w15:val="{A2F0610C-CBB3-49BC-961C-663F9732A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058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0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0588"/>
    <w:rPr>
      <w:sz w:val="18"/>
      <w:szCs w:val="18"/>
    </w:rPr>
  </w:style>
  <w:style w:type="character" w:customStyle="1" w:styleId="simple">
    <w:name w:val="simple"/>
    <w:basedOn w:val="a0"/>
    <w:uiPriority w:val="99"/>
    <w:rsid w:val="0047058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adman</dc:creator>
  <cp:keywords/>
  <dc:description/>
  <cp:lastModifiedBy>admin</cp:lastModifiedBy>
  <cp:revision>6</cp:revision>
  <dcterms:created xsi:type="dcterms:W3CDTF">2020-12-18T04:01:00Z</dcterms:created>
  <dcterms:modified xsi:type="dcterms:W3CDTF">2021-03-10T15:22:00Z</dcterms:modified>
</cp:coreProperties>
</file>