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cs="Times New Roman"/>
          <w:sz w:val="24"/>
          <w:szCs w:val="24"/>
        </w:rPr>
      </w:pPr>
      <w:bookmarkStart w:id="8" w:name="_GoBack"/>
      <w:bookmarkEnd w:id="8"/>
      <w:r>
        <w:rPr>
          <w:rFonts w:ascii="Times New Roman" w:hAnsi="Times New Roman" w:cs="Times New Roman"/>
          <w:sz w:val="24"/>
          <w:szCs w:val="24"/>
        </w:rPr>
        <w:t>Supplementary Materials</w:t>
      </w: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5278120" cy="52781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pPr>
        <w:spacing w:line="360" w:lineRule="auto"/>
        <w:rPr>
          <w:rFonts w:ascii="Times New Roman" w:hAnsi="Times New Roman" w:eastAsia="宋体" w:cs="Times New Roman"/>
          <w:sz w:val="24"/>
          <w:szCs w:val="24"/>
        </w:rPr>
      </w:pPr>
      <w:bookmarkStart w:id="0" w:name="OLE_LINK5"/>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S1</w:t>
      </w:r>
      <w:bookmarkEnd w:id="0"/>
      <w:r>
        <w:rPr>
          <w:rFonts w:ascii="Times New Roman" w:hAnsi="Times New Roman" w:cs="Times New Roman"/>
          <w:sz w:val="24"/>
          <w:szCs w:val="24"/>
        </w:rPr>
        <w:t xml:space="preserve"> </w:t>
      </w:r>
      <w:r>
        <w:rPr>
          <w:rFonts w:ascii="Times New Roman" w:hAnsi="Times New Roman" w:eastAsia="宋体" w:cs="Times New Roman"/>
          <w:sz w:val="24"/>
          <w:szCs w:val="24"/>
        </w:rPr>
        <w:t>The number of unique and shared SNPs among six duck groups shown by a venn diagram</w:t>
      </w:r>
      <w:r>
        <w:rPr>
          <w:rFonts w:ascii="Times New Roman" w:hAnsi="Times New Roman" w:eastAsia="宋体" w:cs="Times New Roman"/>
          <w:sz w:val="24"/>
          <w:szCs w:val="24"/>
        </w:rPr>
        <w:br w:type="page"/>
      </w: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5278120" cy="569341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extLst>
                        <a:ext uri="{28A0092B-C50C-407E-A947-70E740481C1C}">
                          <a14:useLocalDpi xmlns:a14="http://schemas.microsoft.com/office/drawing/2010/main" val="0"/>
                        </a:ext>
                      </a:extLst>
                    </a:blip>
                    <a:srcRect b="23739"/>
                    <a:stretch>
                      <a:fillRect/>
                    </a:stretch>
                  </pic:blipFill>
                  <pic:spPr>
                    <a:xfrm>
                      <a:off x="0" y="0"/>
                      <a:ext cx="5278120" cy="5693434"/>
                    </a:xfrm>
                    <a:prstGeom prst="rect">
                      <a:avLst/>
                    </a:prstGeom>
                    <a:ln>
                      <a:noFill/>
                    </a:ln>
                  </pic:spPr>
                </pic:pic>
              </a:graphicData>
            </a:graphic>
          </wp:inline>
        </w:drawing>
      </w:r>
    </w:p>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S2 Principal component analysis (PCA) of (A) PC1 and PC2; (B) PC2 and PC3; (C) PC1 and PC3. The points of Shaoxing ducks are in close proximity to that of Shanma ducks in three figures.</w:t>
      </w:r>
    </w:p>
    <w:p>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pPr>
        <w:spacing w:line="360" w:lineRule="auto"/>
        <w:ind w:left="-1" w:leftChars="-270" w:hanging="566"/>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5915660" cy="5481320"/>
            <wp:effectExtent l="0" t="0" r="889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rcRect l="3391" r="4111"/>
                    <a:stretch>
                      <a:fillRect/>
                    </a:stretch>
                  </pic:blipFill>
                  <pic:spPr>
                    <a:xfrm>
                      <a:off x="0" y="0"/>
                      <a:ext cx="5921568" cy="5486676"/>
                    </a:xfrm>
                    <a:prstGeom prst="rect">
                      <a:avLst/>
                    </a:prstGeom>
                    <a:ln>
                      <a:noFill/>
                    </a:ln>
                  </pic:spPr>
                </pic:pic>
              </a:graphicData>
            </a:graphic>
          </wp:inline>
        </w:drawing>
      </w:r>
    </w:p>
    <w:p>
      <w:pPr>
        <w:spacing w:line="360" w:lineRule="auto"/>
        <w:ind w:left="-1" w:leftChars="-1" w:hanging="1"/>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 xml:space="preserve">Fig. S3 Demographic history of ducks. </w:t>
      </w:r>
      <w:r>
        <w:rPr>
          <w:rFonts w:hint="eastAsia" w:ascii="Times New Roman" w:hAnsi="Times New Roman" w:cs="Times New Roman"/>
          <w:sz w:val="24"/>
          <w:szCs w:val="24"/>
        </w:rPr>
        <w:t>(A)</w:t>
      </w:r>
      <w:r>
        <w:rPr>
          <w:rFonts w:ascii="Times New Roman" w:hAnsi="Times New Roman" w:cs="Times New Roman"/>
          <w:sz w:val="24"/>
          <w:szCs w:val="24"/>
        </w:rPr>
        <w:t xml:space="preserve"> PSMC analysis results of MA population. </w:t>
      </w:r>
      <w:r>
        <w:rPr>
          <w:rFonts w:hint="eastAsia" w:ascii="Times New Roman" w:hAnsi="Times New Roman" w:cs="Times New Roman"/>
          <w:sz w:val="24"/>
          <w:szCs w:val="24"/>
        </w:rPr>
        <w:t>(</w:t>
      </w:r>
      <w:r>
        <w:rPr>
          <w:rFonts w:ascii="Times New Roman" w:hAnsi="Times New Roman" w:cs="Times New Roman"/>
          <w:sz w:val="24"/>
          <w:szCs w:val="24"/>
        </w:rPr>
        <w:t xml:space="preserve">B) PSMC analysis results of SB population. </w:t>
      </w:r>
      <w:r>
        <w:rPr>
          <w:rFonts w:hint="eastAsia" w:ascii="Times New Roman" w:hAnsi="Times New Roman" w:cs="Times New Roman"/>
          <w:sz w:val="24"/>
          <w:szCs w:val="24"/>
        </w:rPr>
        <w:t>(</w:t>
      </w:r>
      <w:r>
        <w:rPr>
          <w:rFonts w:ascii="Times New Roman" w:hAnsi="Times New Roman" w:cs="Times New Roman"/>
          <w:sz w:val="24"/>
          <w:szCs w:val="24"/>
        </w:rPr>
        <w:t>C</w:t>
      </w:r>
      <w:r>
        <w:rPr>
          <w:rFonts w:hint="eastAsia" w:ascii="Times New Roman" w:hAnsi="Times New Roman" w:cs="Times New Roman"/>
          <w:sz w:val="24"/>
          <w:szCs w:val="24"/>
        </w:rPr>
        <w:t>)</w:t>
      </w:r>
      <w:r>
        <w:rPr>
          <w:rFonts w:ascii="Times New Roman" w:hAnsi="Times New Roman" w:cs="Times New Roman"/>
          <w:sz w:val="24"/>
          <w:szCs w:val="24"/>
        </w:rPr>
        <w:t xml:space="preserve"> PSMC analysis results of FH population. </w:t>
      </w:r>
      <w:r>
        <w:rPr>
          <w:rFonts w:hint="eastAsia" w:ascii="Times New Roman" w:hAnsi="Times New Roman" w:cs="Times New Roman"/>
          <w:sz w:val="24"/>
          <w:szCs w:val="24"/>
        </w:rPr>
        <w:t>(</w:t>
      </w:r>
      <w:r>
        <w:rPr>
          <w:rFonts w:ascii="Times New Roman" w:hAnsi="Times New Roman" w:cs="Times New Roman"/>
          <w:sz w:val="24"/>
          <w:szCs w:val="24"/>
        </w:rPr>
        <w:t>D</w:t>
      </w:r>
      <w:r>
        <w:rPr>
          <w:rFonts w:hint="eastAsia" w:ascii="Times New Roman" w:hAnsi="Times New Roman" w:cs="Times New Roman"/>
          <w:sz w:val="24"/>
          <w:szCs w:val="24"/>
        </w:rPr>
        <w:t>)</w:t>
      </w:r>
      <w:r>
        <w:rPr>
          <w:rFonts w:ascii="Times New Roman" w:hAnsi="Times New Roman" w:cs="Times New Roman"/>
          <w:sz w:val="24"/>
          <w:szCs w:val="24"/>
        </w:rPr>
        <w:t xml:space="preserve"> PSMC analysis results of SX population. </w:t>
      </w:r>
      <w:r>
        <w:rPr>
          <w:rFonts w:hint="eastAsia" w:ascii="Times New Roman" w:hAnsi="Times New Roman" w:cs="Times New Roman"/>
          <w:sz w:val="24"/>
          <w:szCs w:val="24"/>
        </w:rPr>
        <w:t>(</w:t>
      </w:r>
      <w:r>
        <w:rPr>
          <w:rFonts w:ascii="Times New Roman" w:hAnsi="Times New Roman" w:cs="Times New Roman"/>
          <w:sz w:val="24"/>
          <w:szCs w:val="24"/>
        </w:rPr>
        <w:t>E</w:t>
      </w:r>
      <w:r>
        <w:rPr>
          <w:rFonts w:hint="eastAsia" w:ascii="Times New Roman" w:hAnsi="Times New Roman" w:cs="Times New Roman"/>
          <w:sz w:val="24"/>
          <w:szCs w:val="24"/>
        </w:rPr>
        <w:t>)</w:t>
      </w:r>
      <w:r>
        <w:rPr>
          <w:rFonts w:ascii="Times New Roman" w:hAnsi="Times New Roman" w:cs="Times New Roman"/>
          <w:sz w:val="24"/>
          <w:szCs w:val="24"/>
        </w:rPr>
        <w:t xml:space="preserve"> PSMC analysis results of SM population. </w:t>
      </w:r>
      <w:r>
        <w:rPr>
          <w:rFonts w:hint="eastAsia" w:ascii="Times New Roman" w:hAnsi="Times New Roman" w:cs="Times New Roman"/>
          <w:sz w:val="24"/>
          <w:szCs w:val="24"/>
        </w:rPr>
        <w:t>(</w:t>
      </w:r>
      <w:r>
        <w:rPr>
          <w:rFonts w:ascii="Times New Roman" w:hAnsi="Times New Roman" w:cs="Times New Roman"/>
          <w:sz w:val="24"/>
          <w:szCs w:val="24"/>
        </w:rPr>
        <w:t>F</w:t>
      </w:r>
      <w:r>
        <w:rPr>
          <w:rFonts w:hint="eastAsia" w:ascii="Times New Roman" w:hAnsi="Times New Roman" w:cs="Times New Roman"/>
          <w:sz w:val="24"/>
          <w:szCs w:val="24"/>
        </w:rPr>
        <w:t>)</w:t>
      </w:r>
      <w:r>
        <w:rPr>
          <w:rFonts w:ascii="Times New Roman" w:hAnsi="Times New Roman" w:cs="Times New Roman"/>
          <w:sz w:val="24"/>
          <w:szCs w:val="24"/>
        </w:rPr>
        <w:t xml:space="preserve"> PSMC analysis results of CV population.</w:t>
      </w:r>
    </w:p>
    <w:p>
      <w:pPr>
        <w:spacing w:line="360" w:lineRule="auto"/>
        <w:ind w:left="0" w:leftChars="-202" w:hanging="424" w:hangingChars="177"/>
        <w:rPr>
          <w:rFonts w:ascii="Times New Roman" w:hAnsi="Times New Roman" w:cs="Times New Roman"/>
          <w:sz w:val="24"/>
          <w:szCs w:val="24"/>
        </w:rPr>
      </w:pPr>
    </w:p>
    <w:p>
      <w:pPr>
        <w:widowControl/>
        <w:jc w:val="left"/>
        <w:rPr>
          <w:rFonts w:ascii="Times New Roman" w:hAnsi="Times New Roman" w:cs="Times New Roman"/>
          <w:sz w:val="24"/>
          <w:szCs w:val="24"/>
        </w:rPr>
      </w:pPr>
      <w:r>
        <w:rPr>
          <w:rFonts w:ascii="Times New Roman" w:hAnsi="Times New Roman" w:cs="Times New Roman"/>
          <w:sz w:val="24"/>
          <w:szCs w:val="24"/>
        </w:rPr>
        <w:br w:type="page"/>
      </w: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hint="eastAsia" w:ascii="Times New Roman" w:hAnsi="Times New Roman" w:cs="Times New Roman"/>
          <w:sz w:val="24"/>
          <w:szCs w:val="24"/>
        </w:rPr>
        <w:drawing>
          <wp:inline distT="0" distB="0" distL="0" distR="0">
            <wp:extent cx="5278120" cy="5366385"/>
            <wp:effectExtent l="0" t="0" r="1778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8120" cy="5366385"/>
                    </a:xfrm>
                    <a:prstGeom prst="rect">
                      <a:avLst/>
                    </a:prstGeom>
                  </pic:spPr>
                </pic:pic>
              </a:graphicData>
            </a:graphic>
          </wp:inline>
        </w:drawing>
      </w:r>
    </w:p>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w:t>
      </w:r>
      <w:r>
        <w:rPr>
          <w:rFonts w:hint="eastAsia" w:ascii="Times New Roman" w:hAnsi="Times New Roman" w:cs="Times New Roman"/>
          <w:sz w:val="24"/>
          <w:szCs w:val="24"/>
          <w:lang w:val="en-US" w:eastAsia="zh-CN"/>
        </w:rPr>
        <w:t>4</w:t>
      </w:r>
      <w:r>
        <w:rPr>
          <w:rFonts w:ascii="Times New Roman" w:hAnsi="Times New Roman" w:cs="Times New Roman"/>
          <w:sz w:val="24"/>
          <w:szCs w:val="24"/>
        </w:rPr>
        <w:t xml:space="preserve"> Distribution of KEGG pathway of domestic ducks is shown as a bar chart. The number of gene is shown along X-axis while the different KEGG pathways are shown along Y-axis.</w:t>
      </w:r>
    </w:p>
    <w:p>
      <w:pPr>
        <w:spacing w:line="360" w:lineRule="auto"/>
        <w:rPr>
          <w:rFonts w:ascii="Times New Roman" w:hAnsi="Times New Roman" w:cs="Times New Roman"/>
          <w:sz w:val="24"/>
          <w:szCs w:val="24"/>
        </w:rPr>
      </w:pPr>
    </w:p>
    <w:p>
      <w:pPr>
        <w:spacing w:line="360" w:lineRule="auto"/>
        <w:ind w:left="-850" w:leftChars="-405"/>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6254750" cy="3276600"/>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55190" cy="3276600"/>
                    </a:xfrm>
                    <a:prstGeom prst="rect">
                      <a:avLst/>
                    </a:prstGeom>
                  </pic:spPr>
                </pic:pic>
              </a:graphicData>
            </a:graphic>
          </wp:inline>
        </w:drawing>
      </w:r>
    </w:p>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w:t>
      </w:r>
      <w:r>
        <w:rPr>
          <w:rFonts w:hint="eastAsia" w:ascii="Times New Roman" w:hAnsi="Times New Roman" w:cs="Times New Roman"/>
          <w:sz w:val="24"/>
          <w:szCs w:val="24"/>
          <w:lang w:val="en-US" w:eastAsia="zh-CN"/>
        </w:rPr>
        <w:t>5</w:t>
      </w:r>
      <w:r>
        <w:rPr>
          <w:rFonts w:ascii="Times New Roman" w:hAnsi="Times New Roman" w:cs="Times New Roman"/>
          <w:sz w:val="24"/>
          <w:szCs w:val="24"/>
        </w:rPr>
        <w:t xml:space="preserve"> Gene ontology (GO) classification for positively selected genes in domestication. The number of gene is shown along Y-axis while the different GO </w:t>
      </w:r>
      <w:r>
        <w:rPr>
          <w:rFonts w:ascii="Times New Roman" w:hAnsi="Times New Roman" w:eastAsia="宋体" w:cs="Times New Roman"/>
          <w:sz w:val="24"/>
          <w:szCs w:val="24"/>
        </w:rPr>
        <w:t>categories</w:t>
      </w:r>
      <w:r>
        <w:rPr>
          <w:rFonts w:ascii="Times New Roman" w:hAnsi="Times New Roman" w:cs="Times New Roman"/>
          <w:sz w:val="24"/>
          <w:szCs w:val="24"/>
        </w:rPr>
        <w:t xml:space="preserve"> are shown along X-axis.</w:t>
      </w:r>
    </w:p>
    <w:p>
      <w:pPr>
        <w:spacing w:line="360" w:lineRule="auto"/>
        <w:rPr>
          <w:rFonts w:ascii="Times New Roman" w:hAnsi="Times New Roman" w:cs="Times New Roman"/>
          <w:sz w:val="24"/>
          <w:szCs w:val="24"/>
        </w:rPr>
      </w:pPr>
    </w:p>
    <w:p>
      <w:pPr>
        <w:spacing w:line="360" w:lineRule="auto"/>
      </w:pPr>
      <w:r>
        <w:drawing>
          <wp:inline distT="0" distB="0" distL="114300" distR="114300">
            <wp:extent cx="5276850" cy="2891155"/>
            <wp:effectExtent l="4445" t="4445" r="14605" b="19050"/>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360" w:lineRule="auto"/>
        <w:rPr>
          <w:rFonts w:ascii="Times New Roman" w:hAnsi="Times New Roman" w:eastAsia="宋体"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w:t>
      </w:r>
      <w:r>
        <w:rPr>
          <w:rFonts w:hint="eastAsia" w:ascii="Times New Roman" w:hAnsi="Times New Roman" w:cs="Times New Roman"/>
          <w:sz w:val="24"/>
          <w:szCs w:val="24"/>
          <w:lang w:val="en-US" w:eastAsia="zh-CN"/>
        </w:rPr>
        <w:t>6</w:t>
      </w:r>
      <w:r>
        <w:rPr>
          <w:rFonts w:ascii="Times New Roman" w:hAnsi="Times New Roman" w:cs="Times New Roman"/>
          <w:sz w:val="24"/>
          <w:szCs w:val="24"/>
        </w:rPr>
        <w:t xml:space="preserve"> </w:t>
      </w:r>
      <w:r>
        <w:rPr>
          <w:rFonts w:hint="eastAsia" w:ascii="Times New Roman" w:hAnsi="Times New Roman" w:eastAsia="宋体" w:cs="Times New Roman"/>
          <w:sz w:val="24"/>
          <w:szCs w:val="24"/>
        </w:rPr>
        <w:t>The number of differ</w:t>
      </w:r>
      <w:r>
        <w:rPr>
          <w:rFonts w:ascii="Times New Roman" w:hAnsi="Times New Roman" w:eastAsia="宋体" w:cs="Times New Roman"/>
          <w:sz w:val="24"/>
          <w:szCs w:val="24"/>
        </w:rPr>
        <w:t>ential expression genes in muscle, liver and cerebellum</w:t>
      </w:r>
    </w:p>
    <w:p>
      <w:pPr>
        <w:spacing w:line="360" w:lineRule="auto"/>
        <w:rPr>
          <w:rFonts w:ascii="Times New Roman" w:hAnsi="Times New Roman" w:eastAsia="宋体" w:cs="Times New Roman"/>
          <w:sz w:val="24"/>
          <w:szCs w:val="24"/>
        </w:rPr>
      </w:pPr>
    </w:p>
    <w:p>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5272405" cy="3785235"/>
            <wp:effectExtent l="0" t="0" r="4445" b="5715"/>
            <wp:docPr id="213" name="图片 213" descr="SXMuscle_MAMuscle_Up_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SXMuscle_MAMuscle_Up_Dow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2405" cy="3785235"/>
                    </a:xfrm>
                    <a:prstGeom prst="rect">
                      <a:avLst/>
                    </a:prstGeom>
                    <a:noFill/>
                    <a:ln>
                      <a:noFill/>
                    </a:ln>
                  </pic:spPr>
                </pic:pic>
              </a:graphicData>
            </a:graphic>
          </wp:inline>
        </w:drawing>
      </w:r>
    </w:p>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w:t>
      </w:r>
      <w:r>
        <w:rPr>
          <w:rFonts w:hint="eastAsia" w:ascii="Times New Roman" w:hAnsi="Times New Roman" w:cs="Times New Roman"/>
          <w:sz w:val="24"/>
          <w:szCs w:val="24"/>
          <w:lang w:val="en-US" w:eastAsia="zh-CN"/>
        </w:rPr>
        <w:t>7</w:t>
      </w:r>
      <w:r>
        <w:rPr>
          <w:rFonts w:ascii="Times New Roman" w:hAnsi="Times New Roman" w:cs="Times New Roman"/>
          <w:sz w:val="24"/>
          <w:szCs w:val="24"/>
        </w:rPr>
        <w:t xml:space="preserve"> </w:t>
      </w:r>
      <w:r>
        <w:rPr>
          <w:rFonts w:ascii="Times New Roman" w:hAnsi="Times New Roman" w:eastAsia="宋体" w:cs="Times New Roman"/>
          <w:sz w:val="24"/>
          <w:szCs w:val="24"/>
        </w:rPr>
        <w:t xml:space="preserve">Function classifications of Gene Ontology terms of </w:t>
      </w:r>
      <w:r>
        <w:rPr>
          <w:rFonts w:hint="eastAsia" w:ascii="Times New Roman" w:hAnsi="Times New Roman" w:eastAsia="宋体" w:cs="Times New Roman"/>
          <w:sz w:val="24"/>
          <w:szCs w:val="24"/>
        </w:rPr>
        <w:t>differ</w:t>
      </w:r>
      <w:r>
        <w:rPr>
          <w:rFonts w:ascii="Times New Roman" w:hAnsi="Times New Roman" w:eastAsia="宋体" w:cs="Times New Roman"/>
          <w:sz w:val="24"/>
          <w:szCs w:val="24"/>
        </w:rPr>
        <w:t xml:space="preserve">ential expression genes in </w:t>
      </w:r>
      <w:r>
        <w:rPr>
          <w:rFonts w:hint="eastAsia" w:ascii="Times New Roman" w:hAnsi="Times New Roman" w:eastAsia="宋体" w:cs="Times New Roman"/>
          <w:sz w:val="24"/>
          <w:szCs w:val="24"/>
        </w:rPr>
        <w:t>muscle.</w:t>
      </w:r>
      <w:r>
        <w:t xml:space="preserve"> </w:t>
      </w:r>
      <w:r>
        <w:rPr>
          <w:rFonts w:ascii="Times New Roman" w:hAnsi="Times New Roman" w:eastAsia="宋体" w:cs="Times New Roman"/>
          <w:sz w:val="24"/>
          <w:szCs w:val="24"/>
        </w:rPr>
        <w:t>The left ordinate represent the proportion of the GO term, and the right ordinate is the gene number of this term. Red indicates the up-regulated genes, and green indicates the down-regulated genes</w:t>
      </w:r>
      <w:r>
        <w:rPr>
          <w:rFonts w:ascii="Times New Roman" w:hAnsi="Times New Roman" w:cs="Times New Roman"/>
          <w:sz w:val="24"/>
          <w:szCs w:val="24"/>
        </w:rPr>
        <w:t>.</w:t>
      </w: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eastAsia="宋体" w:cs="Times New Roman"/>
          <w:sz w:val="24"/>
          <w:szCs w:val="24"/>
        </w:rPr>
        <w:drawing>
          <wp:inline distT="0" distB="0" distL="0" distR="0">
            <wp:extent cx="5267325" cy="3781425"/>
            <wp:effectExtent l="0" t="0" r="9525" b="9525"/>
            <wp:docPr id="212" name="图片 212" descr="SXLiver_MALiver_Up_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SXLiver_MALiver_Up_Dow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67325" cy="3781425"/>
                    </a:xfrm>
                    <a:prstGeom prst="rect">
                      <a:avLst/>
                    </a:prstGeom>
                    <a:noFill/>
                    <a:ln>
                      <a:noFill/>
                    </a:ln>
                  </pic:spPr>
                </pic:pic>
              </a:graphicData>
            </a:graphic>
          </wp:inline>
        </w:drawing>
      </w:r>
    </w:p>
    <w:p>
      <w:pPr>
        <w:spacing w:line="360" w:lineRule="auto"/>
        <w:rPr>
          <w:rFonts w:ascii="Times New Roman" w:hAnsi="Times New Roman" w:eastAsia="宋体"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w:t>
      </w:r>
      <w:r>
        <w:rPr>
          <w:rFonts w:hint="eastAsia" w:ascii="Times New Roman" w:hAnsi="Times New Roman" w:cs="Times New Roman"/>
          <w:sz w:val="24"/>
          <w:szCs w:val="24"/>
          <w:lang w:val="en-US" w:eastAsia="zh-CN"/>
        </w:rPr>
        <w:t>8</w:t>
      </w:r>
      <w:r>
        <w:rPr>
          <w:rFonts w:ascii="Times New Roman" w:hAnsi="Times New Roman" w:cs="Times New Roman"/>
          <w:sz w:val="24"/>
          <w:szCs w:val="24"/>
        </w:rPr>
        <w:t xml:space="preserve"> </w:t>
      </w:r>
      <w:r>
        <w:rPr>
          <w:rFonts w:ascii="Times New Roman" w:hAnsi="Times New Roman" w:eastAsia="宋体" w:cs="Times New Roman"/>
          <w:sz w:val="24"/>
          <w:szCs w:val="24"/>
        </w:rPr>
        <w:t xml:space="preserve">Function classifications of Gene Ontology terms of </w:t>
      </w:r>
      <w:r>
        <w:rPr>
          <w:rFonts w:hint="eastAsia" w:ascii="Times New Roman" w:hAnsi="Times New Roman" w:eastAsia="宋体" w:cs="Times New Roman"/>
          <w:sz w:val="24"/>
          <w:szCs w:val="24"/>
        </w:rPr>
        <w:t>differ</w:t>
      </w:r>
      <w:r>
        <w:rPr>
          <w:rFonts w:ascii="Times New Roman" w:hAnsi="Times New Roman" w:eastAsia="宋体" w:cs="Times New Roman"/>
          <w:sz w:val="24"/>
          <w:szCs w:val="24"/>
        </w:rPr>
        <w:t xml:space="preserve">ential expression genes in </w:t>
      </w:r>
      <w:r>
        <w:rPr>
          <w:rFonts w:hint="eastAsia" w:ascii="Times New Roman" w:hAnsi="Times New Roman" w:eastAsia="宋体" w:cs="Times New Roman"/>
          <w:sz w:val="24"/>
          <w:szCs w:val="24"/>
        </w:rPr>
        <w:t>liver.</w:t>
      </w:r>
      <w:r>
        <w:t xml:space="preserve"> </w:t>
      </w:r>
      <w:r>
        <w:rPr>
          <w:rFonts w:ascii="Times New Roman" w:hAnsi="Times New Roman" w:eastAsia="宋体" w:cs="Times New Roman"/>
          <w:sz w:val="24"/>
          <w:szCs w:val="24"/>
        </w:rPr>
        <w:t>The left ordinate represent the proportion of the GO term, and the right ordinate is the gene number of this term. Red indicates the up-regulated genes, and green indicates the down-regulated genes.</w:t>
      </w:r>
    </w:p>
    <w:p>
      <w:pPr>
        <w:spacing w:line="360" w:lineRule="auto"/>
        <w:rPr>
          <w:rFonts w:ascii="Times New Roman" w:hAnsi="Times New Roman" w:eastAsia="宋体" w:cs="Times New Roman"/>
          <w:sz w:val="24"/>
          <w:szCs w:val="24"/>
        </w:rPr>
      </w:pPr>
    </w:p>
    <w:p>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0" distR="0">
            <wp:extent cx="5267325" cy="3781425"/>
            <wp:effectExtent l="0" t="0" r="9525" b="9525"/>
            <wp:docPr id="211" name="图片 211" descr="SXCb_MACb_Up_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SXCb_MACb_Up_Dow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67325" cy="3781425"/>
                    </a:xfrm>
                    <a:prstGeom prst="rect">
                      <a:avLst/>
                    </a:prstGeom>
                    <a:noFill/>
                    <a:ln>
                      <a:noFill/>
                    </a:ln>
                  </pic:spPr>
                </pic:pic>
              </a:graphicData>
            </a:graphic>
          </wp:inline>
        </w:drawing>
      </w:r>
    </w:p>
    <w:p>
      <w:pPr>
        <w:spacing w:line="360" w:lineRule="auto"/>
        <w:rPr>
          <w:rFonts w:ascii="Times New Roman" w:hAnsi="Times New Roman" w:eastAsia="宋体"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w:t>
      </w:r>
      <w:r>
        <w:rPr>
          <w:rFonts w:hint="eastAsia" w:ascii="Times New Roman" w:hAnsi="Times New Roman" w:cs="Times New Roman"/>
          <w:sz w:val="24"/>
          <w:szCs w:val="24"/>
          <w:lang w:val="en-US" w:eastAsia="zh-CN"/>
        </w:rPr>
        <w:t>9</w:t>
      </w:r>
      <w:r>
        <w:rPr>
          <w:rFonts w:ascii="Times New Roman" w:hAnsi="Times New Roman" w:cs="Times New Roman"/>
          <w:sz w:val="24"/>
          <w:szCs w:val="24"/>
        </w:rPr>
        <w:t xml:space="preserve"> </w:t>
      </w:r>
      <w:r>
        <w:rPr>
          <w:rFonts w:ascii="Times New Roman" w:hAnsi="Times New Roman" w:eastAsia="宋体" w:cs="Times New Roman"/>
          <w:sz w:val="24"/>
          <w:szCs w:val="24"/>
        </w:rPr>
        <w:t xml:space="preserve">Function classifications of Gene Ontology terms of </w:t>
      </w:r>
      <w:r>
        <w:rPr>
          <w:rFonts w:hint="eastAsia" w:ascii="Times New Roman" w:hAnsi="Times New Roman" w:eastAsia="宋体" w:cs="Times New Roman"/>
          <w:sz w:val="24"/>
          <w:szCs w:val="24"/>
        </w:rPr>
        <w:t>differ</w:t>
      </w:r>
      <w:r>
        <w:rPr>
          <w:rFonts w:ascii="Times New Roman" w:hAnsi="Times New Roman" w:eastAsia="宋体" w:cs="Times New Roman"/>
          <w:sz w:val="24"/>
          <w:szCs w:val="24"/>
        </w:rPr>
        <w:t>ential expression genes in cerebellum</w:t>
      </w:r>
      <w:r>
        <w:rPr>
          <w:rFonts w:hint="eastAsia" w:ascii="Times New Roman" w:hAnsi="Times New Roman" w:eastAsia="宋体" w:cs="Times New Roman"/>
          <w:sz w:val="24"/>
          <w:szCs w:val="24"/>
        </w:rPr>
        <w:t>.</w:t>
      </w:r>
      <w:r>
        <w:t xml:space="preserve"> </w:t>
      </w:r>
      <w:r>
        <w:rPr>
          <w:rFonts w:ascii="Times New Roman" w:hAnsi="Times New Roman" w:eastAsia="宋体" w:cs="Times New Roman"/>
          <w:sz w:val="24"/>
          <w:szCs w:val="24"/>
        </w:rPr>
        <w:t>The left ordinate represent the proportion of the GO term, and the right ordinate is the gene number of this term. Red indicates the up-regulated genes, and green indicates the down-regulated genes.</w:t>
      </w:r>
    </w:p>
    <w:p>
      <w:pPr>
        <w:spacing w:line="360" w:lineRule="auto"/>
        <w:rPr>
          <w:rFonts w:ascii="Times New Roman" w:hAnsi="Times New Roman" w:eastAsia="宋体" w:cs="Times New Roman"/>
          <w:sz w:val="24"/>
          <w:szCs w:val="24"/>
        </w:rPr>
      </w:pPr>
    </w:p>
    <w:p>
      <w:pPr>
        <w:spacing w:line="360" w:lineRule="auto"/>
        <w:rPr>
          <w:rFonts w:ascii="Times New Roman" w:hAnsi="Times New Roman" w:cs="Times New Roman"/>
          <w:sz w:val="24"/>
          <w:szCs w:val="24"/>
        </w:rPr>
      </w:pPr>
      <w:r>
        <w:rPr>
          <w:rFonts w:ascii="Times New Roman" w:hAnsi="Times New Roman" w:eastAsia="宋体" w:cs="Times New Roman"/>
          <w:sz w:val="24"/>
          <w:szCs w:val="24"/>
        </w:rPr>
        <w:drawing>
          <wp:inline distT="0" distB="0" distL="0" distR="0">
            <wp:extent cx="3838575" cy="2182495"/>
            <wp:effectExtent l="0" t="0" r="9525" b="8255"/>
            <wp:docPr id="214" name="图片 214" descr="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838575" cy="2182495"/>
                    </a:xfrm>
                    <a:prstGeom prst="rect">
                      <a:avLst/>
                    </a:prstGeom>
                    <a:noFill/>
                    <a:ln>
                      <a:noFill/>
                    </a:ln>
                  </pic:spPr>
                </pic:pic>
              </a:graphicData>
            </a:graphic>
          </wp:inline>
        </w:drawing>
      </w:r>
    </w:p>
    <w:p>
      <w:pPr>
        <w:spacing w:line="360" w:lineRule="auto"/>
        <w:rPr>
          <w:rFonts w:hint="default" w:ascii="Times New Roman" w:hAnsi="Times New Roman" w:cs="Times New Roman"/>
          <w:sz w:val="24"/>
          <w:szCs w:val="24"/>
          <w:lang w:val="en-US" w:eastAsia="zh-CN"/>
        </w:rPr>
      </w:pPr>
      <w:r>
        <w:rPr>
          <w:rFonts w:ascii="Times New Roman" w:hAnsi="Times New Roman" w:cs="Times New Roman"/>
          <w:sz w:val="24"/>
          <w:szCs w:val="24"/>
        </w:rPr>
        <w:t>S</w:t>
      </w:r>
      <w:r>
        <w:rPr>
          <w:rFonts w:hint="eastAsia" w:ascii="Times New Roman" w:hAnsi="Times New Roman" w:cs="Times New Roman"/>
          <w:sz w:val="24"/>
          <w:szCs w:val="24"/>
        </w:rPr>
        <w:t xml:space="preserve">upplementary </w:t>
      </w:r>
      <w:r>
        <w:rPr>
          <w:rFonts w:ascii="Times New Roman" w:hAnsi="Times New Roman" w:cs="Times New Roman"/>
          <w:sz w:val="24"/>
          <w:szCs w:val="24"/>
        </w:rPr>
        <w:t>Fig. S</w:t>
      </w:r>
      <w:r>
        <w:rPr>
          <w:rFonts w:hint="eastAsia" w:ascii="Times New Roman" w:hAnsi="Times New Roman" w:cs="Times New Roman"/>
          <w:sz w:val="24"/>
          <w:szCs w:val="24"/>
          <w:lang w:val="en-US" w:eastAsia="zh-CN"/>
        </w:rPr>
        <w:t xml:space="preserve">10 </w:t>
      </w:r>
      <w:r>
        <w:rPr>
          <w:rFonts w:ascii="Times New Roman" w:hAnsi="Times New Roman" w:eastAsia="宋体" w:cs="Times New Roman"/>
          <w:sz w:val="24"/>
          <w:szCs w:val="24"/>
        </w:rPr>
        <w:t xml:space="preserve">Venn </w:t>
      </w:r>
      <w:r>
        <w:rPr>
          <w:rFonts w:ascii="Times New Roman" w:hAnsi="Times New Roman" w:cs="Times New Roman"/>
          <w:sz w:val="24"/>
          <w:szCs w:val="24"/>
        </w:rPr>
        <w:t xml:space="preserve">diagram of </w:t>
      </w:r>
      <w:r>
        <w:rPr>
          <w:rFonts w:hint="eastAsia" w:ascii="Times New Roman" w:hAnsi="Times New Roman" w:cs="Times New Roman"/>
          <w:sz w:val="24"/>
          <w:szCs w:val="24"/>
          <w:lang w:val="en-US" w:eastAsia="zh-CN"/>
        </w:rPr>
        <w:t>selected genes (blue) and significantly expressed genes in muscle (yellow), liver (red) and cerebellum (green) of Shaoxing ducks.</w:t>
      </w:r>
    </w:p>
    <w:p>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pPr>
        <w:spacing w:line="360" w:lineRule="auto"/>
        <w:rPr>
          <w:rFonts w:ascii="Times New Roman" w:hAnsi="Times New Roman" w:cs="Times New Roman"/>
          <w:sz w:val="24"/>
          <w:szCs w:val="24"/>
        </w:rPr>
      </w:pPr>
      <w:r>
        <w:rPr>
          <w:rFonts w:hint="eastAsia" w:ascii="Times New Roman" w:hAnsi="Times New Roman" w:cs="Times New Roman"/>
          <w:sz w:val="24"/>
          <w:szCs w:val="24"/>
        </w:rPr>
        <w:t>Sup</w:t>
      </w:r>
      <w:r>
        <w:rPr>
          <w:rFonts w:ascii="Times New Roman" w:hAnsi="Times New Roman" w:cs="Times New Roman"/>
          <w:sz w:val="24"/>
          <w:szCs w:val="24"/>
        </w:rPr>
        <w:t>plementary Tables</w:t>
      </w:r>
    </w:p>
    <w:p>
      <w:pPr>
        <w:spacing w:line="360" w:lineRule="auto"/>
        <w:rPr>
          <w:rFonts w:hint="eastAsia" w:ascii="Times New Roman" w:hAnsi="Times New Roman" w:cs="Times New Roman" w:eastAsiaTheme="minorEastAsia"/>
          <w:sz w:val="24"/>
          <w:szCs w:val="24"/>
          <w:lang w:val="en-US" w:eastAsia="zh-CN"/>
        </w:rPr>
      </w:pPr>
      <w:bookmarkStart w:id="1" w:name="OLE_LINK6"/>
      <w:r>
        <w:rPr>
          <w:rFonts w:ascii="Times New Roman" w:hAnsi="Times New Roman" w:cs="Times New Roman"/>
          <w:sz w:val="24"/>
          <w:szCs w:val="24"/>
        </w:rPr>
        <w:t>Supplementary Table S1</w:t>
      </w:r>
      <w:bookmarkEnd w:id="1"/>
      <w:r>
        <w:rPr>
          <w:rFonts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ascii="Times New Roman" w:hAnsi="Times New Roman" w:eastAsia="宋体" w:cs="Times New Roman"/>
          <w:kern w:val="0"/>
          <w:sz w:val="24"/>
          <w:szCs w:val="24"/>
        </w:rPr>
        <w:t>Breeds included in the study and phenotypic description</w:t>
      </w:r>
    </w:p>
    <w:tbl>
      <w:tblPr>
        <w:tblStyle w:val="8"/>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483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bottom w:val="single" w:color="auto" w:sz="8" w:space="0"/>
            </w:tcBorders>
            <w:vAlign w:val="center"/>
          </w:tcPr>
          <w:p>
            <w:pPr>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Breed</w:t>
            </w:r>
          </w:p>
        </w:tc>
        <w:tc>
          <w:tcPr>
            <w:tcW w:w="1704" w:type="dxa"/>
            <w:tcBorders>
              <w:bottom w:val="single" w:color="auto" w:sz="8" w:space="0"/>
            </w:tcBorders>
            <w:vAlign w:val="center"/>
          </w:tcPr>
          <w:p>
            <w:pPr>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Type</w:t>
            </w:r>
          </w:p>
        </w:tc>
        <w:tc>
          <w:tcPr>
            <w:tcW w:w="4836" w:type="dxa"/>
            <w:tcBorders>
              <w:bottom w:val="single" w:color="auto" w:sz="8" w:space="0"/>
            </w:tcBorders>
            <w:vAlign w:val="center"/>
          </w:tcPr>
          <w:p>
            <w:pPr>
              <w:jc w:val="center"/>
              <w:rPr>
                <w:rFonts w:hint="default" w:ascii="Times New Roman" w:hAnsi="Times New Roman" w:cs="Times New Roman"/>
                <w:sz w:val="24"/>
                <w:szCs w:val="24"/>
                <w:vertAlign w:val="baseline"/>
              </w:rPr>
            </w:pPr>
            <w:r>
              <w:rPr>
                <w:rFonts w:hint="default" w:ascii="Times New Roman" w:hAnsi="Times New Roman" w:eastAsia="宋体" w:cs="Times New Roman"/>
                <w:color w:val="000000"/>
                <w:kern w:val="0"/>
                <w:sz w:val="24"/>
                <w:szCs w:val="24"/>
              </w:rPr>
              <w:t>Phenotypic description</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8" w:space="0"/>
              <w:bottom w:val="single" w:color="auto" w:sz="4" w:space="0"/>
            </w:tcBorders>
            <w:vAlign w:val="center"/>
          </w:tcPr>
          <w:p>
            <w:pPr>
              <w:jc w:val="both"/>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Mallard</w:t>
            </w:r>
          </w:p>
        </w:tc>
        <w:tc>
          <w:tcPr>
            <w:tcW w:w="1704" w:type="dxa"/>
            <w:tcBorders>
              <w:top w:val="single" w:color="auto" w:sz="8" w:space="0"/>
              <w:bottom w:val="single" w:color="auto" w:sz="4" w:space="0"/>
            </w:tcBorders>
            <w:vAlign w:val="center"/>
          </w:tcPr>
          <w:p>
            <w:pPr>
              <w:jc w:val="both"/>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Wild duck</w:t>
            </w:r>
          </w:p>
        </w:tc>
        <w:tc>
          <w:tcPr>
            <w:tcW w:w="4836" w:type="dxa"/>
            <w:tcBorders>
              <w:top w:val="single" w:color="auto" w:sz="8" w:space="0"/>
              <w:bottom w:val="single" w:color="auto" w:sz="4" w:space="0"/>
            </w:tcBorders>
            <w:vAlign w:val="center"/>
          </w:tcPr>
          <w:p>
            <w:pPr>
              <w:ind w:left="0" w:leftChars="0" w:firstLine="0" w:firstLineChars="0"/>
              <w:jc w:val="both"/>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The male ducks are matallic green on their head and neck, gray on their wings and belly, dark brown on their body and have yellow beak. The female ducks have mainly brown-speckled plumage and orange red beak with many dark spots. Both sexes have white-bordered and blue speculum on their wings.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4" w:space="0"/>
              <w:bottom w:val="single" w:color="auto" w:sz="4" w:space="0"/>
            </w:tcBorders>
            <w:vAlign w:val="center"/>
          </w:tcPr>
          <w:p>
            <w:pPr>
              <w:jc w:val="both"/>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Chinese Spot-billed Duck</w:t>
            </w:r>
          </w:p>
        </w:tc>
        <w:tc>
          <w:tcPr>
            <w:tcW w:w="1704" w:type="dxa"/>
            <w:tcBorders>
              <w:top w:val="single" w:color="auto" w:sz="4" w:space="0"/>
              <w:bottom w:val="single" w:color="auto" w:sz="4" w:space="0"/>
            </w:tcBorders>
            <w:vAlign w:val="center"/>
          </w:tcPr>
          <w:p>
            <w:pPr>
              <w:jc w:val="both"/>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Wild duck</w:t>
            </w:r>
          </w:p>
        </w:tc>
        <w:tc>
          <w:tcPr>
            <w:tcW w:w="4836" w:type="dxa"/>
            <w:tcBorders>
              <w:top w:val="single" w:color="auto" w:sz="4" w:space="0"/>
              <w:bottom w:val="single" w:color="auto" w:sz="4" w:space="0"/>
            </w:tcBorders>
            <w:vAlign w:val="center"/>
          </w:tcPr>
          <w:p>
            <w:pPr>
              <w:ind w:firstLine="0" w:firstLineChars="0"/>
              <w:jc w:val="both"/>
              <w:rPr>
                <w:rFonts w:hint="default" w:ascii="Times New Roman" w:hAnsi="Times New Roman" w:eastAsia="宋体" w:cs="Times New Roman"/>
                <w:color w:val="000000"/>
                <w:kern w:val="0"/>
                <w:sz w:val="24"/>
                <w:szCs w:val="24"/>
                <w:lang w:val="en-US" w:eastAsia="zh-CN"/>
              </w:rPr>
            </w:pPr>
            <w:r>
              <w:rPr>
                <w:rFonts w:hint="eastAsia" w:ascii="Times New Roman" w:hAnsi="Times New Roman" w:eastAsia="宋体" w:cs="Times New Roman"/>
                <w:color w:val="000000"/>
                <w:kern w:val="0"/>
                <w:sz w:val="24"/>
                <w:szCs w:val="24"/>
                <w:lang w:val="en-US" w:eastAsia="zh-CN"/>
              </w:rPr>
              <w:t>These are mainly light brown ducks with paler head and neck and tan brown belly. The beaks are black tipped bright yellow. The wings are whitish with black flight feathers below and have a blue speculum. The legs and feet are bright orange.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4" w:space="0"/>
            </w:tcBorders>
            <w:vAlign w:val="center"/>
          </w:tcPr>
          <w:p>
            <w:pPr>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Shaoxing Duck</w:t>
            </w:r>
          </w:p>
        </w:tc>
        <w:tc>
          <w:tcPr>
            <w:tcW w:w="1704" w:type="dxa"/>
            <w:tcBorders>
              <w:top w:val="single" w:color="auto" w:sz="4" w:space="0"/>
            </w:tcBorders>
            <w:vAlign w:val="center"/>
          </w:tcPr>
          <w:p>
            <w:pPr>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Egg type</w:t>
            </w:r>
          </w:p>
        </w:tc>
        <w:tc>
          <w:tcPr>
            <w:tcW w:w="4836" w:type="dxa"/>
            <w:tcBorders>
              <w:top w:val="single" w:color="auto" w:sz="4" w:space="0"/>
            </w:tcBorders>
            <w:vAlign w:val="center"/>
          </w:tcPr>
          <w:p>
            <w:pPr>
              <w:ind w:firstLine="0" w:firstLineChars="0"/>
              <w:jc w:val="both"/>
              <w:rPr>
                <w:rFonts w:hint="default" w:ascii="Times New Roman" w:hAnsi="Times New Roman" w:eastAsia="宋体" w:cs="Times New Roman"/>
                <w:color w:val="000000"/>
                <w:kern w:val="0"/>
                <w:sz w:val="24"/>
                <w:szCs w:val="24"/>
                <w:lang w:val="en-US" w:eastAsia="zh-CN"/>
              </w:rPr>
            </w:pPr>
            <w:r>
              <w:rPr>
                <w:rFonts w:hint="eastAsia" w:ascii="Times New Roman" w:hAnsi="Times New Roman" w:eastAsia="宋体" w:cs="Times New Roman"/>
                <w:color w:val="000000"/>
                <w:kern w:val="0"/>
                <w:sz w:val="24"/>
                <w:szCs w:val="24"/>
                <w:lang w:val="en-US" w:eastAsia="zh-CN"/>
              </w:rPr>
              <w:t>This duck is slender and have yellow bill and orange feet. The male duck has a white collar that seperate the green head and brown body, and white belly. The female duck has light brown body with a paler collar.</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vAlign w:val="center"/>
          </w:tcPr>
          <w:p>
            <w:pPr>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Shama Duck</w:t>
            </w:r>
          </w:p>
        </w:tc>
        <w:tc>
          <w:tcPr>
            <w:tcW w:w="1704" w:type="dxa"/>
            <w:vAlign w:val="center"/>
          </w:tcPr>
          <w:p>
            <w:pPr>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Egg type</w:t>
            </w:r>
          </w:p>
        </w:tc>
        <w:tc>
          <w:tcPr>
            <w:tcW w:w="4836" w:type="dxa"/>
            <w:vAlign w:val="center"/>
          </w:tcPr>
          <w:p>
            <w:pPr>
              <w:jc w:val="both"/>
              <w:rPr>
                <w:rFonts w:hint="default" w:ascii="Times New Roman" w:hAnsi="Times New Roman" w:eastAsia="宋体" w:cs="Times New Roman"/>
                <w:color w:val="000000"/>
                <w:kern w:val="0"/>
                <w:sz w:val="24"/>
                <w:szCs w:val="24"/>
                <w:lang w:val="en-US" w:eastAsia="zh-CN"/>
              </w:rPr>
            </w:pPr>
            <w:r>
              <w:rPr>
                <w:rFonts w:hint="eastAsia" w:ascii="Times New Roman" w:hAnsi="Times New Roman" w:eastAsia="宋体" w:cs="Times New Roman"/>
                <w:color w:val="000000"/>
                <w:kern w:val="0"/>
                <w:sz w:val="24"/>
                <w:szCs w:val="24"/>
                <w:lang w:val="en-US" w:eastAsia="zh-CN"/>
              </w:rPr>
              <w:t>The male duck has dark green head and neck, tan body, white belly and orange feet. The beak of male is blue-yellow with black tip. The female duck has light gray back, light brown belly, yellow beak and orange feet.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vAlign w:val="center"/>
          </w:tcPr>
          <w:p>
            <w:pPr>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Fenghua Duck</w:t>
            </w:r>
          </w:p>
        </w:tc>
        <w:tc>
          <w:tcPr>
            <w:tcW w:w="1704" w:type="dxa"/>
            <w:vAlign w:val="center"/>
          </w:tcPr>
          <w:p>
            <w:pPr>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Egg and meat type</w:t>
            </w:r>
          </w:p>
        </w:tc>
        <w:tc>
          <w:tcPr>
            <w:tcW w:w="4836" w:type="dxa"/>
            <w:vAlign w:val="center"/>
          </w:tcPr>
          <w:p>
            <w:pPr>
              <w:jc w:val="both"/>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vertAlign w:val="baseline"/>
                <w:lang w:val="en-US" w:eastAsia="zh-CN"/>
              </w:rPr>
              <w:t>These ducks have simillar appearance with mallards.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4" w:type="dxa"/>
            <w:vAlign w:val="center"/>
          </w:tcPr>
          <w:p>
            <w:pPr>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Cherry Valley Pekin Duck</w:t>
            </w:r>
          </w:p>
        </w:tc>
        <w:tc>
          <w:tcPr>
            <w:tcW w:w="1704" w:type="dxa"/>
            <w:vAlign w:val="center"/>
          </w:tcPr>
          <w:p>
            <w:pPr>
              <w:jc w:val="both"/>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sz w:val="24"/>
                <w:szCs w:val="24"/>
                <w:vertAlign w:val="baseline"/>
                <w:lang w:val="en-US" w:eastAsia="zh-CN"/>
              </w:rPr>
              <w:t>Meat type</w:t>
            </w:r>
          </w:p>
        </w:tc>
        <w:tc>
          <w:tcPr>
            <w:tcW w:w="4836" w:type="dxa"/>
            <w:vAlign w:val="center"/>
          </w:tcPr>
          <w:p>
            <w:pPr>
              <w:jc w:val="both"/>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vertAlign w:val="baseline"/>
                <w:lang w:val="en-US" w:eastAsia="zh-CN"/>
              </w:rPr>
              <w:t>This duck is large and solidly built. The plumage is creamy white with a yellowish tinge. The beak is short and orange-coloured. The legs and feet are a yellowish orange.</w:t>
            </w:r>
          </w:p>
        </w:tc>
      </w:tr>
    </w:tbl>
    <w:p>
      <w:pPr>
        <w:spacing w:line="360" w:lineRule="auto"/>
        <w:rPr>
          <w:rFonts w:ascii="Times New Roman" w:hAnsi="Times New Roman" w:cs="Times New Roman"/>
          <w:sz w:val="24"/>
          <w:szCs w:val="24"/>
        </w:rPr>
        <w:sectPr>
          <w:pgSz w:w="11906" w:h="16838"/>
          <w:pgMar w:top="1440" w:right="1797" w:bottom="1440" w:left="1797" w:header="851" w:footer="992" w:gutter="0"/>
          <w:lnNumType w:countBy="1" w:restart="continuous"/>
          <w:cols w:space="425" w:num="1"/>
          <w:docGrid w:type="lines" w:linePitch="312" w:charSpace="0"/>
        </w:sectPr>
      </w:pPr>
    </w:p>
    <w:p>
      <w:pPr>
        <w:spacing w:line="360" w:lineRule="auto"/>
        <w:rPr>
          <w:rFonts w:ascii="Times New Roman" w:hAnsi="Times New Roman" w:cs="Times New Roman"/>
          <w:sz w:val="24"/>
          <w:szCs w:val="24"/>
        </w:rPr>
      </w:pPr>
      <w:r>
        <w:rPr>
          <w:rFonts w:ascii="Times New Roman" w:hAnsi="Times New Roman" w:cs="Times New Roman"/>
          <w:sz w:val="24"/>
          <w:szCs w:val="24"/>
        </w:rPr>
        <w:t>Supplementary Table S</w:t>
      </w:r>
      <w:r>
        <w:rPr>
          <w:rFonts w:hint="eastAsia" w:ascii="Times New Roman" w:hAnsi="Times New Roman" w:cs="Times New Roman"/>
          <w:sz w:val="24"/>
          <w:szCs w:val="24"/>
          <w:lang w:val="en-US" w:eastAsia="zh-CN"/>
        </w:rPr>
        <w:t>2</w:t>
      </w:r>
      <w:r>
        <w:rPr>
          <w:rFonts w:ascii="Times New Roman" w:hAnsi="Times New Roman" w:cs="Times New Roman"/>
          <w:sz w:val="24"/>
          <w:szCs w:val="24"/>
        </w:rPr>
        <w:t>. Statistics of genomic sequencing of six duck populations.</w:t>
      </w:r>
    </w:p>
    <w:tbl>
      <w:tblPr>
        <w:tblStyle w:val="7"/>
        <w:tblW w:w="14176" w:type="dxa"/>
        <w:tblInd w:w="-284" w:type="dxa"/>
        <w:tblLayout w:type="fixed"/>
        <w:tblCellMar>
          <w:top w:w="15" w:type="dxa"/>
          <w:left w:w="15" w:type="dxa"/>
          <w:bottom w:w="15" w:type="dxa"/>
          <w:right w:w="15" w:type="dxa"/>
        </w:tblCellMar>
      </w:tblPr>
      <w:tblGrid>
        <w:gridCol w:w="1123"/>
        <w:gridCol w:w="862"/>
        <w:gridCol w:w="2127"/>
        <w:gridCol w:w="2126"/>
        <w:gridCol w:w="1701"/>
        <w:gridCol w:w="1417"/>
        <w:gridCol w:w="1701"/>
        <w:gridCol w:w="1560"/>
        <w:gridCol w:w="1559"/>
      </w:tblGrid>
      <w:tr>
        <w:tblPrEx>
          <w:tblCellMar>
            <w:top w:w="15" w:type="dxa"/>
            <w:left w:w="15" w:type="dxa"/>
            <w:bottom w:w="15" w:type="dxa"/>
            <w:right w:w="15" w:type="dxa"/>
          </w:tblCellMar>
        </w:tblPrEx>
        <w:trPr>
          <w:trHeight w:val="600" w:hRule="atLeast"/>
        </w:trPr>
        <w:tc>
          <w:tcPr>
            <w:tcW w:w="1123" w:type="dxa"/>
            <w:tcBorders>
              <w:top w:val="single" w:color="auto" w:sz="12" w:space="0"/>
              <w:bottom w:val="single" w:color="auto" w:sz="8" w:space="0"/>
            </w:tcBorders>
            <w:shd w:val="clear" w:color="auto" w:fill="auto"/>
            <w:vAlign w:val="center"/>
          </w:tcPr>
          <w:p>
            <w:pPr>
              <w:widowControl/>
              <w:ind w:right="178" w:rightChars="85"/>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Sample</w:t>
            </w:r>
          </w:p>
        </w:tc>
        <w:tc>
          <w:tcPr>
            <w:tcW w:w="862"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breed</w:t>
            </w:r>
          </w:p>
        </w:tc>
        <w:tc>
          <w:tcPr>
            <w:tcW w:w="2127"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Raw Base</w:t>
            </w:r>
          </w:p>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(bp)</w:t>
            </w:r>
          </w:p>
        </w:tc>
        <w:tc>
          <w:tcPr>
            <w:tcW w:w="2126"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Clean Base</w:t>
            </w:r>
          </w:p>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(bp)</w:t>
            </w:r>
          </w:p>
        </w:tc>
        <w:tc>
          <w:tcPr>
            <w:tcW w:w="1701"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Effective Rate</w:t>
            </w:r>
          </w:p>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w:t>
            </w:r>
          </w:p>
        </w:tc>
        <w:tc>
          <w:tcPr>
            <w:tcW w:w="1417"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Error Rate</w:t>
            </w:r>
          </w:p>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w:t>
            </w:r>
          </w:p>
        </w:tc>
        <w:tc>
          <w:tcPr>
            <w:tcW w:w="1701"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Q20</w:t>
            </w:r>
          </w:p>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w:t>
            </w:r>
          </w:p>
        </w:tc>
        <w:tc>
          <w:tcPr>
            <w:tcW w:w="1560"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Q30</w:t>
            </w:r>
          </w:p>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w:t>
            </w:r>
          </w:p>
        </w:tc>
        <w:tc>
          <w:tcPr>
            <w:tcW w:w="1559"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GC Content</w:t>
            </w:r>
          </w:p>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w:t>
            </w:r>
          </w:p>
        </w:tc>
      </w:tr>
      <w:tr>
        <w:tblPrEx>
          <w:tblCellMar>
            <w:top w:w="15" w:type="dxa"/>
            <w:left w:w="15" w:type="dxa"/>
            <w:bottom w:w="15" w:type="dxa"/>
            <w:right w:w="15" w:type="dxa"/>
          </w:tblCellMar>
        </w:tblPrEx>
        <w:trPr>
          <w:trHeight w:val="300" w:hRule="atLeast"/>
        </w:trPr>
        <w:tc>
          <w:tcPr>
            <w:tcW w:w="1123"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Y514581</w:t>
            </w:r>
          </w:p>
        </w:tc>
        <w:tc>
          <w:tcPr>
            <w:tcW w:w="862" w:type="dxa"/>
            <w:tcBorders>
              <w:top w:val="single" w:color="auto" w:sz="8" w:space="0"/>
            </w:tcBorders>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6,533,194,200</w:t>
            </w:r>
          </w:p>
        </w:tc>
        <w:tc>
          <w:tcPr>
            <w:tcW w:w="2126"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6,462,274,200</w:t>
            </w:r>
          </w:p>
        </w:tc>
        <w:tc>
          <w:tcPr>
            <w:tcW w:w="1701"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98.91</w:t>
            </w:r>
          </w:p>
        </w:tc>
        <w:tc>
          <w:tcPr>
            <w:tcW w:w="1417"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95.93</w:t>
            </w:r>
          </w:p>
        </w:tc>
        <w:tc>
          <w:tcPr>
            <w:tcW w:w="1560"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91.22</w:t>
            </w:r>
          </w:p>
        </w:tc>
        <w:tc>
          <w:tcPr>
            <w:tcW w:w="1559"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42.73</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Y514596</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5,791,020,900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5,723,121,000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98.83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95.83</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91.10</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42.86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Y514597</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6,007,902,900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5,936,809,200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98.82</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96.03</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91.46</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42.61</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Y514658</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5,524,394,400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5,453,904,000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98.72</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95.98</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91.41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42.78</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Y514881</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6,436,633,500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6,371,151,600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98.98</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95.64</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90.66</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42.45</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Y514910</w:t>
            </w:r>
          </w:p>
        </w:tc>
        <w:tc>
          <w:tcPr>
            <w:tcW w:w="86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10,318,641,900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10,178,369,400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98.64</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95.59</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90.12</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43.86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Y514925</w:t>
            </w:r>
          </w:p>
        </w:tc>
        <w:tc>
          <w:tcPr>
            <w:tcW w:w="86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8,957,637,300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8,850,498,300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98.80</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95.98</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91.38</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42.61</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Y514927</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9,632,760,300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9,516,111,000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98.79</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95.69</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90.27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43.43</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Y514938</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6,089,936,700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6,024,513,300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98.93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95.90</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91.19</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42.36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Y514940</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5,570,843,700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5,499,125,700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98.71</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95.72</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90.91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42.67</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P281729</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6,229,839,900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6,189,873,900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99.36</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95.92</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91.36</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42.46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P288909</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6,833,508,300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6,779,187,600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99.21</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96.03</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91.62</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43.16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P289075</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6,213,127,800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6,166,217,700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99.24</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95.86</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91.30</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42.74</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P289078</w:t>
            </w:r>
          </w:p>
        </w:tc>
        <w:tc>
          <w:tcPr>
            <w:tcW w:w="86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6,269,563,800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6,215,130,000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99.13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95.83</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91.25</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43.39</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P289112</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6,515,290,200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6,458,615,400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99.13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95.94</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91.44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43.33</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P289114</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7,209,048,000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7,154,875,800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99.25</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95.94</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91.45</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42.59</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P289253</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5,807,459,700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5,764,559,100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99.26</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96.06</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91.67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42.70</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P289255</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6,872,199,900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6,819,311,100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95.92</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91.42</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42.72</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P289330</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6,145,863,000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6,090,861,000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99.11</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95.96</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91.50</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43.06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Q538926</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6,797,516,700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6,747,015,300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99.26</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95.81</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91.19</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42.82</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P288872</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7,777,491,900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7,727,799,900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99.36</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96.01</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91.54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42.66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P289088</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5,864,935,500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5,831,550,300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99.43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96.30</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92.06</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42.75</w:t>
            </w:r>
          </w:p>
        </w:tc>
      </w:tr>
      <w:tr>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P289216</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6,486,920,100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6,428,559,000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99.10</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96.14</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91.83</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43.22</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P289249</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6,233,058,000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6,192,772,500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99.35</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96.24</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91.96</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42.83</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P289287</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6,175,804,200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6,132,768,900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99.30</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95.81</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91.17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42.79</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P289312</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6,404,539,800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6,353,858,700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99.21</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95.98</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91.52</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43.17</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P289384</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6,574,561,500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6,512,864,400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99.06</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95.93</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91.44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44.16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P289388</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6,509,927,700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6,467,841,600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99.35</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96.23</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91.95</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42.90</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P289393</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6,892,477,500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6,828,551,100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99.07</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95.67</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90.75</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43.74</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Q538935</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6,433,198,800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6,392,567,400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99.37</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96.00</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91.51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42.86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P288663</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6,380,013,000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6,327,822,000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99.18</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97.01</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93.34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43.19</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P288866</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6,157,292,700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6,122,565,300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99.44</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96.09</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91.67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42.75</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P288911</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6,118,113,600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6,077,032,500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96.88</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93.07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43.28</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P288913</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6,269,608,800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6,225,407,400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99.29</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96.43</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92.21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43.09</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P289124</w:t>
            </w:r>
          </w:p>
        </w:tc>
        <w:tc>
          <w:tcPr>
            <w:tcW w:w="86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9,575,010,000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9,500,328,600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99.22</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96.44</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92.26</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43.19</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P289316</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5,931,841,800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5,892,548,700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99.34</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0.02</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97.02</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93.34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43.14</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P289334</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6,094,672,500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6,052,644,000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99.31</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96.44</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92.28</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43.04</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Q538852</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6,093,615,000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6,046,461,000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96.78</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92.91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43.27</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Q538932</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6,585,876,300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6,531,150,000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99.17</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96.31</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92.03</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43.23</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Q538949</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7,867,398,000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7,829,285,700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99.52</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96.74</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92.74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42.45</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Y514575</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7,377,276,300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7,306,740,900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99.04</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96.55</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92.37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43.03</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Y514811</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7,029,386,400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6,974,218,200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99.22</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96.38</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92.02</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42.57</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Y514866</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8,936,115,900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8,858,368,500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99.13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96.23</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91.78</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42.75</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Y514906</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7,531,848,600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7,461,924,600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99.07</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96.25</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91.81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43.25</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Y514918</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6,134,908,800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6,080,565,300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99.11</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95.41</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90.28</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43.08</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Y514924</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6,606,762,900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6,559,059,000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99.28</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95.47</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89.97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42.15</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Y514928</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6,955,778,100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6,883,298,100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98.96</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95.40</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89.94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43.56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Y514934</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6,112,745,100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6,056,362,800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99.08</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95.41</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89.91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42.73</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Y514948</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7,277,882,100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7,192,391,100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98.83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96.18</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91.71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43.92</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Y515116</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7,185,339,000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7,129,912,500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99.23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95.60</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90.21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42.30</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P288863</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5,479,598,400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5,414,701,200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98.82</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95.97</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91.36</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42.69</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P288867</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6,106,622,700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6,041,441,100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98.93</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96.17</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91.71</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42.56</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P288940</w:t>
            </w:r>
          </w:p>
        </w:tc>
        <w:tc>
          <w:tcPr>
            <w:tcW w:w="86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6,234,129,600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6,156,561,000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98.76</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96.05</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91.53</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43.27</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P288949</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6,053,116,500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5,980,602,300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98.80</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96.22</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91.87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43.24</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P289087</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6,330,501,900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6,248,131,500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98.70</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96.27</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91.94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43.11</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P289121</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6,510,861,600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6,440,452,800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98.92</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96.17</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91.72</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42.25</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P289315</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6,676,837,200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6,583,051,500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98.60</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95.99</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91.46</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43.80</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P289359</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6,564,972,600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6,482,793,600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98.75</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96.28</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91.94</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42.77</w:t>
            </w:r>
          </w:p>
        </w:tc>
      </w:tr>
      <w:tr>
        <w:tblPrEx>
          <w:tblCellMar>
            <w:top w:w="15" w:type="dxa"/>
            <w:left w:w="15" w:type="dxa"/>
            <w:bottom w:w="15" w:type="dxa"/>
            <w:right w:w="15" w:type="dxa"/>
          </w:tblCellMar>
        </w:tblPrEx>
        <w:trPr>
          <w:trHeight w:val="300" w:hRule="atLeast"/>
        </w:trPr>
        <w:tc>
          <w:tcPr>
            <w:tcW w:w="1123"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P289362</w:t>
            </w:r>
          </w:p>
        </w:tc>
        <w:tc>
          <w:tcPr>
            <w:tcW w:w="862"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6,440,978,700</w:t>
            </w:r>
          </w:p>
        </w:tc>
        <w:tc>
          <w:tcPr>
            <w:tcW w:w="2126"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6,358,015,200</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98.71</w:t>
            </w:r>
          </w:p>
        </w:tc>
        <w:tc>
          <w:tcPr>
            <w:tcW w:w="1417"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96.27</w:t>
            </w:r>
          </w:p>
        </w:tc>
        <w:tc>
          <w:tcPr>
            <w:tcW w:w="1560" w:type="dxa"/>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91.97</w:t>
            </w:r>
          </w:p>
        </w:tc>
        <w:tc>
          <w:tcPr>
            <w:tcW w:w="1559" w:type="dxa"/>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42.97</w:t>
            </w:r>
          </w:p>
        </w:tc>
      </w:tr>
      <w:tr>
        <w:tblPrEx>
          <w:tblCellMar>
            <w:top w:w="15" w:type="dxa"/>
            <w:left w:w="15" w:type="dxa"/>
            <w:bottom w:w="15" w:type="dxa"/>
            <w:right w:w="15" w:type="dxa"/>
          </w:tblCellMar>
        </w:tblPrEx>
        <w:trPr>
          <w:trHeight w:val="300" w:hRule="atLeast"/>
        </w:trPr>
        <w:tc>
          <w:tcPr>
            <w:tcW w:w="1123"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P289386</w:t>
            </w:r>
          </w:p>
        </w:tc>
        <w:tc>
          <w:tcPr>
            <w:tcW w:w="862" w:type="dxa"/>
            <w:tcBorders>
              <w:bottom w:val="dashSmallGap" w:color="auto" w:sz="4" w:space="0"/>
            </w:tcBorders>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2127"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5,762,704,800</w:t>
            </w:r>
          </w:p>
        </w:tc>
        <w:tc>
          <w:tcPr>
            <w:tcW w:w="2126"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5,703,385,200</w:t>
            </w:r>
          </w:p>
        </w:tc>
        <w:tc>
          <w:tcPr>
            <w:tcW w:w="1701"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98.97</w:t>
            </w:r>
          </w:p>
        </w:tc>
        <w:tc>
          <w:tcPr>
            <w:tcW w:w="1417"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0.03</w:t>
            </w:r>
          </w:p>
        </w:tc>
        <w:tc>
          <w:tcPr>
            <w:tcW w:w="1701"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95.37</w:t>
            </w:r>
          </w:p>
        </w:tc>
        <w:tc>
          <w:tcPr>
            <w:tcW w:w="1560"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90.31</w:t>
            </w:r>
          </w:p>
        </w:tc>
        <w:tc>
          <w:tcPr>
            <w:tcW w:w="1559"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262626"/>
                <w:sz w:val="24"/>
                <w:szCs w:val="24"/>
              </w:rPr>
            </w:pPr>
            <w:r>
              <w:rPr>
                <w:rFonts w:ascii="Times New Roman" w:hAnsi="Times New Roman" w:eastAsia="宋体" w:cs="Times New Roman"/>
                <w:color w:val="262626"/>
                <w:kern w:val="0"/>
                <w:sz w:val="24"/>
                <w:szCs w:val="24"/>
                <w:lang w:bidi="ar"/>
              </w:rPr>
              <w:t>43.05</w:t>
            </w:r>
          </w:p>
        </w:tc>
      </w:tr>
      <w:tr>
        <w:tblPrEx>
          <w:tblCellMar>
            <w:top w:w="15" w:type="dxa"/>
            <w:left w:w="15" w:type="dxa"/>
            <w:bottom w:w="15" w:type="dxa"/>
            <w:right w:w="15" w:type="dxa"/>
          </w:tblCellMar>
        </w:tblPrEx>
        <w:trPr>
          <w:trHeight w:val="300" w:hRule="atLeast"/>
        </w:trPr>
        <w:tc>
          <w:tcPr>
            <w:tcW w:w="1985" w:type="dxa"/>
            <w:gridSpan w:val="2"/>
            <w:tcBorders>
              <w:top w:val="dashSmallGap" w:color="auto" w:sz="4" w:space="0"/>
              <w:bottom w:val="single" w:color="auto" w:sz="12" w:space="0"/>
            </w:tcBorders>
            <w:shd w:val="clear" w:color="auto" w:fill="auto"/>
            <w:vAlign w:val="center"/>
          </w:tcPr>
          <w:p>
            <w:pPr>
              <w:widowControl/>
              <w:jc w:val="center"/>
              <w:textAlignment w:val="top"/>
              <w:rPr>
                <w:rFonts w:ascii="Times New Roman" w:hAnsi="Times New Roman" w:eastAsia="宋体" w:cs="Times New Roman"/>
                <w:color w:val="000000"/>
                <w:kern w:val="0"/>
                <w:sz w:val="24"/>
                <w:szCs w:val="24"/>
                <w:lang w:bidi="ar"/>
              </w:rPr>
            </w:pPr>
            <w:r>
              <w:rPr>
                <w:rFonts w:ascii="Times New Roman" w:hAnsi="Times New Roman" w:eastAsia="宋体" w:cs="Times New Roman"/>
                <w:color w:val="262626"/>
                <w:kern w:val="0"/>
                <w:sz w:val="24"/>
                <w:szCs w:val="24"/>
                <w:lang w:bidi="ar"/>
              </w:rPr>
              <w:t>Average</w:t>
            </w:r>
          </w:p>
        </w:tc>
        <w:tc>
          <w:tcPr>
            <w:tcW w:w="2127" w:type="dxa"/>
            <w:tcBorders>
              <w:top w:val="dashSmallGap" w:color="auto" w:sz="4" w:space="0"/>
              <w:bottom w:val="single" w:color="auto" w:sz="12" w:space="0"/>
            </w:tcBorders>
            <w:shd w:val="clear" w:color="auto" w:fill="auto"/>
            <w:vAlign w:val="bottom"/>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6,691,518,450</w:t>
            </w:r>
          </w:p>
        </w:tc>
        <w:tc>
          <w:tcPr>
            <w:tcW w:w="2126" w:type="dxa"/>
            <w:tcBorders>
              <w:top w:val="dashSmallGap" w:color="auto" w:sz="4" w:space="0"/>
              <w:bottom w:val="single" w:color="auto" w:sz="12" w:space="0"/>
            </w:tcBorders>
            <w:shd w:val="clear" w:color="auto" w:fill="auto"/>
            <w:vAlign w:val="bottom"/>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6,629,798,000</w:t>
            </w:r>
          </w:p>
        </w:tc>
        <w:tc>
          <w:tcPr>
            <w:tcW w:w="1701" w:type="dxa"/>
            <w:tcBorders>
              <w:top w:val="dashSmallGap" w:color="auto" w:sz="4" w:space="0"/>
              <w:bottom w:val="single" w:color="auto" w:sz="12" w:space="0"/>
            </w:tcBorders>
            <w:shd w:val="clear" w:color="auto" w:fill="auto"/>
            <w:vAlign w:val="bottom"/>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99.08</w:t>
            </w:r>
          </w:p>
        </w:tc>
        <w:tc>
          <w:tcPr>
            <w:tcW w:w="1417" w:type="dxa"/>
            <w:tcBorders>
              <w:top w:val="dashSmallGap" w:color="auto" w:sz="4" w:space="0"/>
              <w:bottom w:val="single" w:color="auto" w:sz="12" w:space="0"/>
            </w:tcBorders>
            <w:shd w:val="clear" w:color="auto" w:fill="auto"/>
            <w:vAlign w:val="bottom"/>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0.03</w:t>
            </w:r>
          </w:p>
        </w:tc>
        <w:tc>
          <w:tcPr>
            <w:tcW w:w="1701" w:type="dxa"/>
            <w:tcBorders>
              <w:top w:val="dashSmallGap" w:color="auto" w:sz="4" w:space="0"/>
              <w:bottom w:val="single" w:color="auto" w:sz="12" w:space="0"/>
            </w:tcBorders>
            <w:shd w:val="clear" w:color="auto" w:fill="auto"/>
            <w:vAlign w:val="bottom"/>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 xml:space="preserve">96.06 </w:t>
            </w:r>
          </w:p>
        </w:tc>
        <w:tc>
          <w:tcPr>
            <w:tcW w:w="1560" w:type="dxa"/>
            <w:tcBorders>
              <w:top w:val="dashSmallGap" w:color="auto" w:sz="4" w:space="0"/>
              <w:bottom w:val="single" w:color="auto" w:sz="12" w:space="0"/>
            </w:tcBorders>
            <w:shd w:val="clear" w:color="auto" w:fill="auto"/>
            <w:vAlign w:val="bottom"/>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 xml:space="preserve">91.52 </w:t>
            </w:r>
          </w:p>
        </w:tc>
        <w:tc>
          <w:tcPr>
            <w:tcW w:w="1559" w:type="dxa"/>
            <w:tcBorders>
              <w:top w:val="dashSmallGap" w:color="auto" w:sz="4" w:space="0"/>
              <w:bottom w:val="single" w:color="auto" w:sz="12" w:space="0"/>
            </w:tcBorders>
            <w:shd w:val="clear" w:color="auto" w:fill="auto"/>
            <w:vAlign w:val="bottom"/>
          </w:tcPr>
          <w:p>
            <w:pPr>
              <w:widowControl/>
              <w:jc w:val="center"/>
              <w:textAlignment w:val="center"/>
              <w:rPr>
                <w:rFonts w:ascii="Times New Roman" w:hAnsi="Times New Roman" w:eastAsia="宋体" w:cs="Times New Roman"/>
                <w:color w:val="262626"/>
                <w:kern w:val="0"/>
                <w:sz w:val="24"/>
                <w:szCs w:val="24"/>
                <w:lang w:bidi="ar"/>
              </w:rPr>
            </w:pPr>
            <w:r>
              <w:rPr>
                <w:rFonts w:ascii="Times New Roman" w:hAnsi="Times New Roman" w:eastAsia="宋体" w:cs="Times New Roman"/>
                <w:color w:val="262626"/>
                <w:kern w:val="0"/>
                <w:sz w:val="24"/>
                <w:szCs w:val="24"/>
                <w:lang w:bidi="ar"/>
              </w:rPr>
              <w:t xml:space="preserve">42.97 </w:t>
            </w:r>
          </w:p>
        </w:tc>
      </w:tr>
    </w:tbl>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sectPr>
          <w:pgSz w:w="16838" w:h="11906" w:orient="landscape"/>
          <w:pgMar w:top="1800" w:right="1440" w:bottom="1800" w:left="1440" w:header="851" w:footer="992" w:gutter="0"/>
          <w:lnNumType w:countBy="1" w:restart="continuous"/>
          <w:cols w:space="425" w:num="1"/>
          <w:docGrid w:type="lines" w:linePitch="312" w:charSpace="0"/>
        </w:sectPr>
      </w:pPr>
    </w:p>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upplementary</w:t>
      </w:r>
      <w:r>
        <w:rPr>
          <w:rFonts w:ascii="Times New Roman" w:hAnsi="Times New Roman" w:cs="Times New Roman"/>
          <w:sz w:val="24"/>
          <w:szCs w:val="24"/>
        </w:rPr>
        <w:t xml:space="preserve"> Table S</w:t>
      </w:r>
      <w:r>
        <w:rPr>
          <w:rFonts w:hint="eastAsia" w:ascii="Times New Roman" w:hAnsi="Times New Roman" w:cs="Times New Roman"/>
          <w:sz w:val="24"/>
          <w:szCs w:val="24"/>
          <w:lang w:val="en-US" w:eastAsia="zh-CN"/>
        </w:rPr>
        <w:t>3</w:t>
      </w:r>
      <w:r>
        <w:rPr>
          <w:rFonts w:ascii="Times New Roman" w:hAnsi="Times New Roman" w:cs="Times New Roman"/>
          <w:sz w:val="24"/>
          <w:szCs w:val="24"/>
        </w:rPr>
        <w:t>. Summary of mapping and coverage of six duck populations.</w:t>
      </w:r>
    </w:p>
    <w:tbl>
      <w:tblPr>
        <w:tblStyle w:val="7"/>
        <w:tblW w:w="9062" w:type="dxa"/>
        <w:jc w:val="center"/>
        <w:tblLayout w:type="fixed"/>
        <w:tblCellMar>
          <w:top w:w="15" w:type="dxa"/>
          <w:left w:w="15" w:type="dxa"/>
          <w:bottom w:w="15" w:type="dxa"/>
          <w:right w:w="15" w:type="dxa"/>
        </w:tblCellMar>
      </w:tblPr>
      <w:tblGrid>
        <w:gridCol w:w="993"/>
        <w:gridCol w:w="708"/>
        <w:gridCol w:w="1095"/>
        <w:gridCol w:w="1350"/>
        <w:gridCol w:w="1385"/>
        <w:gridCol w:w="692"/>
        <w:gridCol w:w="1270"/>
        <w:gridCol w:w="1569"/>
      </w:tblGrid>
      <w:tr>
        <w:tblPrEx>
          <w:tblCellMar>
            <w:top w:w="15" w:type="dxa"/>
            <w:left w:w="15" w:type="dxa"/>
            <w:bottom w:w="15" w:type="dxa"/>
            <w:right w:w="15" w:type="dxa"/>
          </w:tblCellMar>
        </w:tblPrEx>
        <w:trPr>
          <w:trHeight w:val="283" w:hRule="atLeast"/>
          <w:jc w:val="center"/>
        </w:trPr>
        <w:tc>
          <w:tcPr>
            <w:tcW w:w="993"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sample</w:t>
            </w:r>
          </w:p>
        </w:tc>
        <w:tc>
          <w:tcPr>
            <w:tcW w:w="708"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breed</w:t>
            </w:r>
          </w:p>
        </w:tc>
        <w:tc>
          <w:tcPr>
            <w:tcW w:w="1095"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clean reads</w:t>
            </w:r>
          </w:p>
        </w:tc>
        <w:tc>
          <w:tcPr>
            <w:tcW w:w="1350"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mapped reads</w:t>
            </w:r>
          </w:p>
        </w:tc>
        <w:tc>
          <w:tcPr>
            <w:tcW w:w="1385"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mapping rate</w:t>
            </w:r>
          </w:p>
          <w:p>
            <w:pPr>
              <w:widowControl/>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w:t>
            </w:r>
          </w:p>
        </w:tc>
        <w:tc>
          <w:tcPr>
            <w:tcW w:w="692"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depth</w:t>
            </w:r>
          </w:p>
        </w:tc>
        <w:tc>
          <w:tcPr>
            <w:tcW w:w="1270"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t>Coverage</w:t>
            </w:r>
          </w:p>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w:t>
            </w:r>
          </w:p>
        </w:tc>
        <w:tc>
          <w:tcPr>
            <w:tcW w:w="1569" w:type="dxa"/>
            <w:tcBorders>
              <w:top w:val="single" w:color="auto" w:sz="12" w:space="0"/>
              <w:bottom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Coverage at least 4X (%)</w:t>
            </w:r>
          </w:p>
        </w:tc>
      </w:tr>
      <w:tr>
        <w:tblPrEx>
          <w:tblCellMar>
            <w:top w:w="15" w:type="dxa"/>
            <w:left w:w="15" w:type="dxa"/>
            <w:bottom w:w="15" w:type="dxa"/>
            <w:right w:w="15" w:type="dxa"/>
          </w:tblCellMar>
        </w:tblPrEx>
        <w:trPr>
          <w:trHeight w:val="283" w:hRule="atLeast"/>
          <w:jc w:val="center"/>
        </w:trPr>
        <w:tc>
          <w:tcPr>
            <w:tcW w:w="993"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Y514581</w:t>
            </w:r>
          </w:p>
        </w:tc>
        <w:tc>
          <w:tcPr>
            <w:tcW w:w="708" w:type="dxa"/>
            <w:tcBorders>
              <w:top w:val="single" w:color="auto" w:sz="8" w:space="0"/>
            </w:tcBorders>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43081828</w:t>
            </w:r>
          </w:p>
        </w:tc>
        <w:tc>
          <w:tcPr>
            <w:tcW w:w="1350"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40962754</w:t>
            </w:r>
          </w:p>
        </w:tc>
        <w:tc>
          <w:tcPr>
            <w:tcW w:w="1385"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95.08</w:t>
            </w:r>
          </w:p>
        </w:tc>
        <w:tc>
          <w:tcPr>
            <w:tcW w:w="692"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6.43</w:t>
            </w:r>
          </w:p>
        </w:tc>
        <w:tc>
          <w:tcPr>
            <w:tcW w:w="1270"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96.79</w:t>
            </w:r>
          </w:p>
        </w:tc>
        <w:tc>
          <w:tcPr>
            <w:tcW w:w="1569" w:type="dxa"/>
            <w:tcBorders>
              <w:top w:val="single" w:color="auto" w:sz="8"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63.76</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Y514596</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38154140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36254190</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95.02</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6.22</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95.69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55.46</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Y514597</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39578728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37637462</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95.10</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6.24</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96.03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57.90</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Y514658</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36359360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34545569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95.01</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6.06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95.29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52.64</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Y514881</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42474344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40463063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95.26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6.47</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96.78</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63.43</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Y514910</w:t>
            </w:r>
          </w:p>
        </w:tc>
        <w:tc>
          <w:tcPr>
            <w:tcW w:w="708"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67855796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64361793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94.85</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8.56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98.53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85.19</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Y514925</w:t>
            </w:r>
          </w:p>
        </w:tc>
        <w:tc>
          <w:tcPr>
            <w:tcW w:w="708"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59003322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56151557</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95.17</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7.64</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98.19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82.91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Y514927</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63440740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60356960</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95.14</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8.19</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98.39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83.37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Y514938</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40163422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38276757</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95.30</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6.27</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96.17</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59.27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Y514940</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CV</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36660838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34848086</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6.13</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95.26</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52.74</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P281729</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41265826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39355774</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95.37</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6.25</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96.23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59.11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P288909</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45194584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43005800</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95.16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6.55</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96.54</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62.82</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P289075</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41108118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39245802</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95.47</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6.20</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96.36</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59.24</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P289078</w:t>
            </w:r>
          </w:p>
        </w:tc>
        <w:tc>
          <w:tcPr>
            <w:tcW w:w="708"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41434200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39262509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94.76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6.24</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95.91</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56.98</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P289112</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43057436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40929314</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6.34</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96.27</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60.25</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P289114</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47699172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45590416</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95.58</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6.66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97.10</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66.81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P289253</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38430394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36658940</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95.39</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6.17</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95.11</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52.78</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P289255</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45462074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43358674</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95.37</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6.57</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96.67</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63.74</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P289330</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40605740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38589589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95.03</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6.29</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95.55</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55.56</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Q538926</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FH</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44980102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42864353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95.30</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6.50</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96.84</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63.59</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P288872</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51518666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49184330</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95.47</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6.88</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97.63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73.18</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P289088</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38877002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37265051</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95.85</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95.22</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55.41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P289216</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42857060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40640207</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94.83</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6.45</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95.67</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57.95</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P289249</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41285150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39521653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95.73</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6.29</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95.99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59.05</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P289287</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40885126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38899437</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95.14</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6.29</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95.93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57.07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P289312</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42359058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40150270</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94.79</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6.43</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95.73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57.43</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P289384</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43419096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40929045</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94.27</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95.41</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57.71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P289388</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43118944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41246885</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95.66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6.43</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96.36</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62.13</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P289393</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45523674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43171965</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94.83</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6.63</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96.24</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62.53</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Q538935</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MA</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42617116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40701219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95.50</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96.23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60.01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P288663</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42185480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40111946</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95.08</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6.37</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95.96</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58.87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P288866</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40817102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39052727</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95.68</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6.32</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95.90</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58.24</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P288911</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40513550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38576673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95.22</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6.30</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95.50</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56.00</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P288913</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41502716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39587059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95.38</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6.25</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96.29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58.51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P289124</w:t>
            </w:r>
          </w:p>
        </w:tc>
        <w:tc>
          <w:tcPr>
            <w:tcW w:w="708"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63335524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60228719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95.09</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7.62</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98.31</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84.07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P289316</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39283658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37492509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95.44</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94.83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53.70</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P289334</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40350960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38401678</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95.17</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6.11</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96.18</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56.37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Q538852</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40309740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38374712</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95.20</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6.20</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95.51</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55.04</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Q538932</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43541000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41178961</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94.58</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6.34</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96.49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59.34</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Q538949</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SB</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52195238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50149691</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96.08</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7.01</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97.76</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74.41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Y514575</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48711606</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46161027</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94.76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6.73</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97.45</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70.60</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Y514811</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46494788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44272620</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95.22</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6.54</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97.38</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68.97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Y514866</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59055790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56115318</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95.02</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7.51</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98.35</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80.76</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Y514906</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49746164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47022074</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94.52</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6.76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97.44</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70.50</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Y514918</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40537102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38164913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94.15</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6.18</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96.33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57.86</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Y514924</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43727060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41803413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95.60</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6.55</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97.03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65.51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Y514928</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45888654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43450898</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94.69</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6.64</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96.89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64.78</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Y514934</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40375752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38374074</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95.04</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6.31</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96.15</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58.24</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Y514948</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47949274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45201766</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94.27</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6.65</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97.20</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67.75</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Y515116</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SM</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47532750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45422987</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95.56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6.80</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97.54</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70.61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P288863</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36098008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34311738</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95.05</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6.05</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95.13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51.52</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P288867</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40276274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38408052</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95.36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6.26</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96.20</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59.23</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P288940</w:t>
            </w:r>
          </w:p>
        </w:tc>
        <w:tc>
          <w:tcPr>
            <w:tcW w:w="708"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41043740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38851929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94.66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6.33</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96.09</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58.27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P288949</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39870682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37655528</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94.44</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6.34</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95.36</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54.98</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P289087</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41654210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39522876</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94.88</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6.42</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95.93</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59.01</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P289121</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42936352</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40994193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95.48</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6.39</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96.75</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63.53</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P289315</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43887010</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41279069</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94.06</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6.53</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96.38</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61.20</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P289359</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43218624</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41074824</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95.04</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6.42</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96.65</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63.07</w:t>
            </w:r>
          </w:p>
        </w:tc>
      </w:tr>
      <w:tr>
        <w:tblPrEx>
          <w:tblCellMar>
            <w:top w:w="15" w:type="dxa"/>
            <w:left w:w="15" w:type="dxa"/>
            <w:bottom w:w="15" w:type="dxa"/>
            <w:right w:w="15" w:type="dxa"/>
          </w:tblCellMar>
        </w:tblPrEx>
        <w:trPr>
          <w:trHeight w:val="283" w:hRule="atLeast"/>
          <w:jc w:val="center"/>
        </w:trPr>
        <w:tc>
          <w:tcPr>
            <w:tcW w:w="993"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P289362</w:t>
            </w:r>
          </w:p>
        </w:tc>
        <w:tc>
          <w:tcPr>
            <w:tcW w:w="708" w:type="dxa"/>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42386768</w:t>
            </w:r>
          </w:p>
        </w:tc>
        <w:tc>
          <w:tcPr>
            <w:tcW w:w="135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40221573</w:t>
            </w:r>
          </w:p>
        </w:tc>
        <w:tc>
          <w:tcPr>
            <w:tcW w:w="1385"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94.89</w:t>
            </w:r>
          </w:p>
        </w:tc>
        <w:tc>
          <w:tcPr>
            <w:tcW w:w="692"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6.43</w:t>
            </w:r>
          </w:p>
        </w:tc>
        <w:tc>
          <w:tcPr>
            <w:tcW w:w="1270"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96.16</w:t>
            </w:r>
          </w:p>
        </w:tc>
        <w:tc>
          <w:tcPr>
            <w:tcW w:w="1569" w:type="dxa"/>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59.66</w:t>
            </w:r>
          </w:p>
        </w:tc>
      </w:tr>
      <w:tr>
        <w:tblPrEx>
          <w:tblCellMar>
            <w:top w:w="15" w:type="dxa"/>
            <w:left w:w="15" w:type="dxa"/>
            <w:bottom w:w="15" w:type="dxa"/>
            <w:right w:w="15" w:type="dxa"/>
          </w:tblCellMar>
        </w:tblPrEx>
        <w:trPr>
          <w:trHeight w:val="283" w:hRule="atLeast"/>
          <w:jc w:val="center"/>
        </w:trPr>
        <w:tc>
          <w:tcPr>
            <w:tcW w:w="993"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P289386</w:t>
            </w:r>
          </w:p>
        </w:tc>
        <w:tc>
          <w:tcPr>
            <w:tcW w:w="708" w:type="dxa"/>
            <w:tcBorders>
              <w:bottom w:val="dashSmallGap" w:color="auto" w:sz="4" w:space="0"/>
            </w:tcBorders>
            <w:shd w:val="clear" w:color="auto" w:fill="auto"/>
            <w:vAlign w:val="center"/>
          </w:tcPr>
          <w:p>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SX</w:t>
            </w:r>
          </w:p>
        </w:tc>
        <w:tc>
          <w:tcPr>
            <w:tcW w:w="1095"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38022568</w:t>
            </w:r>
          </w:p>
        </w:tc>
        <w:tc>
          <w:tcPr>
            <w:tcW w:w="1350"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35892035</w:t>
            </w:r>
          </w:p>
        </w:tc>
        <w:tc>
          <w:tcPr>
            <w:tcW w:w="1385"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94.40</w:t>
            </w:r>
          </w:p>
        </w:tc>
        <w:tc>
          <w:tcPr>
            <w:tcW w:w="692"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6.14</w:t>
            </w:r>
          </w:p>
        </w:tc>
        <w:tc>
          <w:tcPr>
            <w:tcW w:w="1270"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95.43</w:t>
            </w:r>
          </w:p>
        </w:tc>
        <w:tc>
          <w:tcPr>
            <w:tcW w:w="1569" w:type="dxa"/>
            <w:tcBorders>
              <w:bottom w:val="dashSmallGap" w:color="auto" w:sz="4"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53.54</w:t>
            </w:r>
          </w:p>
        </w:tc>
      </w:tr>
      <w:tr>
        <w:tblPrEx>
          <w:tblCellMar>
            <w:top w:w="15" w:type="dxa"/>
            <w:left w:w="15" w:type="dxa"/>
            <w:bottom w:w="15" w:type="dxa"/>
            <w:right w:w="15" w:type="dxa"/>
          </w:tblCellMar>
        </w:tblPrEx>
        <w:trPr>
          <w:trHeight w:val="283" w:hRule="atLeast"/>
          <w:jc w:val="center"/>
        </w:trPr>
        <w:tc>
          <w:tcPr>
            <w:tcW w:w="1701" w:type="dxa"/>
            <w:gridSpan w:val="2"/>
            <w:tcBorders>
              <w:top w:val="dashSmallGap" w:color="auto" w:sz="4" w:space="0"/>
              <w:bottom w:val="single" w:color="auto" w:sz="12" w:space="0"/>
            </w:tcBorders>
            <w:shd w:val="clear" w:color="auto" w:fill="auto"/>
            <w:vAlign w:val="center"/>
          </w:tcPr>
          <w:p>
            <w:pPr>
              <w:jc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average</w:t>
            </w:r>
          </w:p>
        </w:tc>
        <w:tc>
          <w:tcPr>
            <w:tcW w:w="1095" w:type="dxa"/>
            <w:tcBorders>
              <w:top w:val="dashSmallGap" w:color="auto" w:sz="4" w:space="0"/>
              <w:bottom w:val="single" w:color="auto" w:sz="12"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44198653</w:t>
            </w:r>
          </w:p>
        </w:tc>
        <w:tc>
          <w:tcPr>
            <w:tcW w:w="1350" w:type="dxa"/>
            <w:tcBorders>
              <w:top w:val="dashSmallGap" w:color="auto" w:sz="4" w:space="0"/>
              <w:bottom w:val="single" w:color="auto" w:sz="12"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42029750</w:t>
            </w:r>
          </w:p>
        </w:tc>
        <w:tc>
          <w:tcPr>
            <w:tcW w:w="1385" w:type="dxa"/>
            <w:tcBorders>
              <w:top w:val="dashSmallGap" w:color="auto" w:sz="4" w:space="0"/>
              <w:bottom w:val="single" w:color="auto" w:sz="12"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95.09</w:t>
            </w:r>
          </w:p>
        </w:tc>
        <w:tc>
          <w:tcPr>
            <w:tcW w:w="692" w:type="dxa"/>
            <w:tcBorders>
              <w:top w:val="dashSmallGap" w:color="auto" w:sz="4" w:space="0"/>
              <w:bottom w:val="single" w:color="auto" w:sz="12"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6.52</w:t>
            </w:r>
          </w:p>
        </w:tc>
        <w:tc>
          <w:tcPr>
            <w:tcW w:w="1270" w:type="dxa"/>
            <w:tcBorders>
              <w:top w:val="dashSmallGap" w:color="auto" w:sz="4" w:space="0"/>
              <w:bottom w:val="single" w:color="auto" w:sz="12"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96.41</w:t>
            </w:r>
          </w:p>
        </w:tc>
        <w:tc>
          <w:tcPr>
            <w:tcW w:w="1569" w:type="dxa"/>
            <w:tcBorders>
              <w:top w:val="dashSmallGap" w:color="auto" w:sz="4" w:space="0"/>
              <w:bottom w:val="single" w:color="auto" w:sz="12" w:space="0"/>
            </w:tcBorders>
            <w:shd w:val="clear" w:color="auto" w:fill="auto"/>
            <w:vAlign w:val="center"/>
          </w:tcPr>
          <w:p>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62.24</w:t>
            </w:r>
          </w:p>
        </w:tc>
      </w:tr>
    </w:tbl>
    <w:p>
      <w:pPr>
        <w:spacing w:line="360" w:lineRule="auto"/>
        <w:rPr>
          <w:rFonts w:ascii="Times New Roman" w:hAnsi="Times New Roman" w:cs="Times New Roman"/>
          <w:sz w:val="24"/>
          <w:szCs w:val="24"/>
        </w:rPr>
      </w:pPr>
    </w:p>
    <w:p>
      <w:pPr>
        <w:widowControl/>
        <w:jc w:val="left"/>
        <w:rPr>
          <w:rFonts w:ascii="Times New Roman" w:hAnsi="Times New Roman" w:cs="Times New Roman"/>
          <w:sz w:val="24"/>
          <w:szCs w:val="24"/>
        </w:rPr>
      </w:pPr>
      <w:r>
        <w:rPr>
          <w:rFonts w:ascii="Times New Roman" w:hAnsi="Times New Roman" w:cs="Times New Roman"/>
          <w:sz w:val="24"/>
          <w:szCs w:val="24"/>
        </w:rPr>
        <w:br w:type="page"/>
      </w:r>
    </w:p>
    <w:p>
      <w:pPr>
        <w:widowControl/>
        <w:jc w:val="left"/>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eastAsia" w:ascii="Times New Roman" w:hAnsi="Times New Roman" w:cs="Times New Roman"/>
          <w:sz w:val="24"/>
          <w:szCs w:val="24"/>
          <w:lang w:val="en-US" w:eastAsia="zh-CN"/>
        </w:rPr>
        <w:t>4</w:t>
      </w:r>
      <w:r>
        <w:rPr>
          <w:rFonts w:ascii="Times New Roman" w:hAnsi="Times New Roman" w:cs="Times New Roman"/>
          <w:sz w:val="24"/>
          <w:szCs w:val="24"/>
        </w:rPr>
        <w:t xml:space="preserve"> Summary of SNPs of six duck populations included in the analyses.</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67"/>
        <w:gridCol w:w="2767"/>
        <w:gridCol w:w="27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7" w:type="dxa"/>
            <w:tcBorders>
              <w:top w:val="single" w:color="auto" w:sz="4" w:space="0"/>
              <w:bottom w:val="single" w:color="auto" w:sz="4" w:space="0"/>
            </w:tcBorders>
            <w:vAlign w:val="center"/>
          </w:tcPr>
          <w:p>
            <w:pPr>
              <w:widowControl/>
              <w:spacing w:line="360" w:lineRule="auto"/>
              <w:jc w:val="center"/>
              <w:rPr>
                <w:rFonts w:ascii="Times New Roman" w:hAnsi="Times New Roman" w:cs="Times New Roman"/>
                <w:sz w:val="24"/>
                <w:szCs w:val="24"/>
              </w:rPr>
            </w:pPr>
            <w:r>
              <w:rPr>
                <w:rFonts w:ascii="Times New Roman" w:hAnsi="Times New Roman" w:cs="Times New Roman"/>
                <w:sz w:val="24"/>
                <w:szCs w:val="24"/>
              </w:rPr>
              <w:t>Population</w:t>
            </w:r>
          </w:p>
        </w:tc>
        <w:tc>
          <w:tcPr>
            <w:tcW w:w="2767" w:type="dxa"/>
            <w:tcBorders>
              <w:top w:val="single" w:color="auto" w:sz="4" w:space="0"/>
              <w:bottom w:val="single" w:color="auto" w:sz="4" w:space="0"/>
            </w:tcBorders>
            <w:vAlign w:val="center"/>
          </w:tcPr>
          <w:p>
            <w:pPr>
              <w:widowControl/>
              <w:spacing w:line="360" w:lineRule="auto"/>
              <w:jc w:val="center"/>
              <w:rPr>
                <w:rFonts w:ascii="Times New Roman" w:hAnsi="Times New Roman" w:cs="Times New Roman"/>
                <w:sz w:val="24"/>
                <w:szCs w:val="24"/>
              </w:rPr>
            </w:pPr>
            <w:r>
              <w:rPr>
                <w:rFonts w:ascii="Times New Roman" w:hAnsi="Times New Roman" w:cs="Times New Roman"/>
                <w:sz w:val="24"/>
                <w:szCs w:val="24"/>
              </w:rPr>
              <w:t>N</w:t>
            </w:r>
            <w:r>
              <w:rPr>
                <w:rFonts w:hint="eastAsia" w:ascii="Times New Roman" w:hAnsi="Times New Roman" w:cs="Times New Roman"/>
                <w:sz w:val="24"/>
                <w:szCs w:val="24"/>
              </w:rPr>
              <w:t xml:space="preserve">umber </w:t>
            </w:r>
            <w:r>
              <w:rPr>
                <w:rFonts w:ascii="Times New Roman" w:hAnsi="Times New Roman" w:cs="Times New Roman"/>
                <w:sz w:val="24"/>
                <w:szCs w:val="24"/>
              </w:rPr>
              <w:t>of individuals</w:t>
            </w:r>
          </w:p>
        </w:tc>
        <w:tc>
          <w:tcPr>
            <w:tcW w:w="2768" w:type="dxa"/>
            <w:tcBorders>
              <w:top w:val="single" w:color="auto" w:sz="4" w:space="0"/>
              <w:bottom w:val="single" w:color="auto" w:sz="4" w:space="0"/>
            </w:tcBorders>
            <w:vAlign w:val="center"/>
          </w:tcPr>
          <w:p>
            <w:pPr>
              <w:widowControl/>
              <w:spacing w:line="360" w:lineRule="auto"/>
              <w:jc w:val="center"/>
              <w:rPr>
                <w:rFonts w:ascii="Times New Roman" w:hAnsi="Times New Roman" w:cs="Times New Roman"/>
                <w:sz w:val="24"/>
                <w:szCs w:val="24"/>
              </w:rPr>
            </w:pPr>
            <w:r>
              <w:rPr>
                <w:rFonts w:ascii="Times New Roman" w:hAnsi="Times New Roman" w:cs="Times New Roman"/>
                <w:sz w:val="24"/>
                <w:szCs w:val="24"/>
              </w:rPr>
              <w:t>N</w:t>
            </w:r>
            <w:r>
              <w:rPr>
                <w:rFonts w:hint="eastAsia" w:ascii="Times New Roman" w:hAnsi="Times New Roman" w:cs="Times New Roman"/>
                <w:sz w:val="24"/>
                <w:szCs w:val="24"/>
              </w:rPr>
              <w:t xml:space="preserve">umber </w:t>
            </w:r>
            <w:r>
              <w:rPr>
                <w:rFonts w:ascii="Times New Roman" w:hAnsi="Times New Roman" w:cs="Times New Roman"/>
                <w:sz w:val="24"/>
                <w:szCs w:val="24"/>
              </w:rPr>
              <w:t>of SNPs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767" w:type="dxa"/>
            <w:tcBorders>
              <w:top w:val="single" w:color="auto" w:sz="4" w:space="0"/>
            </w:tcBorders>
            <w:vAlign w:val="center"/>
          </w:tcPr>
          <w:p>
            <w:pPr>
              <w:widowControl/>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SB</w:t>
            </w:r>
          </w:p>
        </w:tc>
        <w:tc>
          <w:tcPr>
            <w:tcW w:w="2767" w:type="dxa"/>
            <w:tcBorders>
              <w:top w:val="single" w:color="auto" w:sz="4" w:space="0"/>
            </w:tcBorders>
            <w:vAlign w:val="center"/>
          </w:tcPr>
          <w:p>
            <w:pPr>
              <w:widowControl/>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10</w:t>
            </w:r>
          </w:p>
        </w:tc>
        <w:tc>
          <w:tcPr>
            <w:tcW w:w="2768" w:type="dxa"/>
            <w:tcBorders>
              <w:top w:val="single" w:color="auto" w:sz="4" w:space="0"/>
            </w:tcBorders>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2,217,306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7" w:type="dxa"/>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MA</w:t>
            </w:r>
          </w:p>
        </w:tc>
        <w:tc>
          <w:tcPr>
            <w:tcW w:w="2767" w:type="dxa"/>
            <w:vAlign w:val="center"/>
          </w:tcPr>
          <w:p>
            <w:pPr>
              <w:widowControl/>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10</w:t>
            </w:r>
          </w:p>
        </w:tc>
        <w:tc>
          <w:tcPr>
            <w:tcW w:w="2768" w:type="dxa"/>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2,213,195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7" w:type="dxa"/>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FH</w:t>
            </w:r>
          </w:p>
        </w:tc>
        <w:tc>
          <w:tcPr>
            <w:tcW w:w="2767" w:type="dxa"/>
            <w:vAlign w:val="center"/>
          </w:tcPr>
          <w:p>
            <w:pPr>
              <w:widowControl/>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10</w:t>
            </w:r>
          </w:p>
        </w:tc>
        <w:tc>
          <w:tcPr>
            <w:tcW w:w="2768" w:type="dxa"/>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2,211,132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767" w:type="dxa"/>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CV</w:t>
            </w:r>
          </w:p>
        </w:tc>
        <w:tc>
          <w:tcPr>
            <w:tcW w:w="2767" w:type="dxa"/>
            <w:vAlign w:val="center"/>
          </w:tcPr>
          <w:p>
            <w:pPr>
              <w:widowControl/>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10</w:t>
            </w:r>
          </w:p>
        </w:tc>
        <w:tc>
          <w:tcPr>
            <w:tcW w:w="2768" w:type="dxa"/>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1,598,468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7" w:type="dxa"/>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SX</w:t>
            </w:r>
          </w:p>
        </w:tc>
        <w:tc>
          <w:tcPr>
            <w:tcW w:w="2767" w:type="dxa"/>
            <w:vAlign w:val="center"/>
          </w:tcPr>
          <w:p>
            <w:pPr>
              <w:widowControl/>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10</w:t>
            </w:r>
          </w:p>
        </w:tc>
        <w:tc>
          <w:tcPr>
            <w:tcW w:w="2768" w:type="dxa"/>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1,947,941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7" w:type="dxa"/>
            <w:tcBorders>
              <w:bottom w:val="single" w:color="auto" w:sz="4" w:space="0"/>
            </w:tcBorders>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SM</w:t>
            </w:r>
          </w:p>
        </w:tc>
        <w:tc>
          <w:tcPr>
            <w:tcW w:w="2767" w:type="dxa"/>
            <w:tcBorders>
              <w:bottom w:val="single" w:color="auto" w:sz="4" w:space="0"/>
            </w:tcBorders>
            <w:vAlign w:val="center"/>
          </w:tcPr>
          <w:p>
            <w:pPr>
              <w:widowControl/>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10</w:t>
            </w:r>
          </w:p>
        </w:tc>
        <w:tc>
          <w:tcPr>
            <w:tcW w:w="2768" w:type="dxa"/>
            <w:tcBorders>
              <w:bottom w:val="single" w:color="auto" w:sz="4" w:space="0"/>
            </w:tcBorders>
            <w:vAlign w:val="center"/>
          </w:tcPr>
          <w:p>
            <w:pPr>
              <w:widowControl/>
              <w:spacing w:line="360" w:lineRule="auto"/>
              <w:jc w:val="center"/>
              <w:rPr>
                <w:rFonts w:ascii="Times New Roman" w:hAnsi="Times New Roman" w:cs="Times New Roman"/>
                <w:sz w:val="24"/>
                <w:szCs w:val="24"/>
              </w:rPr>
            </w:pPr>
            <w:r>
              <w:rPr>
                <w:rFonts w:ascii="Times New Roman" w:hAnsi="Times New Roman" w:eastAsia="宋体" w:cs="Times New Roman"/>
                <w:sz w:val="24"/>
                <w:szCs w:val="24"/>
              </w:rPr>
              <w:t>1,922,235</w:t>
            </w:r>
          </w:p>
        </w:tc>
      </w:tr>
    </w:tbl>
    <w:p>
      <w:pPr>
        <w:widowControl/>
        <w:jc w:val="left"/>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eastAsia" w:ascii="Times New Roman" w:hAnsi="Times New Roman" w:cs="Times New Roman"/>
          <w:sz w:val="24"/>
          <w:szCs w:val="24"/>
          <w:lang w:val="en-US" w:eastAsia="zh-CN"/>
        </w:rPr>
        <w:t>5</w:t>
      </w:r>
      <w:r>
        <w:rPr>
          <w:rFonts w:ascii="Times New Roman" w:hAnsi="Times New Roman" w:cs="Times New Roman"/>
          <w:sz w:val="24"/>
          <w:szCs w:val="24"/>
        </w:rPr>
        <w:t>. Summary of the functional annotation statistics of SNP in ducks by ANNOVAR.</w:t>
      </w:r>
    </w:p>
    <w:tbl>
      <w:tblPr>
        <w:tblStyle w:val="7"/>
        <w:tblW w:w="7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242"/>
        <w:gridCol w:w="2130"/>
        <w:gridCol w:w="3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single" w:color="auto" w:sz="12" w:space="0"/>
              <w:left w:val="nil"/>
              <w:bottom w:val="single" w:color="auto" w:sz="8" w:space="0"/>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Category</w:t>
            </w:r>
          </w:p>
        </w:tc>
        <w:tc>
          <w:tcPr>
            <w:tcW w:w="3523" w:type="dxa"/>
            <w:tcBorders>
              <w:top w:val="single" w:color="auto" w:sz="12" w:space="0"/>
              <w:left w:val="nil"/>
              <w:bottom w:val="single" w:color="auto" w:sz="8" w:space="0"/>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Number of SNPs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single" w:color="auto" w:sz="8" w:space="0"/>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Upstream</w:t>
            </w:r>
          </w:p>
        </w:tc>
        <w:tc>
          <w:tcPr>
            <w:tcW w:w="3523" w:type="dxa"/>
            <w:tcBorders>
              <w:top w:val="single" w:color="auto" w:sz="8" w:space="0"/>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33799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2242" w:type="dxa"/>
            <w:vMerge w:val="restart"/>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Exonic</w:t>
            </w:r>
          </w:p>
        </w:tc>
        <w:tc>
          <w:tcPr>
            <w:tcW w:w="2130"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Stop gain</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2242" w:type="dxa"/>
            <w:vMerge w:val="continue"/>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p>
        </w:tc>
        <w:tc>
          <w:tcPr>
            <w:tcW w:w="2130"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Stop loss</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2242" w:type="dxa"/>
            <w:vMerge w:val="continue"/>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p>
        </w:tc>
        <w:tc>
          <w:tcPr>
            <w:tcW w:w="2130"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Synonymous</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42,463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2242" w:type="dxa"/>
            <w:vMerge w:val="continue"/>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p>
        </w:tc>
        <w:tc>
          <w:tcPr>
            <w:tcW w:w="2130"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Non-synonymous</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12,084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Intronic</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887,051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Splicing</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Downstream</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37,213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upstream/downstream</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Intergenic</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1,795,578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ts</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2,044,203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tv</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764,874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ts/tv</w:t>
            </w:r>
          </w:p>
        </w:tc>
        <w:tc>
          <w:tcPr>
            <w:tcW w:w="3523" w:type="dxa"/>
            <w:tcBorders>
              <w:top w:val="nil"/>
              <w:left w:val="nil"/>
              <w:bottom w:val="nil"/>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4372" w:type="dxa"/>
            <w:gridSpan w:val="2"/>
            <w:tcBorders>
              <w:top w:val="nil"/>
              <w:left w:val="nil"/>
              <w:bottom w:val="single" w:color="auto" w:sz="12" w:space="0"/>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Total</w:t>
            </w:r>
          </w:p>
        </w:tc>
        <w:tc>
          <w:tcPr>
            <w:tcW w:w="3523" w:type="dxa"/>
            <w:tcBorders>
              <w:top w:val="nil"/>
              <w:left w:val="nil"/>
              <w:bottom w:val="single" w:color="auto" w:sz="12" w:space="0"/>
              <w:right w:val="nil"/>
            </w:tcBorders>
            <w:shd w:val="clear" w:color="auto" w:fill="auto"/>
            <w:vAlign w:val="center"/>
          </w:tcPr>
          <w:p>
            <w:pPr>
              <w:widowControl/>
              <w:spacing w:line="360" w:lineRule="auto"/>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2,809,077</w:t>
            </w:r>
          </w:p>
        </w:tc>
      </w:tr>
    </w:tbl>
    <w:p>
      <w:pPr>
        <w:spacing w:line="360" w:lineRule="auto"/>
        <w:rPr>
          <w:rFonts w:ascii="Times New Roman" w:hAnsi="Times New Roman" w:cs="Times New Roman"/>
          <w:sz w:val="24"/>
          <w:szCs w:val="24"/>
        </w:rPr>
      </w:pPr>
      <w:r>
        <w:rPr>
          <w:rFonts w:ascii="Times New Roman" w:hAnsi="Times New Roman" w:cs="Times New Roman"/>
          <w:sz w:val="24"/>
          <w:szCs w:val="24"/>
        </w:rPr>
        <w:br w:type="page"/>
      </w:r>
    </w:p>
    <w:tbl>
      <w:tblPr>
        <w:tblStyle w:val="19"/>
        <w:tblpPr w:leftFromText="180" w:rightFromText="180" w:vertAnchor="text" w:horzAnchor="margin" w:tblpY="63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3"/>
        <w:gridCol w:w="2074"/>
        <w:gridCol w:w="2074"/>
        <w:gridCol w:w="20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3" w:type="dxa"/>
            <w:tcBorders>
              <w:top w:val="single" w:color="auto" w:sz="12" w:space="0"/>
            </w:tcBorders>
          </w:tcPr>
          <w:p>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P</w:t>
            </w:r>
            <w:r>
              <w:rPr>
                <w:rFonts w:hint="eastAsia" w:ascii="Times New Roman" w:hAnsi="Times New Roman" w:cs="Times New Roman"/>
                <w:sz w:val="24"/>
                <w:szCs w:val="24"/>
              </w:rPr>
              <w:t>opulation</w:t>
            </w:r>
          </w:p>
        </w:tc>
        <w:tc>
          <w:tcPr>
            <w:tcW w:w="2074" w:type="dxa"/>
            <w:tcBorders>
              <w:top w:val="single" w:color="auto" w:sz="12" w:space="0"/>
            </w:tcBorders>
          </w:tcPr>
          <w:p>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i/>
                <w:sz w:val="24"/>
                <w:szCs w:val="24"/>
              </w:rPr>
              <w:t>θ</w:t>
            </w:r>
            <w:r>
              <w:rPr>
                <w:rFonts w:ascii="Times New Roman" w:hAnsi="Times New Roman" w:cs="Times New Roman"/>
                <w:i/>
                <w:sz w:val="24"/>
                <w:szCs w:val="24"/>
                <w:vertAlign w:val="subscript"/>
              </w:rPr>
              <w:t>π</w:t>
            </w:r>
            <w:r>
              <w:rPr>
                <w:rFonts w:hint="eastAsia" w:ascii="Times New Roman" w:hAnsi="Times New Roman" w:cs="Times New Roman"/>
                <w:sz w:val="24"/>
                <w:szCs w:val="24"/>
              </w:rPr>
              <w:t>（</w:t>
            </w:r>
            <w:r>
              <w:rPr>
                <w:rFonts w:ascii="Times New Roman" w:hAnsi="Times New Roman" w:cs="Times New Roman"/>
                <w:sz w:val="24"/>
                <w:szCs w:val="24"/>
              </w:rPr>
              <w:t>×</w:t>
            </w:r>
            <w:r>
              <w:rPr>
                <w:rFonts w:hint="eastAsia" w:ascii="Times New Roman" w:hAnsi="Times New Roman" w:cs="Times New Roman"/>
                <w:sz w:val="24"/>
                <w:szCs w:val="24"/>
              </w:rPr>
              <w:t>10</w:t>
            </w:r>
            <w:r>
              <w:rPr>
                <w:rFonts w:hint="eastAsia" w:ascii="Times New Roman" w:hAnsi="Times New Roman" w:cs="Times New Roman"/>
                <w:sz w:val="24"/>
                <w:szCs w:val="24"/>
                <w:vertAlign w:val="superscript"/>
              </w:rPr>
              <w:t>-</w:t>
            </w:r>
            <w:r>
              <w:rPr>
                <w:rFonts w:ascii="Times New Roman" w:hAnsi="Times New Roman" w:cs="Times New Roman"/>
                <w:sz w:val="24"/>
                <w:szCs w:val="24"/>
                <w:vertAlign w:val="superscript"/>
              </w:rPr>
              <w:t>4</w:t>
            </w:r>
            <w:r>
              <w:rPr>
                <w:rFonts w:hint="eastAsia" w:ascii="Times New Roman" w:hAnsi="Times New Roman" w:cs="Times New Roman"/>
                <w:sz w:val="24"/>
                <w:szCs w:val="24"/>
              </w:rPr>
              <w:t>）</w:t>
            </w:r>
          </w:p>
        </w:tc>
        <w:tc>
          <w:tcPr>
            <w:tcW w:w="2074" w:type="dxa"/>
            <w:tcBorders>
              <w:top w:val="single" w:color="auto" w:sz="12" w:space="0"/>
            </w:tcBorders>
          </w:tcPr>
          <w:p>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i/>
                <w:sz w:val="24"/>
                <w:szCs w:val="24"/>
              </w:rPr>
              <w:t>θ</w:t>
            </w:r>
            <w:r>
              <w:rPr>
                <w:rFonts w:ascii="Times New Roman" w:hAnsi="Times New Roman" w:cs="Times New Roman"/>
                <w:i/>
                <w:sz w:val="24"/>
                <w:szCs w:val="24"/>
                <w:vertAlign w:val="subscript"/>
              </w:rPr>
              <w:t>W</w:t>
            </w:r>
            <w:r>
              <w:rPr>
                <w:rFonts w:hint="eastAsia" w:ascii="Times New Roman" w:hAnsi="Times New Roman" w:cs="Times New Roman"/>
                <w:sz w:val="24"/>
                <w:szCs w:val="24"/>
              </w:rPr>
              <w:t>（</w:t>
            </w:r>
            <w:r>
              <w:rPr>
                <w:rFonts w:ascii="Times New Roman" w:hAnsi="Times New Roman" w:cs="Times New Roman"/>
                <w:sz w:val="24"/>
                <w:szCs w:val="24"/>
              </w:rPr>
              <w:t>×</w:t>
            </w:r>
            <w:r>
              <w:rPr>
                <w:rFonts w:hint="eastAsia" w:ascii="Times New Roman" w:hAnsi="Times New Roman" w:cs="Times New Roman"/>
                <w:sz w:val="24"/>
                <w:szCs w:val="24"/>
              </w:rPr>
              <w:t>10</w:t>
            </w:r>
            <w:r>
              <w:rPr>
                <w:rFonts w:hint="eastAsia" w:ascii="Times New Roman" w:hAnsi="Times New Roman" w:cs="Times New Roman"/>
                <w:sz w:val="24"/>
                <w:szCs w:val="24"/>
                <w:vertAlign w:val="superscript"/>
              </w:rPr>
              <w:t>-</w:t>
            </w:r>
            <w:r>
              <w:rPr>
                <w:rFonts w:ascii="Times New Roman" w:hAnsi="Times New Roman" w:cs="Times New Roman"/>
                <w:sz w:val="24"/>
                <w:szCs w:val="24"/>
                <w:vertAlign w:val="superscript"/>
              </w:rPr>
              <w:t>4</w:t>
            </w:r>
            <w:r>
              <w:rPr>
                <w:rFonts w:hint="eastAsia" w:ascii="Times New Roman" w:hAnsi="Times New Roman" w:cs="Times New Roman"/>
                <w:sz w:val="24"/>
                <w:szCs w:val="24"/>
              </w:rPr>
              <w:t>）</w:t>
            </w:r>
          </w:p>
        </w:tc>
        <w:tc>
          <w:tcPr>
            <w:tcW w:w="2075" w:type="dxa"/>
            <w:tcBorders>
              <w:top w:val="single" w:color="auto" w:sz="12" w:space="0"/>
            </w:tcBorders>
          </w:tcPr>
          <w:p>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T</w:t>
            </w:r>
            <w:r>
              <w:rPr>
                <w:rFonts w:hint="eastAsia" w:ascii="Times New Roman" w:hAnsi="Times New Roman" w:cs="Times New Roman"/>
                <w:sz w:val="24"/>
                <w:szCs w:val="24"/>
              </w:rPr>
              <w:t>ajima</w:t>
            </w:r>
            <w:r>
              <w:rPr>
                <w:rFonts w:ascii="Times New Roman" w:hAnsi="Times New Roman" w:cs="Times New Roman"/>
                <w:sz w:val="24"/>
                <w:szCs w:val="24"/>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3" w:type="dxa"/>
            <w:tcBorders>
              <w:top w:val="single" w:color="auto" w:sz="8" w:space="0"/>
            </w:tcBorders>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MA</w:t>
            </w:r>
          </w:p>
        </w:tc>
        <w:tc>
          <w:tcPr>
            <w:tcW w:w="2074" w:type="dxa"/>
            <w:tcBorders>
              <w:top w:val="single" w:color="auto" w:sz="8" w:space="0"/>
            </w:tcBorders>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5.949</w:t>
            </w:r>
          </w:p>
        </w:tc>
        <w:tc>
          <w:tcPr>
            <w:tcW w:w="2074" w:type="dxa"/>
            <w:tcBorders>
              <w:top w:val="single" w:color="auto" w:sz="8" w:space="0"/>
            </w:tcBorders>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5.901</w:t>
            </w:r>
          </w:p>
        </w:tc>
        <w:tc>
          <w:tcPr>
            <w:tcW w:w="2075" w:type="dxa"/>
            <w:tcBorders>
              <w:top w:val="single" w:color="auto" w:sz="8" w:space="0"/>
            </w:tcBorders>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0.0</w:t>
            </w:r>
            <w:r>
              <w:rPr>
                <w:rFonts w:ascii="Times New Roman" w:hAnsi="Times New Roman" w:cs="Times New Roman"/>
                <w:sz w:val="24"/>
                <w:szCs w:val="24"/>
              </w:rPr>
              <w:t>235459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3"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SB</w:t>
            </w:r>
          </w:p>
        </w:tc>
        <w:tc>
          <w:tcPr>
            <w:tcW w:w="2074"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5.862</w:t>
            </w:r>
          </w:p>
        </w:tc>
        <w:tc>
          <w:tcPr>
            <w:tcW w:w="2074"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5.895</w:t>
            </w:r>
          </w:p>
        </w:tc>
        <w:tc>
          <w:tcPr>
            <w:tcW w:w="2075"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w:t>
            </w:r>
            <w:r>
              <w:rPr>
                <w:rFonts w:ascii="Times New Roman" w:hAnsi="Times New Roman" w:cs="Times New Roman"/>
                <w:sz w:val="24"/>
                <w:szCs w:val="24"/>
              </w:rPr>
              <w:t>0.0157630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3"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FH</w:t>
            </w:r>
          </w:p>
        </w:tc>
        <w:tc>
          <w:tcPr>
            <w:tcW w:w="2074"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w:t>
            </w:r>
            <w:r>
              <w:rPr>
                <w:rFonts w:ascii="Times New Roman" w:hAnsi="Times New Roman" w:cs="Times New Roman"/>
                <w:sz w:val="24"/>
                <w:szCs w:val="24"/>
              </w:rPr>
              <w:t>815</w:t>
            </w:r>
          </w:p>
        </w:tc>
        <w:tc>
          <w:tcPr>
            <w:tcW w:w="2074"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5.945</w:t>
            </w:r>
          </w:p>
        </w:tc>
        <w:tc>
          <w:tcPr>
            <w:tcW w:w="2075"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w:t>
            </w:r>
            <w:r>
              <w:rPr>
                <w:rFonts w:ascii="Times New Roman" w:hAnsi="Times New Roman" w:cs="Times New Roman"/>
                <w:sz w:val="24"/>
                <w:szCs w:val="24"/>
              </w:rPr>
              <w:t>0.0626571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3"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SX</w:t>
            </w:r>
          </w:p>
        </w:tc>
        <w:tc>
          <w:tcPr>
            <w:tcW w:w="2074"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5.303</w:t>
            </w:r>
          </w:p>
        </w:tc>
        <w:tc>
          <w:tcPr>
            <w:tcW w:w="2074"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5.212</w:t>
            </w:r>
          </w:p>
        </w:tc>
        <w:tc>
          <w:tcPr>
            <w:tcW w:w="2075"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0.050</w:t>
            </w:r>
            <w:r>
              <w:rPr>
                <w:rFonts w:ascii="Times New Roman" w:hAnsi="Times New Roman" w:cs="Times New Roman"/>
                <w:sz w:val="24"/>
                <w:szCs w:val="24"/>
              </w:rPr>
              <w:t>0372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3"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SM</w:t>
            </w:r>
          </w:p>
        </w:tc>
        <w:tc>
          <w:tcPr>
            <w:tcW w:w="2074"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5.462</w:t>
            </w:r>
          </w:p>
        </w:tc>
        <w:tc>
          <w:tcPr>
            <w:tcW w:w="2074"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5.122</w:t>
            </w:r>
          </w:p>
        </w:tc>
        <w:tc>
          <w:tcPr>
            <w:tcW w:w="2075" w:type="dxa"/>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0.1899537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3" w:type="dxa"/>
            <w:tcBorders>
              <w:bottom w:val="single" w:color="auto" w:sz="12" w:space="0"/>
            </w:tcBorders>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CV</w:t>
            </w:r>
          </w:p>
        </w:tc>
        <w:tc>
          <w:tcPr>
            <w:tcW w:w="2074" w:type="dxa"/>
            <w:tcBorders>
              <w:bottom w:val="single" w:color="auto" w:sz="12" w:space="0"/>
            </w:tcBorders>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4.6</w:t>
            </w:r>
            <w:r>
              <w:rPr>
                <w:rFonts w:ascii="Times New Roman" w:hAnsi="Times New Roman" w:cs="Times New Roman"/>
                <w:sz w:val="24"/>
                <w:szCs w:val="24"/>
              </w:rPr>
              <w:t>94</w:t>
            </w:r>
          </w:p>
        </w:tc>
        <w:tc>
          <w:tcPr>
            <w:tcW w:w="2074" w:type="dxa"/>
            <w:tcBorders>
              <w:bottom w:val="single" w:color="auto" w:sz="12" w:space="0"/>
            </w:tcBorders>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4.275</w:t>
            </w:r>
          </w:p>
        </w:tc>
        <w:tc>
          <w:tcPr>
            <w:tcW w:w="2075" w:type="dxa"/>
            <w:tcBorders>
              <w:bottom w:val="single" w:color="auto" w:sz="12" w:space="0"/>
            </w:tcBorders>
          </w:tcPr>
          <w:p>
            <w:pPr>
              <w:autoSpaceDE w:val="0"/>
              <w:autoSpaceDN w:val="0"/>
              <w:adjustRightInd w:val="0"/>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0.28</w:t>
            </w:r>
            <w:r>
              <w:rPr>
                <w:rFonts w:ascii="Times New Roman" w:hAnsi="Times New Roman" w:cs="Times New Roman"/>
                <w:sz w:val="24"/>
                <w:szCs w:val="24"/>
              </w:rPr>
              <w:t>10593</w:t>
            </w:r>
          </w:p>
        </w:tc>
      </w:tr>
    </w:tbl>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eastAsia" w:ascii="Times New Roman" w:hAnsi="Times New Roman" w:cs="Times New Roman"/>
          <w:sz w:val="24"/>
          <w:szCs w:val="24"/>
          <w:lang w:val="en-US" w:eastAsia="zh-CN"/>
        </w:rPr>
        <w:t>6</w:t>
      </w:r>
      <w:r>
        <w:rPr>
          <w:rFonts w:ascii="Times New Roman" w:hAnsi="Times New Roman" w:cs="Times New Roman"/>
          <w:sz w:val="24"/>
          <w:szCs w:val="24"/>
        </w:rPr>
        <w:t xml:space="preserve">. </w:t>
      </w:r>
      <w:r>
        <w:rPr>
          <w:rFonts w:ascii="Times New Roman" w:hAnsi="Times New Roman" w:cs="Times New Roman"/>
          <w:i/>
          <w:sz w:val="24"/>
          <w:szCs w:val="24"/>
        </w:rPr>
        <w:t>θ</w:t>
      </w:r>
      <w:r>
        <w:rPr>
          <w:rFonts w:ascii="Times New Roman" w:hAnsi="Times New Roman" w:cs="Times New Roman"/>
          <w:i/>
          <w:sz w:val="24"/>
          <w:szCs w:val="24"/>
          <w:vertAlign w:val="subscript"/>
        </w:rPr>
        <w:t>π</w:t>
      </w:r>
      <w:r>
        <w:rPr>
          <w:rFonts w:ascii="Times New Roman" w:hAnsi="Times New Roman" w:cs="Times New Roman"/>
          <w:sz w:val="24"/>
          <w:szCs w:val="24"/>
        </w:rPr>
        <w:t xml:space="preserve"> </w:t>
      </w:r>
      <w:r>
        <w:rPr>
          <w:rFonts w:hint="eastAsia" w:ascii="Times New Roman" w:hAnsi="Times New Roman" w:cs="Times New Roman"/>
          <w:sz w:val="24"/>
          <w:szCs w:val="24"/>
        </w:rPr>
        <w:t>and</w:t>
      </w:r>
      <w:r>
        <w:rPr>
          <w:rFonts w:ascii="Times New Roman" w:hAnsi="Times New Roman" w:cs="Times New Roman"/>
          <w:sz w:val="24"/>
          <w:szCs w:val="24"/>
        </w:rPr>
        <w:t xml:space="preserve"> </w:t>
      </w:r>
      <w:r>
        <w:rPr>
          <w:rFonts w:ascii="Times New Roman" w:hAnsi="Times New Roman" w:cs="Times New Roman"/>
          <w:i/>
          <w:sz w:val="24"/>
          <w:szCs w:val="24"/>
        </w:rPr>
        <w:t>θ</w:t>
      </w:r>
      <w:r>
        <w:rPr>
          <w:rFonts w:ascii="Times New Roman" w:hAnsi="Times New Roman" w:cs="Times New Roman"/>
          <w:i/>
          <w:sz w:val="24"/>
          <w:szCs w:val="24"/>
          <w:vertAlign w:val="subscript"/>
        </w:rPr>
        <w:t>W</w:t>
      </w:r>
      <w:r>
        <w:rPr>
          <w:rFonts w:ascii="Times New Roman" w:hAnsi="Times New Roman" w:cs="Times New Roman"/>
          <w:sz w:val="24"/>
          <w:szCs w:val="24"/>
        </w:rPr>
        <w:t xml:space="preserve"> for six duck populations</w:t>
      </w: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eastAsia" w:ascii="Times New Roman" w:hAnsi="Times New Roman" w:cs="Times New Roman"/>
          <w:sz w:val="24"/>
          <w:szCs w:val="24"/>
          <w:lang w:val="en-US" w:eastAsia="zh-CN"/>
        </w:rPr>
        <w:t>7</w:t>
      </w:r>
      <w:r>
        <w:rPr>
          <w:rFonts w:ascii="Times New Roman" w:hAnsi="Times New Roman" w:cs="Times New Roman"/>
          <w:sz w:val="24"/>
          <w:szCs w:val="24"/>
        </w:rPr>
        <w:t>. Summary statistics for genomic nucleotide diversity in different species.</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0"/>
        <w:gridCol w:w="26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80" w:type="dxa"/>
            <w:tcBorders>
              <w:top w:val="single" w:color="auto" w:sz="12" w:space="0"/>
              <w:bottom w:val="single" w:color="auto" w:sz="8" w:space="0"/>
            </w:tcBorders>
          </w:tcPr>
          <w:p>
            <w:pPr>
              <w:spacing w:line="360" w:lineRule="auto"/>
              <w:jc w:val="center"/>
              <w:rPr>
                <w:rFonts w:ascii="Times New Roman" w:hAnsi="Times New Roman" w:cs="Times New Roman"/>
                <w:sz w:val="24"/>
                <w:szCs w:val="24"/>
              </w:rPr>
            </w:pPr>
            <w:r>
              <w:rPr>
                <w:rFonts w:ascii="Times New Roman" w:hAnsi="Times New Roman" w:cs="Times New Roman"/>
                <w:sz w:val="24"/>
                <w:szCs w:val="24"/>
              </w:rPr>
              <w:t>Species</w:t>
            </w:r>
          </w:p>
        </w:tc>
        <w:tc>
          <w:tcPr>
            <w:tcW w:w="2693" w:type="dxa"/>
            <w:tcBorders>
              <w:top w:val="single" w:color="auto" w:sz="12" w:space="0"/>
              <w:bottom w:val="single" w:color="auto" w:sz="8" w:space="0"/>
            </w:tcBorders>
          </w:tcPr>
          <w:p>
            <w:pPr>
              <w:spacing w:line="360" w:lineRule="auto"/>
              <w:jc w:val="center"/>
              <w:rPr>
                <w:rFonts w:ascii="Times New Roman" w:hAnsi="Times New Roman" w:cs="Times New Roman"/>
                <w:sz w:val="24"/>
                <w:szCs w:val="24"/>
              </w:rPr>
            </w:pPr>
            <w:bookmarkStart w:id="2" w:name="OLE_LINK3"/>
            <w:r>
              <w:rPr>
                <w:rFonts w:ascii="Times New Roman" w:hAnsi="Times New Roman" w:cs="Times New Roman"/>
                <w:sz w:val="24"/>
                <w:szCs w:val="24"/>
              </w:rPr>
              <w:t>D</w:t>
            </w:r>
            <w:r>
              <w:rPr>
                <w:rFonts w:hint="eastAsia" w:ascii="Times New Roman" w:hAnsi="Times New Roman" w:cs="Times New Roman"/>
                <w:sz w:val="24"/>
                <w:szCs w:val="24"/>
              </w:rPr>
              <w:t xml:space="preserve">iversity </w:t>
            </w:r>
            <w:r>
              <w:rPr>
                <w:rFonts w:ascii="Times New Roman" w:hAnsi="Times New Roman" w:cs="Times New Roman"/>
                <w:sz w:val="24"/>
                <w:szCs w:val="24"/>
              </w:rPr>
              <w:t>Index</w:t>
            </w:r>
            <w:bookmarkEnd w:id="2"/>
            <w:r>
              <w:rPr>
                <w:rFonts w:ascii="Times New Roman" w:hAnsi="Times New Roman" w:cs="Times New Roman"/>
                <w:sz w:val="24"/>
                <w:szCs w:val="24"/>
              </w:rPr>
              <w:t xml:space="preserve"> (</w:t>
            </w:r>
            <w:r>
              <w:rPr>
                <w:rFonts w:ascii="Times New Roman" w:hAnsi="Times New Roman" w:cs="Times New Roman"/>
                <w:i/>
                <w:sz w:val="24"/>
                <w:szCs w:val="24"/>
              </w:rPr>
              <w:t>θ</w:t>
            </w:r>
            <w:r>
              <w:rPr>
                <w:rFonts w:ascii="Times New Roman" w:hAnsi="Times New Roman" w:cs="Times New Roman"/>
                <w:i/>
                <w:sz w:val="24"/>
                <w:szCs w:val="24"/>
                <w:vertAlign w:val="subscript"/>
              </w:rPr>
              <w:t>π</w:t>
            </w:r>
            <w:r>
              <w:rPr>
                <w:rFonts w:ascii="Times New Roman" w:hAnsi="Times New Roman" w:cs="Times New Roman"/>
                <w:sz w:val="24"/>
                <w:szCs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80" w:type="dxa"/>
            <w:tcBorders>
              <w:top w:val="single" w:color="auto" w:sz="8" w:space="0"/>
            </w:tcBorders>
          </w:tcPr>
          <w:p>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d</w:t>
            </w:r>
            <w:r>
              <w:rPr>
                <w:rFonts w:ascii="Times New Roman" w:hAnsi="Times New Roman" w:cs="Times New Roman"/>
                <w:sz w:val="24"/>
                <w:szCs w:val="24"/>
              </w:rPr>
              <w:t>uck</w:t>
            </w:r>
          </w:p>
        </w:tc>
        <w:tc>
          <w:tcPr>
            <w:tcW w:w="2693" w:type="dxa"/>
            <w:tcBorders>
              <w:top w:val="single" w:color="auto" w:sz="8" w:space="0"/>
            </w:tcBorders>
          </w:tcPr>
          <w:p>
            <w:pPr>
              <w:spacing w:line="360" w:lineRule="auto"/>
              <w:jc w:val="center"/>
              <w:rPr>
                <w:rFonts w:ascii="Times New Roman" w:hAnsi="Times New Roman" w:cs="Times New Roman"/>
                <w:sz w:val="24"/>
                <w:szCs w:val="24"/>
              </w:rPr>
            </w:pPr>
            <w:r>
              <w:rPr>
                <w:rFonts w:ascii="Times New Roman" w:hAnsi="Times New Roman" w:cs="Times New Roman"/>
                <w:sz w:val="24"/>
                <w:szCs w:val="24"/>
              </w:rPr>
              <w:t>0.4</w:t>
            </w:r>
            <w:r>
              <w:rPr>
                <w:rFonts w:hint="eastAsia" w:ascii="Times New Roman" w:hAnsi="Times New Roman" w:cs="Times New Roman"/>
                <w:sz w:val="24"/>
                <w:szCs w:val="24"/>
              </w:rPr>
              <w:t>694-</w:t>
            </w:r>
            <w:r>
              <w:rPr>
                <w:rFonts w:ascii="Times New Roman" w:hAnsi="Times New Roman" w:cs="Times New Roman"/>
                <w:sz w:val="24"/>
                <w:szCs w:val="24"/>
              </w:rPr>
              <w:t>0.5949×</w:t>
            </w:r>
            <w:r>
              <w:rPr>
                <w:rFonts w:hint="eastAsia" w:ascii="Times New Roman" w:hAnsi="Times New Roman" w:cs="Times New Roman"/>
                <w:sz w:val="24"/>
                <w:szCs w:val="24"/>
              </w:rPr>
              <w:t>10</w:t>
            </w:r>
            <w:r>
              <w:rPr>
                <w:rFonts w:hint="eastAsia" w:ascii="Times New Roman" w:hAnsi="Times New Roman" w:cs="Times New Roman"/>
                <w:sz w:val="24"/>
                <w:szCs w:val="24"/>
                <w:vertAlign w:val="superscript"/>
              </w:rPr>
              <w:t>-</w:t>
            </w:r>
            <w:r>
              <w:rPr>
                <w:rFonts w:ascii="Times New Roman" w:hAnsi="Times New Roman" w:cs="Times New Roman"/>
                <w:sz w:val="24"/>
                <w:szCs w:val="24"/>
                <w:vertAlign w:val="superscript"/>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80" w:type="dxa"/>
          </w:tcPr>
          <w:p>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sheep</w:t>
            </w:r>
            <w:r>
              <w:rPr>
                <w:rFonts w:ascii="Times New Roman" w:hAnsi="Times New Roman" w:cs="Times New Roman"/>
                <w:sz w:val="24"/>
                <w:szCs w:val="24"/>
                <w:vertAlign w:val="superscript"/>
              </w:rPr>
              <w:t>a</w:t>
            </w:r>
          </w:p>
        </w:tc>
        <w:tc>
          <w:tcPr>
            <w:tcW w:w="2693" w:type="dxa"/>
          </w:tcPr>
          <w:p>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1.889-2.513</w:t>
            </w:r>
            <w:r>
              <w:rPr>
                <w:rFonts w:ascii="Times New Roman" w:hAnsi="Times New Roman" w:cs="Times New Roman"/>
                <w:sz w:val="24"/>
                <w:szCs w:val="24"/>
              </w:rPr>
              <w:t>×</w:t>
            </w:r>
            <w:r>
              <w:rPr>
                <w:rFonts w:hint="eastAsia" w:ascii="Times New Roman" w:hAnsi="Times New Roman" w:cs="Times New Roman"/>
                <w:sz w:val="24"/>
                <w:szCs w:val="24"/>
              </w:rPr>
              <w:t>10</w:t>
            </w:r>
            <w:r>
              <w:rPr>
                <w:rFonts w:hint="eastAsia" w:ascii="Times New Roman" w:hAnsi="Times New Roman" w:cs="Times New Roman"/>
                <w:sz w:val="24"/>
                <w:szCs w:val="24"/>
                <w:vertAlign w:val="superscript"/>
              </w:rPr>
              <w:t>-</w:t>
            </w:r>
            <w:r>
              <w:rPr>
                <w:rFonts w:ascii="Times New Roman" w:hAnsi="Times New Roman" w:cs="Times New Roman"/>
                <w:sz w:val="24"/>
                <w:szCs w:val="24"/>
                <w:vertAlign w:val="superscript"/>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80" w:type="dxa"/>
          </w:tcPr>
          <w:p>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Yak</w:t>
            </w:r>
            <w:bookmarkStart w:id="3" w:name="OLE_LINK2"/>
            <w:r>
              <w:rPr>
                <w:rFonts w:ascii="Times New Roman" w:hAnsi="Times New Roman" w:cs="Times New Roman"/>
                <w:sz w:val="24"/>
                <w:szCs w:val="24"/>
                <w:vertAlign w:val="superscript"/>
              </w:rPr>
              <w:t>b</w:t>
            </w:r>
            <w:bookmarkEnd w:id="3"/>
          </w:p>
        </w:tc>
        <w:tc>
          <w:tcPr>
            <w:tcW w:w="2693" w:type="dxa"/>
          </w:tcPr>
          <w:p>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1.31-1.40</w:t>
            </w:r>
            <w:r>
              <w:rPr>
                <w:rFonts w:ascii="Times New Roman" w:hAnsi="Times New Roman" w:cs="Times New Roman"/>
                <w:sz w:val="24"/>
                <w:szCs w:val="24"/>
              </w:rPr>
              <w:t>×</w:t>
            </w:r>
            <w:r>
              <w:rPr>
                <w:rFonts w:hint="eastAsia" w:ascii="Times New Roman" w:hAnsi="Times New Roman" w:cs="Times New Roman"/>
                <w:sz w:val="24"/>
                <w:szCs w:val="24"/>
              </w:rPr>
              <w:t>10</w:t>
            </w:r>
            <w:r>
              <w:rPr>
                <w:rFonts w:hint="eastAsia" w:ascii="Times New Roman" w:hAnsi="Times New Roman" w:cs="Times New Roman"/>
                <w:sz w:val="24"/>
                <w:szCs w:val="24"/>
                <w:vertAlign w:val="superscript"/>
              </w:rPr>
              <w:t>-</w:t>
            </w:r>
            <w:r>
              <w:rPr>
                <w:rFonts w:ascii="Times New Roman" w:hAnsi="Times New Roman" w:cs="Times New Roman"/>
                <w:sz w:val="24"/>
                <w:szCs w:val="24"/>
                <w:vertAlign w:val="superscript"/>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80" w:type="dxa"/>
          </w:tcPr>
          <w:p>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r>
              <w:rPr>
                <w:rFonts w:hint="eastAsia" w:ascii="Times New Roman" w:hAnsi="Times New Roman" w:cs="Times New Roman"/>
                <w:sz w:val="24"/>
                <w:szCs w:val="24"/>
              </w:rPr>
              <w:t>i</w:t>
            </w:r>
            <w:r>
              <w:rPr>
                <w:rFonts w:ascii="Times New Roman" w:hAnsi="Times New Roman" w:cs="Times New Roman"/>
                <w:sz w:val="24"/>
                <w:szCs w:val="24"/>
              </w:rPr>
              <w:t>geon</w:t>
            </w:r>
            <w:r>
              <w:rPr>
                <w:rFonts w:ascii="Times New Roman" w:hAnsi="Times New Roman" w:cs="Times New Roman"/>
                <w:sz w:val="24"/>
                <w:szCs w:val="24"/>
                <w:vertAlign w:val="superscript"/>
              </w:rPr>
              <w:t>c</w:t>
            </w:r>
          </w:p>
        </w:tc>
        <w:tc>
          <w:tcPr>
            <w:tcW w:w="2693" w:type="dxa"/>
          </w:tcPr>
          <w:p>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3.6</w:t>
            </w:r>
            <w:r>
              <w:rPr>
                <w:rFonts w:ascii="Times New Roman" w:hAnsi="Times New Roman" w:cs="Times New Roman"/>
                <w:sz w:val="24"/>
                <w:szCs w:val="24"/>
              </w:rPr>
              <w:t>×</w:t>
            </w:r>
            <w:r>
              <w:rPr>
                <w:rFonts w:hint="eastAsia" w:ascii="Times New Roman" w:hAnsi="Times New Roman" w:cs="Times New Roman"/>
                <w:sz w:val="24"/>
                <w:szCs w:val="24"/>
              </w:rPr>
              <w:t>10</w:t>
            </w:r>
            <w:r>
              <w:rPr>
                <w:rFonts w:hint="eastAsia" w:ascii="Times New Roman" w:hAnsi="Times New Roman" w:cs="Times New Roman"/>
                <w:sz w:val="24"/>
                <w:szCs w:val="24"/>
                <w:vertAlign w:val="superscript"/>
              </w:rPr>
              <w:t>-</w:t>
            </w:r>
            <w:r>
              <w:rPr>
                <w:rFonts w:ascii="Times New Roman" w:hAnsi="Times New Roman" w:cs="Times New Roman"/>
                <w:sz w:val="24"/>
                <w:szCs w:val="24"/>
                <w:vertAlign w:val="superscript"/>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80" w:type="dxa"/>
            <w:tcBorders>
              <w:bottom w:val="single" w:color="auto" w:sz="12" w:space="0"/>
            </w:tcBorders>
          </w:tcPr>
          <w:p>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Dog</w:t>
            </w:r>
            <w:r>
              <w:rPr>
                <w:rFonts w:hint="eastAsia" w:ascii="Times New Roman" w:hAnsi="Times New Roman" w:cs="Times New Roman"/>
                <w:sz w:val="24"/>
                <w:szCs w:val="24"/>
                <w:vertAlign w:val="superscript"/>
              </w:rPr>
              <w:t>d</w:t>
            </w:r>
          </w:p>
        </w:tc>
        <w:tc>
          <w:tcPr>
            <w:tcW w:w="2693" w:type="dxa"/>
            <w:tcBorders>
              <w:bottom w:val="single" w:color="auto" w:sz="12" w:space="0"/>
            </w:tcBorders>
          </w:tcPr>
          <w:p>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0.75-1.38</w:t>
            </w:r>
            <w:r>
              <w:rPr>
                <w:rFonts w:ascii="Times New Roman" w:hAnsi="Times New Roman" w:cs="Times New Roman"/>
                <w:sz w:val="24"/>
                <w:szCs w:val="24"/>
              </w:rPr>
              <w:t>×</w:t>
            </w:r>
            <w:r>
              <w:rPr>
                <w:rFonts w:hint="eastAsia" w:ascii="Times New Roman" w:hAnsi="Times New Roman" w:cs="Times New Roman"/>
                <w:sz w:val="24"/>
                <w:szCs w:val="24"/>
              </w:rPr>
              <w:t>10</w:t>
            </w:r>
            <w:r>
              <w:rPr>
                <w:rFonts w:hint="eastAsia" w:ascii="Times New Roman" w:hAnsi="Times New Roman" w:cs="Times New Roman"/>
                <w:sz w:val="24"/>
                <w:szCs w:val="24"/>
                <w:vertAlign w:val="superscript"/>
              </w:rPr>
              <w:t>-</w:t>
            </w:r>
            <w:r>
              <w:rPr>
                <w:rFonts w:ascii="Times New Roman" w:hAnsi="Times New Roman" w:cs="Times New Roman"/>
                <w:sz w:val="24"/>
                <w:szCs w:val="24"/>
                <w:vertAlign w:val="superscript"/>
              </w:rPr>
              <w:t>3</w:t>
            </w:r>
          </w:p>
        </w:tc>
      </w:tr>
    </w:tbl>
    <w:p>
      <w:pPr>
        <w:rPr>
          <w:rFonts w:ascii="Times New Roman" w:hAnsi="Times New Roman" w:cs="Times New Roman"/>
          <w:szCs w:val="21"/>
        </w:rPr>
      </w:pPr>
      <w:r>
        <w:rPr>
          <w:rFonts w:ascii="Times New Roman" w:hAnsi="Times New Roman" w:cs="Times New Roman"/>
          <w:sz w:val="24"/>
          <w:szCs w:val="24"/>
          <w:vertAlign w:val="superscript"/>
        </w:rPr>
        <w:t>a</w:t>
      </w:r>
      <w:r>
        <w:rPr>
          <w:rFonts w:ascii="Times New Roman" w:hAnsi="Times New Roman" w:cs="Times New Roman"/>
          <w:szCs w:val="21"/>
          <w:vertAlign w:val="superscript"/>
        </w:rPr>
        <w:t xml:space="preserve"> </w:t>
      </w:r>
      <w:r>
        <w:rPr>
          <w:rFonts w:ascii="Times New Roman" w:hAnsi="Times New Roman" w:cs="Times New Roman"/>
          <w:szCs w:val="21"/>
        </w:rPr>
        <w:t>Yang, J., W. Li, F. Lv, S. He, S. Tian, W. Peng, Y. Sun, Y. Zhao, X. Tu, M. Zhang, X. Xie, Y. Wang, J. Li, Y. Liu, Z. Shen, F. Wang, G. Liu, H. Lu, J. Kantanen, J. Han, M. Li, and M. Liu. 2016. Whole-Genome Sequencing of Native Sheep Provides Insights into Rapid Adaptations to Extreme Environments. MOLECULAR BIOLOGY AND EVOLUTION 33:2576-2592.</w:t>
      </w:r>
    </w:p>
    <w:p>
      <w:pPr>
        <w:rPr>
          <w:rFonts w:ascii="Times New Roman" w:hAnsi="Times New Roman" w:cs="Times New Roman"/>
          <w:szCs w:val="21"/>
        </w:rPr>
      </w:pPr>
      <w:r>
        <w:rPr>
          <w:rFonts w:ascii="Times New Roman" w:hAnsi="Times New Roman" w:cs="Times New Roman"/>
          <w:sz w:val="24"/>
          <w:szCs w:val="24"/>
          <w:vertAlign w:val="superscript"/>
        </w:rPr>
        <w:t>b</w:t>
      </w:r>
      <w:r>
        <w:rPr>
          <w:rFonts w:ascii="Times New Roman" w:hAnsi="Times New Roman" w:cs="Times New Roman"/>
          <w:sz w:val="24"/>
          <w:szCs w:val="24"/>
        </w:rPr>
        <w:t xml:space="preserve"> </w:t>
      </w:r>
      <w:r>
        <w:rPr>
          <w:rFonts w:ascii="Times New Roman" w:hAnsi="Times New Roman" w:cs="Times New Roman"/>
          <w:szCs w:val="21"/>
        </w:rPr>
        <w:t>Qiang, Q., L. Wang, K. Wang, Y. Yang, M. Tao, Z. Wang, Z. Xiao, Z. Ni, F. Hou, and R. Long. 2015. Yak whole-genome resequencing reveals domestication signatures and prehistoric population expansions. Nature Communications 6:10283.</w:t>
      </w:r>
    </w:p>
    <w:p>
      <w:pPr>
        <w:rPr>
          <w:rFonts w:ascii="Times New Roman" w:hAnsi="Times New Roman" w:cs="Times New Roman"/>
          <w:szCs w:val="21"/>
        </w:rPr>
      </w:pPr>
      <w:r>
        <w:rPr>
          <w:rFonts w:ascii="Times New Roman" w:hAnsi="Times New Roman" w:cs="Times New Roman"/>
          <w:sz w:val="24"/>
          <w:szCs w:val="24"/>
          <w:vertAlign w:val="superscript"/>
        </w:rPr>
        <w:t>c</w:t>
      </w:r>
      <w:r>
        <w:rPr>
          <w:rFonts w:ascii="Times New Roman" w:hAnsi="Times New Roman" w:cs="Times New Roman"/>
          <w:szCs w:val="21"/>
        </w:rPr>
        <w:t xml:space="preserve"> Shapiro, M. D., Z. Kronenberg, C. Li, E. T. Domyan, H. Pan, M. Campbell, H. Tan, C. D. Huff, H. Hu, A. I. Vickrey, S. C. A. Nielsen, S. A. Stringham, H. Hu, E. Willerslev, M. T. P. Gilbert, M. Yandell, G. Zhang, and J. Wang. 2013. Genomic Diversity and Evolution of the Head Crest in the Rock Pigeon. SCIENCE 339:1063-1067.</w:t>
      </w:r>
    </w:p>
    <w:p>
      <w:pPr>
        <w:rPr>
          <w:rFonts w:ascii="Times New Roman" w:hAnsi="Times New Roman" w:cs="Times New Roman"/>
          <w:szCs w:val="21"/>
        </w:rPr>
      </w:pPr>
      <w:r>
        <w:rPr>
          <w:rFonts w:hint="eastAsia" w:ascii="Times New Roman" w:hAnsi="Times New Roman" w:cs="Times New Roman"/>
          <w:sz w:val="24"/>
          <w:szCs w:val="24"/>
          <w:vertAlign w:val="superscript"/>
        </w:rPr>
        <w:t>d</w:t>
      </w:r>
      <w:r>
        <w:rPr>
          <w:rFonts w:ascii="Times New Roman" w:hAnsi="Times New Roman" w:cs="Times New Roman"/>
          <w:sz w:val="24"/>
          <w:szCs w:val="24"/>
          <w:vertAlign w:val="superscript"/>
        </w:rPr>
        <w:t xml:space="preserve"> </w:t>
      </w:r>
      <w:r>
        <w:rPr>
          <w:rFonts w:ascii="Times New Roman" w:hAnsi="Times New Roman" w:cs="Times New Roman"/>
          <w:szCs w:val="21"/>
        </w:rPr>
        <w:t>Gou, X., Z. Wang, N. Li, F. Qiu, Z. Xu, D. Yan, S. Yang, J. Jia, X. Kong, Z. Wei, S. Lu, L. Lian, C. Wu, X. Wang, G. Li, T. Ma, Q. Jiang, X. Zhao, J. Yang, B. Liu, D. Wei, H. Li, J. Yang, Y. Yan, G. Zhao, X. Dong, M. Li, W. Deng, J. Leng, C. Wei, C. Wang, H. Mao, H. Zhang, G. Ding, and Y. Li. 2014. Whole-genome sequencing of six dog breeds from continuous altitudes reveals adaptation to high-altitude hypoxia. GENOME RESEARCH 24:1308-1315.</w:t>
      </w:r>
    </w:p>
    <w:p>
      <w:pPr>
        <w:widowControl/>
        <w:jc w:val="left"/>
        <w:rPr>
          <w:rFonts w:ascii="Times New Roman" w:hAnsi="Times New Roman" w:cs="Times New Roman"/>
          <w:szCs w:val="21"/>
        </w:rPr>
      </w:pPr>
      <w:r>
        <w:rPr>
          <w:rFonts w:ascii="Times New Roman" w:hAnsi="Times New Roman" w:cs="Times New Roman"/>
          <w:szCs w:val="21"/>
        </w:rPr>
        <w:br w:type="page"/>
      </w:r>
    </w:p>
    <w:p>
      <w:pPr>
        <w:spacing w:line="360" w:lineRule="auto"/>
        <w:rPr>
          <w:rFonts w:ascii="Times New Roman" w:hAnsi="Times New Roman" w:eastAsia="宋体" w:cs="Times New Roman"/>
          <w:sz w:val="24"/>
          <w:szCs w:val="24"/>
          <w:lang w:bidi="ar"/>
        </w:rPr>
      </w:pPr>
      <w:r>
        <w:rPr>
          <w:rFonts w:hint="eastAsia" w:ascii="Times New Roman" w:hAnsi="Times New Roman" w:cs="Times New Roman"/>
          <w:sz w:val="24"/>
          <w:szCs w:val="24"/>
        </w:rPr>
        <w:t>Supplementary Table S</w:t>
      </w:r>
      <w:r>
        <w:rPr>
          <w:rFonts w:hint="eastAsia" w:ascii="Times New Roman" w:hAnsi="Times New Roman" w:cs="Times New Roman"/>
          <w:sz w:val="24"/>
          <w:szCs w:val="24"/>
          <w:lang w:val="en-US" w:eastAsia="zh-CN"/>
        </w:rPr>
        <w:t>8</w:t>
      </w:r>
      <w:r>
        <w:rPr>
          <w:rFonts w:hint="eastAsia" w:ascii="Times New Roman" w:hAnsi="Times New Roman" w:cs="Times New Roman"/>
          <w:sz w:val="24"/>
          <w:szCs w:val="24"/>
        </w:rPr>
        <w:t xml:space="preserve">. List of CDRs with top 5% highest FST values and </w:t>
      </w:r>
      <w:r>
        <w:rPr>
          <w:rFonts w:ascii="Times New Roman" w:hAnsi="Times New Roman" w:eastAsia="宋体" w:cs="Times New Roman"/>
          <w:sz w:val="24"/>
          <w:szCs w:val="24"/>
          <w:lang w:bidi="ar"/>
        </w:rPr>
        <w:t>log</w:t>
      </w:r>
      <w:r>
        <w:rPr>
          <w:rFonts w:ascii="Times New Roman" w:hAnsi="Times New Roman" w:eastAsia="宋体" w:cs="Times New Roman"/>
          <w:sz w:val="24"/>
          <w:szCs w:val="24"/>
          <w:vertAlign w:val="subscript"/>
          <w:lang w:bidi="ar"/>
        </w:rPr>
        <w:t xml:space="preserve">2 </w:t>
      </w:r>
      <w:r>
        <w:rPr>
          <w:rFonts w:ascii="Times New Roman" w:hAnsi="Times New Roman" w:eastAsia="宋体" w:cs="Times New Roman"/>
          <w:sz w:val="24"/>
          <w:szCs w:val="24"/>
          <w:lang w:bidi="ar"/>
        </w:rPr>
        <w:t>(</w:t>
      </w:r>
      <w:bookmarkStart w:id="4" w:name="OLE_LINK8"/>
      <w:bookmarkStart w:id="5" w:name="OLE_LINK7"/>
      <w:r>
        <w:rPr>
          <w:rFonts w:ascii="Times New Roman" w:hAnsi="Times New Roman" w:eastAsia="宋体" w:cs="Times New Roman"/>
          <w:i/>
          <w:sz w:val="24"/>
          <w:szCs w:val="24"/>
          <w:lang w:bidi="ar"/>
        </w:rPr>
        <w:t>θ</w:t>
      </w:r>
      <w:r>
        <w:rPr>
          <w:rFonts w:ascii="Times New Roman" w:hAnsi="Times New Roman" w:eastAsia="宋体" w:cs="Times New Roman"/>
          <w:i/>
          <w:sz w:val="24"/>
          <w:szCs w:val="24"/>
          <w:vertAlign w:val="subscript"/>
          <w:lang w:bidi="ar"/>
        </w:rPr>
        <w:t>π</w:t>
      </w:r>
      <w:bookmarkEnd w:id="4"/>
      <w:bookmarkEnd w:id="5"/>
      <w:r>
        <w:rPr>
          <w:rFonts w:ascii="Times New Roman" w:hAnsi="Times New Roman" w:eastAsia="宋体" w:cs="Times New Roman"/>
          <w:sz w:val="24"/>
          <w:szCs w:val="24"/>
          <w:lang w:bidi="ar"/>
        </w:rPr>
        <w:t xml:space="preserve"> ratio</w:t>
      </w:r>
      <w:r>
        <w:rPr>
          <w:rFonts w:hint="eastAsia" w:ascii="Times New Roman" w:hAnsi="Times New Roman" w:eastAsia="宋体" w:cs="Times New Roman"/>
          <w:sz w:val="24"/>
          <w:szCs w:val="24"/>
          <w:lang w:bidi="ar"/>
        </w:rPr>
        <w:t>) in domestic ducks</w:t>
      </w:r>
    </w:p>
    <w:tbl>
      <w:tblPr>
        <w:tblStyle w:val="7"/>
        <w:tblW w:w="9744" w:type="dxa"/>
        <w:jc w:val="center"/>
        <w:tblLayout w:type="fixed"/>
        <w:tblCellMar>
          <w:top w:w="0" w:type="dxa"/>
          <w:left w:w="0" w:type="dxa"/>
          <w:bottom w:w="0" w:type="dxa"/>
          <w:right w:w="0" w:type="dxa"/>
        </w:tblCellMar>
      </w:tblPr>
      <w:tblGrid>
        <w:gridCol w:w="1509"/>
        <w:gridCol w:w="3375"/>
        <w:gridCol w:w="1020"/>
        <w:gridCol w:w="1080"/>
        <w:gridCol w:w="1125"/>
        <w:gridCol w:w="1635"/>
      </w:tblGrid>
      <w:tr>
        <w:tblPrEx>
          <w:tblCellMar>
            <w:top w:w="0" w:type="dxa"/>
            <w:left w:w="0" w:type="dxa"/>
            <w:bottom w:w="0" w:type="dxa"/>
            <w:right w:w="0" w:type="dxa"/>
          </w:tblCellMar>
        </w:tblPrEx>
        <w:trPr>
          <w:trHeight w:val="270" w:hRule="atLeast"/>
          <w:jc w:val="center"/>
        </w:trPr>
        <w:tc>
          <w:tcPr>
            <w:tcW w:w="1509" w:type="dxa"/>
            <w:tcBorders>
              <w:top w:val="single" w:color="auto" w:sz="12" w:space="0"/>
              <w:left w:val="nil"/>
              <w:bottom w:val="single" w:color="auto" w:sz="8"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Gene-ID</w:t>
            </w:r>
          </w:p>
        </w:tc>
        <w:tc>
          <w:tcPr>
            <w:tcW w:w="3375" w:type="dxa"/>
            <w:tcBorders>
              <w:top w:val="single" w:color="auto" w:sz="12" w:space="0"/>
              <w:left w:val="nil"/>
              <w:bottom w:val="single" w:color="auto" w:sz="8"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hint="eastAsia" w:ascii="Times New Roman" w:hAnsi="Times New Roman" w:eastAsia="宋体" w:cs="Times New Roman"/>
                <w:color w:val="000000"/>
                <w:kern w:val="0"/>
                <w:sz w:val="22"/>
                <w:lang w:bidi="ar"/>
              </w:rPr>
              <w:t xml:space="preserve">CDRs </w:t>
            </w:r>
            <w:r>
              <w:rPr>
                <w:rFonts w:ascii="Times New Roman" w:hAnsi="Times New Roman" w:eastAsia="宋体" w:cs="Times New Roman"/>
                <w:color w:val="000000"/>
                <w:kern w:val="0"/>
                <w:sz w:val="22"/>
                <w:lang w:bidi="ar"/>
              </w:rPr>
              <w:t>list</w:t>
            </w:r>
          </w:p>
        </w:tc>
        <w:tc>
          <w:tcPr>
            <w:tcW w:w="1020" w:type="dxa"/>
            <w:tcBorders>
              <w:top w:val="single" w:color="auto" w:sz="12" w:space="0"/>
              <w:left w:val="nil"/>
              <w:bottom w:val="single" w:color="auto" w:sz="8"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Starting position</w:t>
            </w:r>
          </w:p>
        </w:tc>
        <w:tc>
          <w:tcPr>
            <w:tcW w:w="1080" w:type="dxa"/>
            <w:tcBorders>
              <w:top w:val="single" w:color="auto" w:sz="12" w:space="0"/>
              <w:left w:val="nil"/>
              <w:bottom w:val="single" w:color="auto" w:sz="8"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Ending position</w:t>
            </w:r>
          </w:p>
        </w:tc>
        <w:tc>
          <w:tcPr>
            <w:tcW w:w="1125" w:type="dxa"/>
            <w:tcBorders>
              <w:top w:val="single" w:color="auto" w:sz="12" w:space="0"/>
              <w:left w:val="nil"/>
              <w:bottom w:val="single" w:color="auto" w:sz="8"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i/>
                <w:iCs/>
                <w:color w:val="000000"/>
                <w:kern w:val="0"/>
                <w:sz w:val="22"/>
                <w:lang w:bidi="ar"/>
              </w:rPr>
              <w:t>F</w:t>
            </w:r>
            <w:r>
              <w:rPr>
                <w:rFonts w:hint="eastAsia" w:ascii="Times New Roman" w:hAnsi="Times New Roman" w:eastAsia="宋体" w:cs="Times New Roman"/>
                <w:i/>
                <w:iCs/>
                <w:color w:val="000000"/>
                <w:kern w:val="0"/>
                <w:sz w:val="22"/>
                <w:vertAlign w:val="subscript"/>
                <w:lang w:bidi="ar"/>
              </w:rPr>
              <w:t>ST</w:t>
            </w:r>
          </w:p>
        </w:tc>
        <w:tc>
          <w:tcPr>
            <w:tcW w:w="1635" w:type="dxa"/>
            <w:tcBorders>
              <w:top w:val="single" w:color="auto" w:sz="12" w:space="0"/>
              <w:left w:val="nil"/>
              <w:bottom w:val="single" w:color="auto" w:sz="8"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log</w:t>
            </w:r>
            <w:r>
              <w:rPr>
                <w:rFonts w:ascii="Times New Roman" w:hAnsi="Times New Roman" w:eastAsia="宋体" w:cs="Times New Roman"/>
                <w:color w:val="000000"/>
                <w:kern w:val="0"/>
                <w:sz w:val="22"/>
                <w:vertAlign w:val="subscript"/>
                <w:lang w:bidi="ar"/>
              </w:rPr>
              <w:t>2</w:t>
            </w:r>
            <w:r>
              <w:rPr>
                <w:rFonts w:ascii="Times New Roman" w:hAnsi="Times New Roman" w:eastAsia="宋体" w:cs="Times New Roman"/>
                <w:color w:val="000000"/>
                <w:kern w:val="0"/>
                <w:sz w:val="22"/>
                <w:lang w:bidi="ar"/>
              </w:rPr>
              <w:t>(</w:t>
            </w:r>
            <w:r>
              <w:rPr>
                <w:rFonts w:ascii="Times New Roman" w:hAnsi="Times New Roman" w:eastAsia="宋体" w:cs="Times New Roman"/>
                <w:i/>
                <w:sz w:val="24"/>
                <w:szCs w:val="24"/>
                <w:lang w:bidi="ar"/>
              </w:rPr>
              <w:t>θ</w:t>
            </w:r>
            <w:r>
              <w:rPr>
                <w:rFonts w:ascii="Times New Roman" w:hAnsi="Times New Roman" w:eastAsia="宋体" w:cs="Times New Roman"/>
                <w:i/>
                <w:sz w:val="24"/>
                <w:szCs w:val="24"/>
                <w:vertAlign w:val="subscript"/>
                <w:lang w:bidi="ar"/>
              </w:rPr>
              <w:t>π</w:t>
            </w:r>
            <w:r>
              <w:rPr>
                <w:rFonts w:ascii="Times New Roman" w:hAnsi="Times New Roman" w:eastAsia="宋体" w:cs="Times New Roman"/>
                <w:sz w:val="24"/>
                <w:szCs w:val="24"/>
                <w:lang w:bidi="ar"/>
              </w:rPr>
              <w:t xml:space="preserve"> ratio</w:t>
            </w:r>
            <w:r>
              <w:rPr>
                <w:rFonts w:ascii="Times New Roman" w:hAnsi="Times New Roman" w:eastAsia="宋体" w:cs="Times New Roman"/>
                <w:color w:val="000000"/>
                <w:kern w:val="0"/>
                <w:sz w:val="22"/>
                <w:lang w:bidi="ar"/>
              </w:rPr>
              <w:t>)</w:t>
            </w:r>
          </w:p>
        </w:tc>
      </w:tr>
      <w:tr>
        <w:tblPrEx>
          <w:tblCellMar>
            <w:top w:w="0" w:type="dxa"/>
            <w:left w:w="0" w:type="dxa"/>
            <w:bottom w:w="0" w:type="dxa"/>
            <w:right w:w="0" w:type="dxa"/>
          </w:tblCellMar>
        </w:tblPrEx>
        <w:trPr>
          <w:trHeight w:val="270" w:hRule="atLeast"/>
          <w:jc w:val="center"/>
        </w:trPr>
        <w:tc>
          <w:tcPr>
            <w:tcW w:w="1509" w:type="dxa"/>
            <w:tcBorders>
              <w:top w:val="single" w:color="auto" w:sz="8" w:space="0"/>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single" w:color="auto" w:sz="8" w:space="0"/>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CMIP</w:t>
            </w:r>
          </w:p>
        </w:tc>
        <w:tc>
          <w:tcPr>
            <w:tcW w:w="1020" w:type="dxa"/>
            <w:tcBorders>
              <w:top w:val="single" w:color="auto" w:sz="8" w:space="0"/>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3400001</w:t>
            </w:r>
          </w:p>
        </w:tc>
        <w:tc>
          <w:tcPr>
            <w:tcW w:w="1080" w:type="dxa"/>
            <w:tcBorders>
              <w:top w:val="single" w:color="auto" w:sz="8" w:space="0"/>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3440000</w:t>
            </w:r>
          </w:p>
        </w:tc>
        <w:tc>
          <w:tcPr>
            <w:tcW w:w="1125" w:type="dxa"/>
            <w:tcBorders>
              <w:top w:val="single" w:color="auto" w:sz="8" w:space="0"/>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0.496</w:t>
            </w:r>
          </w:p>
        </w:tc>
        <w:tc>
          <w:tcPr>
            <w:tcW w:w="1635" w:type="dxa"/>
            <w:tcBorders>
              <w:top w:val="single" w:color="auto" w:sz="8" w:space="0"/>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3.844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CMIP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0.475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2.574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CMIP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0.474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0.468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MPHOSPH6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0.464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3.795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SMG7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LYST</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0.458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CMIP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0.440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3.224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MPHOSPH6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0.427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3.981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ZBTB37/SERPINC1/HEBP2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NPL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0.421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1.794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NPL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0.403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2.528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PLCG2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3.613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SLC7A10/LRP3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0.384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STX7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3.774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STX7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2.702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MOXD1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1.895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ROBO2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1.437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NPL/ZBTB37/HEBP2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2.538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LAMC2/NMNAT2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2.276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ENSAPLT00000003613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1.722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ENSAPLT00000011274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ENSAPLT00000011274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0.370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NMNAT2/SMG7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1.513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LIMK2/HNF1A/RNF185/ENSAPLT00000002965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2.702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2.627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1.702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RC3H1/SERPINC1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1.684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ADAMTS5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1.230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ENSAPLT00000006207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KB744292.1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ZNF438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0.361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2.079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LAMC1/LAMC2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LAMC1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KB742668.1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MTX2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1.960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CDH19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KB742992.1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PROSER1/NHLRC3/STOML3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1.960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MARCH6/ENSAPLT00000013710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2.141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LAMC1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1.551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LIMK2/RNF185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FGF23/FGF6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ADAMTS5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LRP3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KB743256.1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AREL1/YLPM1/FCF1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4.237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FGF6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NID1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STX2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SMOC2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ADAMTS5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CMIP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0.876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CEP89/FAAP24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1.055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PSME4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1.585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SLC7A10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1.530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PAPPA2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2.744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IGF2BP3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0.340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2.390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IGF2BP3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KB744573.1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ENSAPLT00000006531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1.139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ENSAPLT00000006207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REEP2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SLC5A3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LAMC1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MED23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ADCK1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ZCRB1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1.898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ENSAPLT00000008164/ENSAPLT00000008721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2.993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MRPS6/SLC5A3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RC3H1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0.330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1.534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TSPAN2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1.596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LYST</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2.919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MOXD1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GLT1D1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SPATA17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2.084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ENSAPLT00000006993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2.782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NID1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2.551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ENSAPLT00000003051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2.040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SUCLG1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2.066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NUP205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1.233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KB742648.1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ENSAPLT00000016377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2.938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MTHFD1L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CCSAP/NUP133/ENSAPLT00000004261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0.320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PEPD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ENSAPLT00000014637/RAB43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SLC15A4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1.977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THADA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1.687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CENPNk/ATMIN/CMC2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ENSAPLT00000008721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2.854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KB742648.1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ENSAPLT00000016377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2.750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RTTN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PPHLN1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0.960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KDM3B/REEP2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2.411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1.898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SLC15A4/GLT1D1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1.830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ENSAPLT00000003613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LYST</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3.768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KB742606.1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ENSAPLT00000007138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PATZ1/PIK3IP1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3.047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GLT1D1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NRCAM</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2.839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ENSAPLT00000008164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KB748162.1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WFDC1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ATMIN/GCSH</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MMP27/ENSAPLT00000006239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2.036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ENSAPLT00000003051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1.703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RTTN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ENSAPLT00000012286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2.237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ENSAPLT00000003051/TIGAR</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MED23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KB748162.1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ATP2C2/WFDC1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LIMK2/PIK3IP1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EIF4ENIF/SFI1/DRG1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PPHLN1/ZCRB1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NID1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ASTN1/PAPPA2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2.723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NRCAM</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3.225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KB745378.1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TDP1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1.480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ENSAPLT00000014747/ENSAPLT00000014637/CNBP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ENPP1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1.138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KB742668.1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MTX2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1.864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CDH19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ADAMTS5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ROBO2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TRIM33/DENND2C/BCAS2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ENSAPLT00000017077/TRMU/ENSAPLT00000017064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TSPAN2/SYCP1/TSHB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1.841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NRCAM</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0.300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3.025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KB742992.1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PROSER1/NHLRC3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GABARAPL1/TMEM52B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GABARAPL1/TMEM52B/ENSAPLT00000001223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2.569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KB745378.1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KCNK13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PLCG2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3.735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SMS</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2.513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PCDH10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KB742424.1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CDH2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PLEKHH2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2.891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ENSAPLT00000010356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1.550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PEPD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1.093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RIMBP2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1.625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PITRM1/PFKP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2.447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PALLD/CBR4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1.733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1.538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LYST/GNG4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2.425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KLHL7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1.733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THADA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C12orf4/FGF6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RAF1/MKRN2/TSEN2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2.234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SUCLG1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1.815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SMS/PHEX</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2.120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SRBD1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KB744936.1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SRD5A2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2.102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PNPLA8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2.832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SRBD1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UTP20/SLC5A8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PFDN4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RAB43/GP9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UTP20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2.928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MTHFD1L/ENSAPLT00000012286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2.096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ENSAPLT00000003658/PHC1/M6PR/ENSAPLT00000001984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2.791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PLEKHG1/MTHFD1L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RIMBP2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1.636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UTP20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MEF2A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ENPP3/MED23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PARK2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1.739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TIGAR/FGF23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PAPPA2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2.300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KB743256.1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AREL1/ISCA2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ENSAPLT00000008164/ENSAPLT00000006993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2.819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ENSAPLT00000008721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2.445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SLC7A9/CEP89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2.073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KB747079.1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ADGRL2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NRCAM</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MMP24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0.280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UTP20/NUP205/ARL1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1.850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SLC15A4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STX7/TAAR5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TNR</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GPR137B/NID1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KB745378.1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KCNK13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PHEX</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STX1A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1.213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PITRM1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2.093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RPIA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1.950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SLC4A4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GRIK1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ENSAPLT00000013710/ENSAPLT00000013659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PSMB1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ENSAPLT00000003613/CACYBP/MRPS14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SMS</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1.813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PNPLA8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1.839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KB745378.1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TDP1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STYK1/GABARAPL1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MTHFD1L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ZMYND12/SLC2A1/ENSAPLT00000005992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STYK1/YBX3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KB742424.1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CDH2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1.932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CRIM1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MARCH6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KB742992.1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ENSAPLT00000004236/PROSER1/STOML3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SYCP1/ENSAPLT00000008665/ENSAPLT00000009052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1.335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PEPD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1.193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ENSAPLT00000006207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KB744190.1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 brachyury transcription factor</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0.925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SFI1\EIF4ENIF1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0.270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1.848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PHEX</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KB744148.1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ELAVL4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CRIM1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1.473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FAM84B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DYNC2LI1/PLEKHH2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KB742606.1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ENSAPLT00000007138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MED12L/P2RY12 /P2RY13/GPR87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1.037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SFT2D1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CRIM1/FEZ2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KB742887.1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DERA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1.707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1.555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PNPLA8/AVPR2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KB742931.1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ENSAPLT00000010078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EFCAB11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0.879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IGF2BP3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ENSAPLT00000011897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CCSAP/NUP133/ABCB10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1.495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KIT</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MAP3K7CL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BEGAIN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HNF1A/ENSAPLT00000002965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KB744148.1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ELAVL4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RC3H1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KB742887.1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LMO3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MAP3K7CL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0.926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ENSAPLT00000014084/ENSAPLT00000014050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0.878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SLC4A4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THADA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1.855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UBE2V1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1.030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FEZ2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1.649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MAPKAP1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1.815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OSBPL5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KB743922.1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UBE2Z/CALCOCO2/SNF8 /ATP5G1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KB742808.1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ZCCHC24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0.260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THADA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1.293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ENSAPLT00000014546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1.939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RAF1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PCMT1/NUP43/LATS1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KB744195.1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SCRG1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FAM198B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UBE2V1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KB742760.1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TULP4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YBX3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KB744266.1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HP1BP3/KIF17/SH2D5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1.211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KB742931.1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ENSAPLT00000010078/TMX3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KB743891.1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CCDC174/ENSAPLT00000010716/ENSAPLT00000000961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RAF1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2.161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KB744976.1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DCHS1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ENSAPLT00000014215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SRBD1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0.859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KB743045.1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LRP2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KB742551.1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FASN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KB744741.1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KIF26A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1.279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ST8SIA2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1.455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COPB2/MRPS22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1.895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ENSAPLT00000012625/FEZ2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1.737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DENND2C/AMPD1/BCAS2/TRIM33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1.314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KB743402.1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CCND1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1.908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KB743045.1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ENSAPLT00000007569/ENSAPLT00000007300/KLHL41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1.336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C16orf72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0.873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KB743534.1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PLEKHH2/THADA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2.307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MOXD1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2.387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1.397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ENSAPLT00000003613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1.091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PFKP/PITRM1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2.831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KB743256.1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YLPM1/FCF1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0.250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ENSAPLT00000003266/ENSAPLT00000001223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2.482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KB743810.1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SLC35C2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1.430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FGFRL1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1.171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ELOVL2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2.396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PHC1/M6PR</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2.211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KDM3B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2.076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TINAG</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KB746343.1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ENSAPLT00000001840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KB744799.1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RASSF3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LRP3/WDR88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PNPLA8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2.738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MAPK11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FOXN3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KB744198.1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GRIN2A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MTHFD1L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GNPAT/ENSAPLT00000014084/ENSAPLT00000014050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1.373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GP9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1.654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ADCK1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1.585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SFI1\PISD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KB743692.1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ENSAPLT00000013461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ENSAPLT00000012625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ENSAPLT00000002724/ANKRD60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2.351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KB743740.1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STAB1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KB742760.1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TULP4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MOXD1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2.198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PER2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2.519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KB744518.1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RANBP10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ITGA8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ENSAPLT00000003266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1.378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ENSAPLT00000012039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0.849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PPIH/CCDC30/YBX1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SPTLC3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KIT</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ENSAPLT00000010342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RAB3GAP1/ZRANB3/ENSAPLT00000001872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MED12L/P2RY12/P2RY13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KB744699.1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NRTN/ENSAPLT00000001423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0.960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UHRF1BP1L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PER2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2.576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MMP24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RCOR1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0.240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ZMYND12/CCDC30/ENSAPLT00000005992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SRBD1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1.296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KB742647.1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IMMP2L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2.885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KB743818.1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ZDHHC14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1.331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KB742647.1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IMMP2L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1.760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C20orf85/ANKRD60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KB742887.1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LMO3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2.066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KB743534.1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SLC4A4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1.179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KB742931.1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TMX3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ENSAPLT00000001135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THADA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KB743740.1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NT5DC2/STAB1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STON2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1.415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GRIK1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1.837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AFAP1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ZRANB3/RAB3GAP1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1.436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KB742424.1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CDH2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1.399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MEF2A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TNN/CACYBP/MRPS14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ENPP1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KB743810.1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ELMO2/SLC35C2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1.491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KCNE2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0.928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KB743402.1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CCND1/FGF19/ORAOV1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PIK3CG</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ENSAPLT00000012919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PPM1B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0.907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KB742551.1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FASN/DUS1L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THSD7B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IYD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COQ9/CIAPIN1/POLR2C/ENSAPLT00000006564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SMOC2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KB744976.1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LCMT2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KB743103.1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LRRC3/SAMD7/LRRIQ4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0.230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1.734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KB742890.1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ENSAPLT00000002925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USP7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GLT1D1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1.722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KB743818.1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ZDHHC14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THSD7B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KB743162.1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NEDD1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KB744195.1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ENSAPLT00000003336/SCRG1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PHEX</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KB744198.1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GRIN2A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SRBD1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KB743402.1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FGF19/ORAOV1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2.093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KB743534.1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SFT2D1/MPC1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MTHFD1L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TRAF3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AVPR2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1.614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OSBPL5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NRCAM</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KB744663.1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C1orf27/PDC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ENSAPLT00000001285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ENSAPLT00000003658/ENSAPLT00000001984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KB744088.1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VPS13B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TRMU/ENSAPLT00000017077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1.196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KB742887.1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DERA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1.296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MMP7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EVL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KB743045.1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FASTKD1/KLHL41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ITGA8/FAM188A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ENSAPLT00000008016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EVL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1.559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ENSAPLT00000003613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PLEKHH2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2.700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DYNC2LI1/ABCG5/ABCG8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1.683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ENSAPLT00000001260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TMA16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OSBPL5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KB743235.1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EYA1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KB742490.1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ENSAPLT00000011916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EPB41L2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RFWD2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PALLD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KB743735.1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ELOVL4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ENSAPLT00000016276/ENSAPLT00000000847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KB743534.1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1.159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ENSAPLT00000014546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0.922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CCDC30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ENSAPLT00000005979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KB746535.1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SF3A2/ENSAPLT00000011459/ENSAPLT00000011465/OAZ1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IGF2BP3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2.630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ENPP3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ZRANB3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KB743534.1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TINAG</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KB742887.1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DERA/STRAP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YBX3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0.220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1.299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ENSAPLT00000004961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ENSAPLT00000006670/PISD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KB742826.1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CA10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ENSAPLT00000008016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KB743609.1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BMPR1B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KB743396.1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ESR2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KB744088.1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VPS13B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PALLD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1.271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KB742826.1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CA10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RNF212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1.098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KB743692.1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ENSAPLT00000013461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SPATA17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GRIA2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1.724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KB744088.1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VPS13B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ENSAPLT00000003155/TRABD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AKAP7/ENSAPLT00000000930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ASTN1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2.098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TBC1D22A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KB743922.1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CALCOCO2/ATP5G1/UBE2Z</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0.899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PLEKHG1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KB743103.1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SEC62/SAMD7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1.330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PFKP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1.854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CDH19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PARK2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KB743435.1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ENSAPLT00000004541/SLCO1A2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ACYP2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1.099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THAP5/DNAJB9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1.649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ENSAPLT00000002446/PHC1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0.921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KB743357.1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MAML3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EVL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PER2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2.044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MPC1/RPS6KA2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0.886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THAP5/DNAJB9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1.210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SOCS6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PFKP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CSDE1/AMPD1/NRAS</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KB742537.1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PAMR1/ENSAPLT00000012223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0.877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KB742424.1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CDH2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1.695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ENSAPLT00000015360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PALLD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KB744518.1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RANBP10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ENSAPLT00000012524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0.849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TINAG</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KB742668.1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MTX2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SORCS2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1.036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KB744292.1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SVIL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COPB2/MRPS22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1.419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CYP24A1/PFDN4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0.926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KB743256.1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ENSAPLT00000011627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KB742860.1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GPRC6A/RFX6/FAM162B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FGFR1OP/ENSAPLT00000011274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KB743818.1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ZDHHC14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KB743261.1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KB742730.1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ENSAPLT00000001355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KB743740.1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STAB1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KB744936.1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SRD5A2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RCOR1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1.991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MTHFD1L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KB743103.1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LRRC34/LRRC31/LRRIQ4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KB743412.1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CACHD1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ENSAPLT00000002724/RAB22A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1.793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KIT</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EVL/DEGS2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KB743178.1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TATDN1/ENSAPLT00000007406/RNF139/ENSAPLT00000007405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PALLD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GNG4/B3GALNT2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THADA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KB744518.1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RANBP10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ENSAPLT00000014574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PARK2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KB743430.1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CCDC102B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KB743204.1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MAPK11/MAPK12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KB742931.1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TMX3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EML1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0.939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KB746535.1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SF3A2/ENSAPLT00000011404/ENSAPLT00000011459/ENSAPLT00000011465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MAPKAP1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ROBO2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0.210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KB743226.1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CACUL1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0.897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MMP7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1.619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NUP205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0.907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TMEM165/SRD5A3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1.578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KB742481.1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ENSAPLT00000005609/ENSAPLT00000005979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1.132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KB743162.1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NEDD1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0.908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EPB41L2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KB744198.1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GRIN2A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1.751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ENSAPLT00000014215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KB742675.1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RELN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1.316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KB742760.1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TULP4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0.933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KB742630.1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MAP3K8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KB742648.1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IQUB/NDUFA5/ASB15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1.751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SH3RF1/CBR4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SLC7A9/ENSAPLT00000006564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2.166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KB742522.1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SKI</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PALLD/CBR4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KB744266.1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KIF17/DDOST/HP1BP3/SH2D5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KB745546.1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BRE</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1.455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ELOVL2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2.647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KB742444.1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SRBD1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KB747340.1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MYH15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EVL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1.735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KB743534.1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1.948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KB742647.1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IMMP2L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0.964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CEP135/EXOC1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KB743108.1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ENSAPLT00000008686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PRKAR2B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CMTM4/DYNC1LI2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KB742887.1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PLCZ1/CAPZA3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PDE8A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DEPDC5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PAPPA2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1.592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KB744601.1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ENSAPLT00000016901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KDM3B/ENSAPLT00000013236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KB743153.1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CCSA/NUP133/ENSAPLT00000004261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KB742878.1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TAPT1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HBP1/PRKAR2B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ENSAPLT00000009716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KB743291.1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ERBB4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KB744148.1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ELAVL4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0.886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KB743950.1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CDH19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1.433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DOK5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0.884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MAPKAP1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2.150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KB744295.1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VEGFC</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PARK2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ENSAPLT00000013062/MTMR4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0.899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MPC1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KB744094.1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GAS2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MEF2A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AKAP7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NUP205/UTP20/ARL1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1.231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KB743751.1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PPP2R3B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0.934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TTC8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KB743614.1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AGA/ENSAPLT00000013850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2.273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KB743534.1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0.200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ZNF518A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0.962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TCERG1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SYCP2L/ELOVL2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KB742464.1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RNF24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0.877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KB743057.1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EIF2S2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KB743430.1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CCDC102B</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0.938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PIK3CG</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KB743162.1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ENSAPLT00000002317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BACH1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CHD2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TTC27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POMP/SLC46A3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KB743226.1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CACUL1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TINAG</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KB743506.1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ENSAPLT00000010340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KB744198.1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EMP2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KB742537.1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PAMR1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0.898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KB742714.1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GPAM</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DPY19L4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ENSAPLT00000000731/ENSAPLT00000000730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1.889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ITGA8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KB743336.1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CRIM1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C12orf4/RAD51AP1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TNR</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0.196</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1.166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KB744638.1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C1orf21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1.151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AFAP1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KB747003.1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TNFRSF21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KB743162.1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NEDD1/ENSAPLT00000002023/ENSAPLT00000002191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0.896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KB745378.1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ENSAPLT00000016688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1.087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KB743459.1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THOC7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0.195</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PDE10A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0.891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KB744094.1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GAS2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PALLD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POMP/SLC46A3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KB743810.1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ELMO2/DDX27/ZNFX1/ENSAPLT00000012363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KDM4A/ENSAPLT00000004338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1.132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KB744976.1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LCMT2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FNDC1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KB742773.1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FERD3L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KB742675.1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RELN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1.226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STON2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0.194</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KB743183.1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PRKD1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KB743534.1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GRM8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2.051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KB744033.1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DEPDC5/ENSAPLT00000007561/ENSAPLT00000006670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1.034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KB742739.1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ABCC4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1.732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KB742701.1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CTPS2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KB744937.1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PSKH1/CTRL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CSRP1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0.999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TTC27</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0.863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TRIM33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1.099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KB743625.1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CNOT4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UTRN</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0.193</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KB742647.1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IMMP2L</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TMEM132D</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1.122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KB744113.1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CFAP161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0.192</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1.432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KB743197.1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RCOR1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1.180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KB744546.1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ADAR/UBE2Q1/CHRNB2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1.070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ENSAPLT00000001260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1.256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KB743116.1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ANKRD28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KB743818.1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ZDHHC14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1.291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KB742833.1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FGFRL1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0.927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QKI</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1.326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KB742567.1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ENSAPLT00000009173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1.344</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KB743335.1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ERCC6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1560001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0.191</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1.357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KB746044.1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MTMR9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1.418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ENPP3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620000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1.031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KB746044.1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MTMR9/ENSAPLT00000015329</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1.750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ENSAPLT00000014574</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0.972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KB743546.1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PREP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0.858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KB742408.1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ENSAPLT00000004338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1.252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KB742631.1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GAD2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0.909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KB742969.1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RIMBP2/PIWIL1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0.190</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0.901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KB743506.1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ENSAPLT00000010340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1.197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KB742878.1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FBXL5/CC2D2A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0.189</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0.938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KB743603.1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GNB1L/ENSAPLT00000002306</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1.479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KB744477.1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ENSAPLT00000004358</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1.695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ENSAPLT00000001352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KB744198.1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GRIN2A</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1.237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KB742432.1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TAAR/TAAR1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1.281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KB742984.1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WWOX</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0.853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KB742675.1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GSAP</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1.102</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KB744292.1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ITGB1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2.105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KB742619.1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EXOC1/CEP135</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1.369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KB743065.1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ARPP21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0.188</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1.075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2.217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KB744699.1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ATCAY/ENSAPLT00000001423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1.028</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KB743402.1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CCND1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1.989</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KB743111.1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SPTLC3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960001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0.966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KB742471.1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PIK3CG</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1.346</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KB742862.1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CHCHD2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740001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780000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1.771</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KB742386.1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LATS1/NUP43</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520001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560000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0.987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KB743235.1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EYA1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0.940</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KB743070.1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MPC1</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400001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440000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0.937</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KB742685.1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ENSAPLT00000016920</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1660001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1700000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1.345</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KB742523.1</w:t>
            </w:r>
          </w:p>
        </w:tc>
        <w:tc>
          <w:tcPr>
            <w:tcW w:w="33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MCTP2</w:t>
            </w:r>
          </w:p>
        </w:tc>
        <w:tc>
          <w:tcPr>
            <w:tcW w:w="102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2780001</w:t>
            </w:r>
          </w:p>
        </w:tc>
        <w:tc>
          <w:tcPr>
            <w:tcW w:w="1080"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2820000</w:t>
            </w:r>
          </w:p>
        </w:tc>
        <w:tc>
          <w:tcPr>
            <w:tcW w:w="112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1.053</w:t>
            </w:r>
          </w:p>
        </w:tc>
      </w:tr>
      <w:tr>
        <w:tblPrEx>
          <w:tblCellMar>
            <w:top w:w="0" w:type="dxa"/>
            <w:left w:w="0" w:type="dxa"/>
            <w:bottom w:w="0" w:type="dxa"/>
            <w:right w:w="0" w:type="dxa"/>
          </w:tblCellMar>
        </w:tblPrEx>
        <w:trPr>
          <w:trHeight w:val="270" w:hRule="atLeast"/>
          <w:jc w:val="center"/>
        </w:trPr>
        <w:tc>
          <w:tcPr>
            <w:tcW w:w="1509" w:type="dxa"/>
            <w:tcBorders>
              <w:top w:val="nil"/>
              <w:left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KB742815.1</w:t>
            </w:r>
          </w:p>
        </w:tc>
        <w:tc>
          <w:tcPr>
            <w:tcW w:w="3375" w:type="dxa"/>
            <w:tcBorders>
              <w:top w:val="nil"/>
              <w:left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PARK2</w:t>
            </w:r>
          </w:p>
        </w:tc>
        <w:tc>
          <w:tcPr>
            <w:tcW w:w="1020" w:type="dxa"/>
            <w:tcBorders>
              <w:top w:val="nil"/>
              <w:left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1440001</w:t>
            </w:r>
          </w:p>
        </w:tc>
        <w:tc>
          <w:tcPr>
            <w:tcW w:w="1080" w:type="dxa"/>
            <w:tcBorders>
              <w:top w:val="nil"/>
              <w:left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1480000</w:t>
            </w:r>
          </w:p>
        </w:tc>
        <w:tc>
          <w:tcPr>
            <w:tcW w:w="1125" w:type="dxa"/>
            <w:tcBorders>
              <w:top w:val="nil"/>
              <w:left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0.187</w:t>
            </w:r>
          </w:p>
        </w:tc>
        <w:tc>
          <w:tcPr>
            <w:tcW w:w="1635" w:type="dxa"/>
            <w:tcBorders>
              <w:top w:val="nil"/>
              <w:left w:val="nil"/>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1.633</w:t>
            </w:r>
          </w:p>
        </w:tc>
      </w:tr>
      <w:tr>
        <w:tblPrEx>
          <w:tblCellMar>
            <w:top w:w="0" w:type="dxa"/>
            <w:left w:w="0" w:type="dxa"/>
            <w:bottom w:w="0" w:type="dxa"/>
            <w:right w:w="0" w:type="dxa"/>
          </w:tblCellMar>
        </w:tblPrEx>
        <w:trPr>
          <w:trHeight w:val="270" w:hRule="atLeast"/>
          <w:jc w:val="center"/>
        </w:trPr>
        <w:tc>
          <w:tcPr>
            <w:tcW w:w="1509" w:type="dxa"/>
            <w:tcBorders>
              <w:top w:val="nil"/>
              <w:left w:val="nil"/>
              <w:bottom w:val="single" w:color="auto" w:sz="12"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KB742957.1</w:t>
            </w:r>
          </w:p>
        </w:tc>
        <w:tc>
          <w:tcPr>
            <w:tcW w:w="3375" w:type="dxa"/>
            <w:tcBorders>
              <w:top w:val="nil"/>
              <w:left w:val="nil"/>
              <w:bottom w:val="single" w:color="auto" w:sz="12"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ITGA8</w:t>
            </w:r>
          </w:p>
        </w:tc>
        <w:tc>
          <w:tcPr>
            <w:tcW w:w="1020" w:type="dxa"/>
            <w:tcBorders>
              <w:top w:val="nil"/>
              <w:left w:val="nil"/>
              <w:bottom w:val="single" w:color="auto" w:sz="12"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140001</w:t>
            </w:r>
          </w:p>
        </w:tc>
        <w:tc>
          <w:tcPr>
            <w:tcW w:w="1080" w:type="dxa"/>
            <w:tcBorders>
              <w:top w:val="nil"/>
              <w:left w:val="nil"/>
              <w:bottom w:val="single" w:color="auto" w:sz="12"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180000</w:t>
            </w:r>
          </w:p>
        </w:tc>
        <w:tc>
          <w:tcPr>
            <w:tcW w:w="1125" w:type="dxa"/>
            <w:tcBorders>
              <w:top w:val="nil"/>
              <w:left w:val="nil"/>
              <w:bottom w:val="single" w:color="auto" w:sz="12"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0.186</w:t>
            </w:r>
          </w:p>
        </w:tc>
        <w:tc>
          <w:tcPr>
            <w:tcW w:w="1635" w:type="dxa"/>
            <w:tcBorders>
              <w:top w:val="nil"/>
              <w:left w:val="nil"/>
              <w:bottom w:val="single" w:color="auto" w:sz="12" w:space="0"/>
              <w:right w:val="nil"/>
            </w:tcBorders>
            <w:shd w:val="clear" w:color="auto" w:fill="auto"/>
            <w:noWrap/>
            <w:tcMar>
              <w:top w:w="15" w:type="dxa"/>
              <w:left w:w="15" w:type="dxa"/>
              <w:right w:w="15" w:type="dxa"/>
            </w:tcMar>
            <w:vAlign w:val="center"/>
          </w:tcPr>
          <w:p>
            <w:pPr>
              <w:widowControl/>
              <w:jc w:val="center"/>
              <w:textAlignment w:val="center"/>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0.912</w:t>
            </w:r>
          </w:p>
        </w:tc>
      </w:tr>
    </w:tbl>
    <w:p>
      <w:pPr>
        <w:spacing w:line="360" w:lineRule="auto"/>
        <w:rPr>
          <w:rFonts w:ascii="Times New Roman" w:hAnsi="Times New Roman" w:eastAsia="宋体" w:cs="Times New Roman"/>
          <w:sz w:val="24"/>
          <w:szCs w:val="24"/>
          <w:lang w:bidi="ar"/>
        </w:rPr>
      </w:pPr>
    </w:p>
    <w:p>
      <w:pPr>
        <w:spacing w:line="360" w:lineRule="auto"/>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eastAsia" w:ascii="Times New Roman" w:hAnsi="Times New Roman" w:cs="Times New Roman"/>
          <w:sz w:val="24"/>
          <w:szCs w:val="24"/>
          <w:lang w:val="en-US" w:eastAsia="zh-CN"/>
        </w:rPr>
        <w:t>9</w:t>
      </w:r>
      <w:r>
        <w:rPr>
          <w:rFonts w:ascii="Times New Roman" w:hAnsi="Times New Roman" w:cs="Times New Roman"/>
          <w:sz w:val="24"/>
          <w:szCs w:val="24"/>
        </w:rPr>
        <w:t xml:space="preserve">. </w:t>
      </w:r>
      <w:r>
        <w:rPr>
          <w:rFonts w:ascii="Times New Roman" w:hAnsi="Times New Roman" w:eastAsia="宋体" w:cs="Times New Roman"/>
          <w:kern w:val="0"/>
          <w:sz w:val="24"/>
          <w:szCs w:val="24"/>
        </w:rPr>
        <w:t>The KEGG pathway of the loci under selections in domestic ducks (Top 20)</w:t>
      </w:r>
    </w:p>
    <w:tbl>
      <w:tblPr>
        <w:tblStyle w:val="7"/>
        <w:tblW w:w="8463"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Layout w:type="autofit"/>
        <w:tblCellMar>
          <w:top w:w="15" w:type="dxa"/>
          <w:left w:w="15" w:type="dxa"/>
          <w:bottom w:w="15" w:type="dxa"/>
          <w:right w:w="15" w:type="dxa"/>
        </w:tblCellMar>
      </w:tblPr>
      <w:tblGrid>
        <w:gridCol w:w="663"/>
        <w:gridCol w:w="4299"/>
        <w:gridCol w:w="2250"/>
        <w:gridCol w:w="125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single" w:color="auto" w:sz="12" w:space="0"/>
              <w:bottom w:val="single" w:color="auto" w:sz="8" w:space="0"/>
            </w:tcBorders>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NO.</w:t>
            </w:r>
          </w:p>
        </w:tc>
        <w:tc>
          <w:tcPr>
            <w:tcW w:w="4299" w:type="dxa"/>
            <w:tcBorders>
              <w:top w:val="single" w:color="auto" w:sz="12" w:space="0"/>
              <w:bottom w:val="single" w:color="auto" w:sz="8" w:space="0"/>
            </w:tcBorders>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Pathway</w:t>
            </w:r>
          </w:p>
        </w:tc>
        <w:tc>
          <w:tcPr>
            <w:tcW w:w="2250" w:type="dxa"/>
            <w:tcBorders>
              <w:top w:val="single" w:color="auto" w:sz="12" w:space="0"/>
              <w:bottom w:val="single" w:color="auto" w:sz="8" w:space="0"/>
            </w:tcBorders>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bCs/>
                <w:kern w:val="0"/>
                <w:sz w:val="24"/>
                <w:szCs w:val="24"/>
              </w:rPr>
            </w:pPr>
            <w:r>
              <w:rPr>
                <w:rFonts w:ascii="Times New Roman" w:hAnsi="Times New Roman" w:eastAsia="宋体" w:cs="Times New Roman"/>
                <w:kern w:val="0"/>
                <w:sz w:val="24"/>
                <w:szCs w:val="24"/>
              </w:rPr>
              <w:t>Gene number</w:t>
            </w:r>
          </w:p>
        </w:tc>
        <w:tc>
          <w:tcPr>
            <w:tcW w:w="0" w:type="auto"/>
            <w:tcBorders>
              <w:top w:val="single" w:color="auto" w:sz="12" w:space="0"/>
              <w:bottom w:val="single" w:color="auto" w:sz="8" w:space="0"/>
            </w:tcBorders>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Pvalue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single" w:color="auto" w:sz="8" w:space="0"/>
            </w:tcBorders>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w:t>
            </w:r>
          </w:p>
        </w:tc>
        <w:tc>
          <w:tcPr>
            <w:tcW w:w="4299" w:type="dxa"/>
            <w:tcBorders>
              <w:top w:val="single" w:color="auto" w:sz="8" w:space="0"/>
            </w:tcBorders>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 \o "click to view genes" </w:instrText>
            </w:r>
            <w:r>
              <w:fldChar w:fldCharType="separate"/>
            </w:r>
            <w:r>
              <w:rPr>
                <w:rFonts w:ascii="Times New Roman" w:hAnsi="Times New Roman" w:eastAsia="微软雅黑" w:cs="Times New Roman"/>
                <w:kern w:val="0"/>
                <w:sz w:val="24"/>
                <w:szCs w:val="24"/>
              </w:rPr>
              <w:t>Pantothenate and CoA biosynthesis</w:t>
            </w:r>
            <w:r>
              <w:rPr>
                <w:rFonts w:ascii="Times New Roman" w:hAnsi="Times New Roman" w:eastAsia="微软雅黑" w:cs="Times New Roman"/>
                <w:kern w:val="0"/>
                <w:sz w:val="24"/>
                <w:szCs w:val="24"/>
              </w:rPr>
              <w:fldChar w:fldCharType="end"/>
            </w:r>
          </w:p>
        </w:tc>
        <w:tc>
          <w:tcPr>
            <w:tcW w:w="2250" w:type="dxa"/>
            <w:tcBorders>
              <w:top w:val="single" w:color="auto" w:sz="8" w:space="0"/>
            </w:tcBorders>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2</w:t>
            </w:r>
          </w:p>
        </w:tc>
        <w:tc>
          <w:tcPr>
            <w:tcW w:w="0" w:type="auto"/>
            <w:tcBorders>
              <w:top w:val="single" w:color="auto" w:sz="8" w:space="0"/>
            </w:tcBorders>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0.026677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2</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"gene2" \o "click to view genes" </w:instrText>
            </w:r>
            <w:r>
              <w:fldChar w:fldCharType="separate"/>
            </w:r>
            <w:r>
              <w:rPr>
                <w:rFonts w:ascii="Times New Roman" w:hAnsi="Times New Roman" w:eastAsia="微软雅黑" w:cs="Times New Roman"/>
                <w:kern w:val="0"/>
                <w:sz w:val="24"/>
                <w:szCs w:val="24"/>
              </w:rPr>
              <w:t>FoxO signaling pathway</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6</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0.030017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3</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"gene3" \o "click to view genes" </w:instrText>
            </w:r>
            <w:r>
              <w:fldChar w:fldCharType="separate"/>
            </w:r>
            <w:r>
              <w:rPr>
                <w:rFonts w:ascii="Times New Roman" w:hAnsi="Times New Roman" w:eastAsia="微软雅黑" w:cs="Times New Roman"/>
                <w:kern w:val="0"/>
                <w:sz w:val="24"/>
                <w:szCs w:val="24"/>
              </w:rPr>
              <w:t>Inositol phosphate metabolism</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4</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0.035111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4</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"gene4" \o "click to view genes" </w:instrText>
            </w:r>
            <w:r>
              <w:fldChar w:fldCharType="separate"/>
            </w:r>
            <w:r>
              <w:rPr>
                <w:rFonts w:ascii="Times New Roman" w:hAnsi="Times New Roman" w:eastAsia="微软雅黑" w:cs="Times New Roman"/>
                <w:kern w:val="0"/>
                <w:sz w:val="24"/>
                <w:szCs w:val="24"/>
              </w:rPr>
              <w:t>Phosphatidylinositol signaling system</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4</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0.076842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5</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"gene5" \o "click to view genes" </w:instrText>
            </w:r>
            <w:r>
              <w:fldChar w:fldCharType="separate"/>
            </w:r>
            <w:r>
              <w:rPr>
                <w:rFonts w:ascii="Times New Roman" w:hAnsi="Times New Roman" w:eastAsia="微软雅黑" w:cs="Times New Roman"/>
                <w:kern w:val="0"/>
                <w:sz w:val="24"/>
                <w:szCs w:val="24"/>
              </w:rPr>
              <w:t>VEGF signaling pathway</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3</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0.081043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6</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"gene6" \o "click to view genes" </w:instrText>
            </w:r>
            <w:r>
              <w:fldChar w:fldCharType="separate"/>
            </w:r>
            <w:r>
              <w:rPr>
                <w:rFonts w:ascii="Times New Roman" w:hAnsi="Times New Roman" w:eastAsia="微软雅黑" w:cs="Times New Roman"/>
                <w:kern w:val="0"/>
                <w:sz w:val="24"/>
                <w:szCs w:val="24"/>
              </w:rPr>
              <w:t>Nicotinate and nicotinamide metabolism</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2</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0.086185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7</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"gene7" \o "click to view genes" </w:instrText>
            </w:r>
            <w:r>
              <w:fldChar w:fldCharType="separate"/>
            </w:r>
            <w:r>
              <w:rPr>
                <w:rFonts w:ascii="Times New Roman" w:hAnsi="Times New Roman" w:eastAsia="微软雅黑" w:cs="Times New Roman"/>
                <w:kern w:val="0"/>
                <w:sz w:val="24"/>
                <w:szCs w:val="24"/>
              </w:rPr>
              <w:t>Fructose and mannose metabolism</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2</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0.086185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8</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"gene8" \o "click to view genes" </w:instrText>
            </w:r>
            <w:r>
              <w:fldChar w:fldCharType="separate"/>
            </w:r>
            <w:r>
              <w:rPr>
                <w:rFonts w:ascii="Times New Roman" w:hAnsi="Times New Roman" w:eastAsia="微软雅黑" w:cs="Times New Roman"/>
                <w:kern w:val="0"/>
                <w:sz w:val="24"/>
                <w:szCs w:val="24"/>
              </w:rPr>
              <w:t>ECM-receptor interaction</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3</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0.093906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9</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"gene9" \o "click to view genes" </w:instrText>
            </w:r>
            <w:r>
              <w:fldChar w:fldCharType="separate"/>
            </w:r>
            <w:r>
              <w:rPr>
                <w:rFonts w:ascii="Times New Roman" w:hAnsi="Times New Roman" w:eastAsia="微软雅黑" w:cs="Times New Roman"/>
                <w:kern w:val="0"/>
                <w:sz w:val="24"/>
                <w:szCs w:val="24"/>
              </w:rPr>
              <w:t>Focal adhesion</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6</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0.110934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10</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"gene10" \o "click to view genes" </w:instrText>
            </w:r>
            <w:r>
              <w:fldChar w:fldCharType="separate"/>
            </w:r>
            <w:r>
              <w:rPr>
                <w:rFonts w:ascii="Times New Roman" w:hAnsi="Times New Roman" w:eastAsia="微软雅黑" w:cs="Times New Roman"/>
                <w:kern w:val="0"/>
                <w:sz w:val="24"/>
                <w:szCs w:val="24"/>
              </w:rPr>
              <w:t>ErbB signaling pathway</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3</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0.114655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11</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"gene11" \o "click to view genes" </w:instrText>
            </w:r>
            <w:r>
              <w:fldChar w:fldCharType="separate"/>
            </w:r>
            <w:r>
              <w:rPr>
                <w:rFonts w:ascii="Times New Roman" w:hAnsi="Times New Roman" w:eastAsia="微软雅黑" w:cs="Times New Roman"/>
                <w:kern w:val="0"/>
                <w:sz w:val="24"/>
                <w:szCs w:val="24"/>
              </w:rPr>
              <w:t>Starch and sucrose metabolism</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2</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0.117913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12</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"gene12" \o "click to view genes" </w:instrText>
            </w:r>
            <w:r>
              <w:fldChar w:fldCharType="separate"/>
            </w:r>
            <w:r>
              <w:rPr>
                <w:rFonts w:ascii="Times New Roman" w:hAnsi="Times New Roman" w:eastAsia="微软雅黑" w:cs="Times New Roman"/>
                <w:kern w:val="0"/>
                <w:sz w:val="24"/>
                <w:szCs w:val="24"/>
              </w:rPr>
              <w:t>RNA transport</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5</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0.123180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13</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"gene13" \o "click to view genes" </w:instrText>
            </w:r>
            <w:r>
              <w:fldChar w:fldCharType="separate"/>
            </w:r>
            <w:r>
              <w:rPr>
                <w:rFonts w:ascii="Times New Roman" w:hAnsi="Times New Roman" w:eastAsia="微软雅黑" w:cs="Times New Roman"/>
                <w:kern w:val="0"/>
                <w:sz w:val="24"/>
                <w:szCs w:val="24"/>
              </w:rPr>
              <w:t>Jak-STAT signaling pathway</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4</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0.123567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14</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"gene14" \o "click to view genes" </w:instrText>
            </w:r>
            <w:r>
              <w:fldChar w:fldCharType="separate"/>
            </w:r>
            <w:r>
              <w:rPr>
                <w:rFonts w:ascii="Times New Roman" w:hAnsi="Times New Roman" w:eastAsia="微软雅黑" w:cs="Times New Roman"/>
                <w:kern w:val="0"/>
                <w:sz w:val="24"/>
                <w:szCs w:val="24"/>
              </w:rPr>
              <w:t>Regulation of actin cytoskeleton</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6</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0.131763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15</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"gene15" \o "click to view genes" </w:instrText>
            </w:r>
            <w:r>
              <w:fldChar w:fldCharType="separate"/>
            </w:r>
            <w:r>
              <w:rPr>
                <w:rFonts w:ascii="Times New Roman" w:hAnsi="Times New Roman" w:eastAsia="微软雅黑" w:cs="Times New Roman"/>
                <w:kern w:val="0"/>
                <w:sz w:val="24"/>
                <w:szCs w:val="24"/>
              </w:rPr>
              <w:t>Proteasome</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2</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0.140443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16</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"gene16" \o "click to view genes" </w:instrText>
            </w:r>
            <w:r>
              <w:fldChar w:fldCharType="separate"/>
            </w:r>
            <w:r>
              <w:rPr>
                <w:rFonts w:ascii="Times New Roman" w:hAnsi="Times New Roman" w:eastAsia="微软雅黑" w:cs="Times New Roman"/>
                <w:kern w:val="0"/>
                <w:sz w:val="24"/>
                <w:szCs w:val="24"/>
              </w:rPr>
              <w:t>ABC transporters</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2</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0.140443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17</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"gene17" \o "click to view genes" </w:instrText>
            </w:r>
            <w:r>
              <w:fldChar w:fldCharType="separate"/>
            </w:r>
            <w:r>
              <w:rPr>
                <w:rFonts w:ascii="Times New Roman" w:hAnsi="Times New Roman" w:eastAsia="微软雅黑" w:cs="Times New Roman"/>
                <w:kern w:val="0"/>
                <w:sz w:val="24"/>
                <w:szCs w:val="24"/>
              </w:rPr>
              <w:t>Insulin signaling pathway</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4</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0.153747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18</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"gene18" \o "click to view genes" </w:instrText>
            </w:r>
            <w:r>
              <w:fldChar w:fldCharType="separate"/>
            </w:r>
            <w:r>
              <w:rPr>
                <w:rFonts w:ascii="Times New Roman" w:hAnsi="Times New Roman" w:eastAsia="微软雅黑" w:cs="Times New Roman"/>
                <w:kern w:val="0"/>
                <w:sz w:val="24"/>
                <w:szCs w:val="24"/>
              </w:rPr>
              <w:t>RNA degradation</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3</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0.168808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19</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"gene19" \o "click to view genes" </w:instrText>
            </w:r>
            <w:r>
              <w:fldChar w:fldCharType="separate"/>
            </w:r>
            <w:r>
              <w:rPr>
                <w:rFonts w:ascii="Times New Roman" w:hAnsi="Times New Roman" w:eastAsia="微软雅黑" w:cs="Times New Roman"/>
                <w:kern w:val="0"/>
                <w:sz w:val="24"/>
                <w:szCs w:val="24"/>
              </w:rPr>
              <w:t>Glycerophospholipid metabolism</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3</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0.168808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20</w:t>
            </w:r>
          </w:p>
        </w:tc>
        <w:tc>
          <w:tcPr>
            <w:tcW w:w="4299" w:type="dxa"/>
            <w:shd w:val="clear" w:color="auto" w:fill="FFFFFF" w:themeFill="background1"/>
            <w:tcMar>
              <w:top w:w="15" w:type="dxa"/>
              <w:left w:w="75" w:type="dxa"/>
              <w:bottom w:w="15" w:type="dxa"/>
              <w:right w:w="75" w:type="dxa"/>
            </w:tcMar>
            <w:vAlign w:val="center"/>
          </w:tcPr>
          <w:p>
            <w:pPr>
              <w:widowControl/>
              <w:spacing w:line="360" w:lineRule="auto"/>
              <w:jc w:val="left"/>
              <w:rPr>
                <w:rFonts w:ascii="Times New Roman" w:hAnsi="Times New Roman" w:eastAsia="微软雅黑" w:cs="Times New Roman"/>
                <w:kern w:val="0"/>
                <w:sz w:val="24"/>
                <w:szCs w:val="24"/>
              </w:rPr>
            </w:pPr>
            <w:r>
              <w:fldChar w:fldCharType="begin"/>
            </w:r>
            <w:r>
              <w:instrText xml:space="preserve"> HYPERLINK "file:///C:\\Users\\soi\\AppData\\Local\\Temp\\360zip$Temp\\360$0\\pathwaygseaf1e1b2\\out\\201525970043.os\\KO\\out.htm" \l "gene20" \o "click to view genes" </w:instrText>
            </w:r>
            <w:r>
              <w:fldChar w:fldCharType="separate"/>
            </w:r>
            <w:r>
              <w:rPr>
                <w:rFonts w:ascii="Times New Roman" w:hAnsi="Times New Roman" w:eastAsia="微软雅黑" w:cs="Times New Roman"/>
                <w:kern w:val="0"/>
                <w:sz w:val="24"/>
                <w:szCs w:val="24"/>
              </w:rPr>
              <w:t>Neuroactive ligand-receptor interaction</w:t>
            </w:r>
            <w:r>
              <w:rPr>
                <w:rFonts w:ascii="Times New Roman" w:hAnsi="Times New Roman" w:eastAsia="微软雅黑" w:cs="Times New Roman"/>
                <w:kern w:val="0"/>
                <w:sz w:val="24"/>
                <w:szCs w:val="24"/>
              </w:rPr>
              <w:fldChar w:fldCharType="end"/>
            </w:r>
          </w:p>
        </w:tc>
        <w:tc>
          <w:tcPr>
            <w:tcW w:w="2250" w:type="dxa"/>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8</w:t>
            </w:r>
          </w:p>
        </w:tc>
        <w:tc>
          <w:tcPr>
            <w:tcW w:w="0" w:type="auto"/>
            <w:shd w:val="clear" w:color="auto" w:fill="FFFFFF" w:themeFill="background1"/>
            <w:tcMar>
              <w:top w:w="15" w:type="dxa"/>
              <w:left w:w="75" w:type="dxa"/>
              <w:bottom w:w="15" w:type="dxa"/>
              <w:right w:w="75" w:type="dxa"/>
            </w:tcMar>
            <w:vAlign w:val="center"/>
          </w:tcPr>
          <w:p>
            <w:pPr>
              <w:widowControl/>
              <w:spacing w:line="360" w:lineRule="auto"/>
              <w:jc w:val="center"/>
              <w:rPr>
                <w:rFonts w:ascii="Times New Roman" w:hAnsi="Times New Roman" w:eastAsia="微软雅黑" w:cs="Times New Roman"/>
                <w:kern w:val="0"/>
                <w:sz w:val="24"/>
                <w:szCs w:val="24"/>
              </w:rPr>
            </w:pPr>
            <w:r>
              <w:rPr>
                <w:rFonts w:ascii="Times New Roman" w:hAnsi="Times New Roman" w:eastAsia="微软雅黑" w:cs="Times New Roman"/>
                <w:kern w:val="0"/>
                <w:sz w:val="24"/>
                <w:szCs w:val="24"/>
              </w:rPr>
              <w:t>0.180605</w:t>
            </w:r>
          </w:p>
        </w:tc>
      </w:tr>
    </w:tbl>
    <w:p>
      <w:pPr>
        <w:rPr>
          <w:rFonts w:ascii="Times New Roman" w:hAnsi="Times New Roman" w:cs="Times New Roman"/>
          <w:sz w:val="24"/>
          <w:szCs w:val="24"/>
        </w:rPr>
      </w:pPr>
      <w:r>
        <w:rPr>
          <w:rFonts w:ascii="Times New Roman" w:hAnsi="Times New Roman" w:cs="Times New Roman"/>
          <w:sz w:val="24"/>
          <w:szCs w:val="24"/>
        </w:rPr>
        <w:br w:type="page"/>
      </w:r>
    </w:p>
    <w:p>
      <w:pPr>
        <w:spacing w:line="360" w:lineRule="auto"/>
        <w:rPr>
          <w:rFonts w:ascii="Times New Roman" w:hAnsi="Times New Roman" w:eastAsia="宋体" w:cs="Times New Roman"/>
          <w:kern w:val="0"/>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eastAsia" w:ascii="Times New Roman" w:hAnsi="Times New Roman" w:cs="Times New Roman"/>
          <w:sz w:val="24"/>
          <w:szCs w:val="24"/>
          <w:lang w:val="en-US" w:eastAsia="zh-CN"/>
        </w:rPr>
        <w:t>10</w:t>
      </w:r>
      <w:r>
        <w:rPr>
          <w:rFonts w:ascii="Times New Roman" w:hAnsi="Times New Roman" w:cs="Times New Roman"/>
          <w:sz w:val="24"/>
          <w:szCs w:val="24"/>
        </w:rPr>
        <w:t xml:space="preserve"> </w:t>
      </w:r>
      <w:r>
        <w:rPr>
          <w:rFonts w:ascii="Times New Roman" w:hAnsi="Times New Roman" w:eastAsia="宋体" w:cs="Times New Roman"/>
          <w:kern w:val="0"/>
          <w:sz w:val="24"/>
          <w:szCs w:val="24"/>
        </w:rPr>
        <w:t>The GO classification of the loci under selections in domestic ducks</w:t>
      </w:r>
    </w:p>
    <w:tbl>
      <w:tblPr>
        <w:tblStyle w:val="7"/>
        <w:tblW w:w="8850" w:type="dxa"/>
        <w:jc w:val="center"/>
        <w:tblLayout w:type="autofit"/>
        <w:tblCellMar>
          <w:top w:w="0" w:type="dxa"/>
          <w:left w:w="108" w:type="dxa"/>
          <w:bottom w:w="0" w:type="dxa"/>
          <w:right w:w="108" w:type="dxa"/>
        </w:tblCellMar>
      </w:tblPr>
      <w:tblGrid>
        <w:gridCol w:w="623"/>
        <w:gridCol w:w="2187"/>
        <w:gridCol w:w="4420"/>
        <w:gridCol w:w="1620"/>
      </w:tblGrid>
      <w:tr>
        <w:tblPrEx>
          <w:tblCellMar>
            <w:top w:w="0" w:type="dxa"/>
            <w:left w:w="108" w:type="dxa"/>
            <w:bottom w:w="0" w:type="dxa"/>
            <w:right w:w="108" w:type="dxa"/>
          </w:tblCellMar>
        </w:tblPrEx>
        <w:trPr>
          <w:trHeight w:val="510" w:hRule="atLeast"/>
          <w:jc w:val="center"/>
        </w:trPr>
        <w:tc>
          <w:tcPr>
            <w:tcW w:w="623" w:type="dxa"/>
            <w:tcBorders>
              <w:top w:val="single" w:color="auto" w:sz="12" w:space="0"/>
              <w:left w:val="nil"/>
              <w:bottom w:val="single" w:color="auto" w:sz="8" w:space="0"/>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NO.</w:t>
            </w:r>
          </w:p>
        </w:tc>
        <w:tc>
          <w:tcPr>
            <w:tcW w:w="2187" w:type="dxa"/>
            <w:tcBorders>
              <w:top w:val="single" w:color="auto" w:sz="12" w:space="0"/>
              <w:left w:val="nil"/>
              <w:bottom w:val="single" w:color="auto" w:sz="8" w:space="0"/>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Ontology</w:t>
            </w:r>
          </w:p>
        </w:tc>
        <w:tc>
          <w:tcPr>
            <w:tcW w:w="4420" w:type="dxa"/>
            <w:tcBorders>
              <w:top w:val="single" w:color="auto" w:sz="12" w:space="0"/>
              <w:left w:val="nil"/>
              <w:bottom w:val="single" w:color="auto" w:sz="8" w:space="0"/>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Class</w:t>
            </w:r>
          </w:p>
        </w:tc>
        <w:tc>
          <w:tcPr>
            <w:tcW w:w="1620" w:type="dxa"/>
            <w:tcBorders>
              <w:top w:val="single" w:color="auto" w:sz="12" w:space="0"/>
              <w:left w:val="nil"/>
              <w:bottom w:val="single" w:color="auto" w:sz="8" w:space="0"/>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G</w:t>
            </w:r>
            <w:r>
              <w:rPr>
                <w:rFonts w:ascii="Times New Roman" w:hAnsi="Times New Roman" w:eastAsia="宋体" w:cs="Times New Roman"/>
                <w:color w:val="000000"/>
                <w:kern w:val="0"/>
                <w:sz w:val="24"/>
                <w:szCs w:val="24"/>
              </w:rPr>
              <w:t>ene number</w:t>
            </w:r>
          </w:p>
        </w:tc>
      </w:tr>
      <w:tr>
        <w:tblPrEx>
          <w:tblCellMar>
            <w:top w:w="0" w:type="dxa"/>
            <w:left w:w="108" w:type="dxa"/>
            <w:bottom w:w="0" w:type="dxa"/>
            <w:right w:w="108" w:type="dxa"/>
          </w:tblCellMar>
        </w:tblPrEx>
        <w:trPr>
          <w:trHeight w:val="510" w:hRule="atLeast"/>
          <w:jc w:val="center"/>
        </w:trPr>
        <w:tc>
          <w:tcPr>
            <w:tcW w:w="623" w:type="dxa"/>
            <w:tcBorders>
              <w:top w:val="single" w:color="auto" w:sz="8" w:space="0"/>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w:t>
            </w:r>
          </w:p>
        </w:tc>
        <w:tc>
          <w:tcPr>
            <w:tcW w:w="2187" w:type="dxa"/>
            <w:tcBorders>
              <w:top w:val="single" w:color="auto" w:sz="8" w:space="0"/>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single" w:color="auto" w:sz="8" w:space="0"/>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reproduction</w:t>
            </w:r>
          </w:p>
        </w:tc>
        <w:tc>
          <w:tcPr>
            <w:tcW w:w="1620" w:type="dxa"/>
            <w:tcBorders>
              <w:top w:val="single" w:color="auto" w:sz="8" w:space="0"/>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 killing</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immune system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13</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behavior</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5</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metabolic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77</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6</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137</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7</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reproductive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8</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adhesion</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16</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9</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signaling</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40</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10</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multicellular organismal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56</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11</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developmental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54</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12</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growth</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13</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locomotion</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15</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14</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single-organism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123</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15</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rhythmic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16</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response to stimulus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64</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17</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localization</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46</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18</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multi-organism process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14</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19</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regulation</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92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20</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 organization or biogenesis</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47</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21</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Biological Process</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 aggregation</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22</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transcription factor activity, protein binding</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23</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nucleic acid binding transcription factor activity</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9</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24</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catalytic activity</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50</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25</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signal transducer activity</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17</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26</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structural molecule activity</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27</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transporter activity</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28</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binding</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107</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29</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chemoattractant activity</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30</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transducer activity</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15</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31</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molecular function regulator</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32</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extracellular region</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14</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33</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149</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34</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membrane</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85</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35</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 junction</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36</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extracellular matrix</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9</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37</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membrane-enclosed lumen</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37</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38</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macromolecular complex</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39</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organelle</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111</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40</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extracellular matrix component</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41</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extracellular region part</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10</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42</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organelle part</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75</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43</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membrane part</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70</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44</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synapse part</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9</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45</w:t>
            </w:r>
          </w:p>
        </w:tc>
        <w:tc>
          <w:tcPr>
            <w:tcW w:w="2187"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 part</w:t>
            </w:r>
          </w:p>
        </w:tc>
        <w:tc>
          <w:tcPr>
            <w:tcW w:w="1620" w:type="dxa"/>
            <w:tcBorders>
              <w:top w:val="nil"/>
              <w:left w:val="nil"/>
              <w:bottom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149</w:t>
            </w:r>
          </w:p>
        </w:tc>
      </w:tr>
      <w:tr>
        <w:tblPrEx>
          <w:tblCellMar>
            <w:top w:w="0" w:type="dxa"/>
            <w:left w:w="108" w:type="dxa"/>
            <w:bottom w:w="0" w:type="dxa"/>
            <w:right w:w="108" w:type="dxa"/>
          </w:tblCellMar>
        </w:tblPrEx>
        <w:trPr>
          <w:trHeight w:val="510" w:hRule="atLeast"/>
          <w:jc w:val="center"/>
        </w:trPr>
        <w:tc>
          <w:tcPr>
            <w:tcW w:w="623" w:type="dxa"/>
            <w:tcBorders>
              <w:top w:val="nil"/>
              <w:left w:val="nil"/>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46</w:t>
            </w:r>
          </w:p>
        </w:tc>
        <w:tc>
          <w:tcPr>
            <w:tcW w:w="2187" w:type="dxa"/>
            <w:tcBorders>
              <w:top w:val="nil"/>
              <w:left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synapse</w:t>
            </w:r>
          </w:p>
        </w:tc>
        <w:tc>
          <w:tcPr>
            <w:tcW w:w="1620" w:type="dxa"/>
            <w:tcBorders>
              <w:top w:val="nil"/>
              <w:left w:val="nil"/>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w:t>
            </w:r>
          </w:p>
        </w:tc>
      </w:tr>
      <w:tr>
        <w:tblPrEx>
          <w:tblCellMar>
            <w:top w:w="0" w:type="dxa"/>
            <w:left w:w="108" w:type="dxa"/>
            <w:bottom w:w="0" w:type="dxa"/>
            <w:right w:w="108" w:type="dxa"/>
          </w:tblCellMar>
        </w:tblPrEx>
        <w:trPr>
          <w:trHeight w:val="510" w:hRule="atLeast"/>
          <w:jc w:val="center"/>
        </w:trPr>
        <w:tc>
          <w:tcPr>
            <w:tcW w:w="623" w:type="dxa"/>
            <w:tcBorders>
              <w:top w:val="nil"/>
              <w:left w:val="nil"/>
              <w:bottom w:val="single" w:color="auto" w:sz="12" w:space="0"/>
              <w:right w:val="nil"/>
            </w:tcBorders>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cs="Times New Roman"/>
                <w:color w:val="000000"/>
                <w:sz w:val="24"/>
                <w:szCs w:val="24"/>
              </w:rPr>
              <w:t>47</w:t>
            </w:r>
          </w:p>
        </w:tc>
        <w:tc>
          <w:tcPr>
            <w:tcW w:w="2187" w:type="dxa"/>
            <w:tcBorders>
              <w:top w:val="nil"/>
              <w:left w:val="nil"/>
              <w:bottom w:val="single" w:color="auto" w:sz="12" w:space="0"/>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Cellular Component</w:t>
            </w:r>
          </w:p>
        </w:tc>
        <w:tc>
          <w:tcPr>
            <w:tcW w:w="4420" w:type="dxa"/>
            <w:tcBorders>
              <w:top w:val="nil"/>
              <w:left w:val="nil"/>
              <w:bottom w:val="single" w:color="auto" w:sz="12" w:space="0"/>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supramolecular fiber</w:t>
            </w:r>
          </w:p>
        </w:tc>
        <w:tc>
          <w:tcPr>
            <w:tcW w:w="1620" w:type="dxa"/>
            <w:tcBorders>
              <w:top w:val="nil"/>
              <w:left w:val="nil"/>
              <w:bottom w:val="single" w:color="auto" w:sz="12" w:space="0"/>
              <w:right w:val="nil"/>
            </w:tcBorders>
            <w:shd w:val="clear" w:color="auto" w:fill="auto"/>
            <w:noWrap/>
            <w:vAlign w:val="center"/>
          </w:tcPr>
          <w:p>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w:t>
            </w:r>
          </w:p>
        </w:tc>
      </w:tr>
    </w:tbl>
    <w:p>
      <w:pPr>
        <w:spacing w:line="360" w:lineRule="auto"/>
        <w:rPr>
          <w:rFonts w:ascii="Times New Roman" w:hAnsi="Times New Roman" w:cs="Times New Roman"/>
          <w:sz w:val="24"/>
          <w:szCs w:val="24"/>
        </w:rPr>
      </w:pPr>
    </w:p>
    <w:p>
      <w:pPr>
        <w:widowControl/>
        <w:jc w:val="left"/>
        <w:rPr>
          <w:rFonts w:ascii="Times New Roman" w:hAnsi="Times New Roman" w:cs="Times New Roman"/>
          <w:szCs w:val="21"/>
        </w:rPr>
      </w:pPr>
      <w:r>
        <w:rPr>
          <w:rFonts w:ascii="Times New Roman" w:hAnsi="Times New Roman" w:cs="Times New Roman"/>
          <w:szCs w:val="21"/>
        </w:rPr>
        <w:br w:type="page"/>
      </w:r>
    </w:p>
    <w:p>
      <w:pPr>
        <w:widowControl/>
        <w:spacing w:line="360" w:lineRule="auto"/>
        <w:jc w:val="left"/>
        <w:rPr>
          <w:rFonts w:ascii="Times New Roman" w:hAnsi="Times New Roman"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default" w:ascii="Times New Roman" w:hAnsi="Times New Roman" w:cs="Times New Roman"/>
          <w:sz w:val="24"/>
          <w:szCs w:val="24"/>
          <w:lang w:val="en-US" w:eastAsia="zh-CN"/>
        </w:rPr>
        <w:t>11</w:t>
      </w:r>
      <w:r>
        <w:rPr>
          <w:rFonts w:ascii="Times New Roman" w:hAnsi="Times New Roman" w:cs="Times New Roman"/>
          <w:sz w:val="24"/>
          <w:szCs w:val="24"/>
        </w:rPr>
        <w:t xml:space="preserve"> </w:t>
      </w:r>
      <w:r>
        <w:rPr>
          <w:rFonts w:ascii="Times New Roman" w:hAnsi="Times New Roman" w:cs="Times New Roman" w:eastAsiaTheme="minorEastAsia"/>
          <w:sz w:val="24"/>
          <w:szCs w:val="24"/>
        </w:rPr>
        <w:t xml:space="preserve">Summarize of sequence mapping of three tissues in </w:t>
      </w:r>
      <w:r>
        <w:rPr>
          <w:rFonts w:hint="default" w:ascii="Times New Roman" w:hAnsi="Times New Roman" w:cs="Times New Roman" w:eastAsiaTheme="minorEastAsia"/>
          <w:sz w:val="24"/>
          <w:szCs w:val="24"/>
          <w:lang w:val="en-US" w:eastAsia="zh-CN"/>
        </w:rPr>
        <w:t>Shaoxing ducks and mallards</w:t>
      </w:r>
    </w:p>
    <w:tbl>
      <w:tblPr>
        <w:tblStyle w:val="21"/>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759"/>
        <w:gridCol w:w="1218"/>
        <w:gridCol w:w="1276"/>
        <w:gridCol w:w="1092"/>
        <w:gridCol w:w="1195"/>
        <w:gridCol w:w="1195"/>
        <w:gridCol w:w="11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759" w:type="dxa"/>
            <w:tcBorders>
              <w:top w:val="single" w:color="auto" w:sz="12" w:space="0"/>
              <w:bottom w:val="single" w:color="auto" w:sz="8" w:space="0"/>
            </w:tcBorders>
          </w:tcPr>
          <w:p>
            <w:pPr>
              <w:autoSpaceDE w:val="0"/>
              <w:autoSpaceDN w:val="0"/>
              <w:adjustRightInd w:val="0"/>
              <w:spacing w:line="360" w:lineRule="auto"/>
              <w:rPr>
                <w:rFonts w:ascii="Times New Roman" w:hAnsi="Times New Roman" w:eastAsia="宋体" w:cs="Times New Roman"/>
                <w:sz w:val="24"/>
                <w:szCs w:val="24"/>
              </w:rPr>
            </w:pPr>
          </w:p>
        </w:tc>
        <w:tc>
          <w:tcPr>
            <w:tcW w:w="1218" w:type="dxa"/>
            <w:tcBorders>
              <w:top w:val="single" w:color="auto" w:sz="12" w:space="0"/>
              <w:bottom w:val="single" w:color="auto" w:sz="8" w:space="0"/>
            </w:tcBorders>
          </w:tcPr>
          <w:p>
            <w:pPr>
              <w:autoSpaceDE w:val="0"/>
              <w:autoSpaceDN w:val="0"/>
              <w:adjustRightIn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MA_Muscle</w:t>
            </w:r>
          </w:p>
        </w:tc>
        <w:tc>
          <w:tcPr>
            <w:tcW w:w="1276" w:type="dxa"/>
            <w:tcBorders>
              <w:top w:val="single" w:color="auto" w:sz="12" w:space="0"/>
              <w:bottom w:val="single" w:color="auto" w:sz="8" w:space="0"/>
            </w:tcBorders>
          </w:tcPr>
          <w:p>
            <w:pPr>
              <w:autoSpaceDE w:val="0"/>
              <w:autoSpaceDN w:val="0"/>
              <w:adjustRightIn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SX_Muscle</w:t>
            </w:r>
          </w:p>
        </w:tc>
        <w:tc>
          <w:tcPr>
            <w:tcW w:w="1092" w:type="dxa"/>
            <w:tcBorders>
              <w:top w:val="single" w:color="auto" w:sz="12" w:space="0"/>
              <w:bottom w:val="single" w:color="auto" w:sz="8" w:space="0"/>
            </w:tcBorders>
          </w:tcPr>
          <w:p>
            <w:pPr>
              <w:autoSpaceDE w:val="0"/>
              <w:autoSpaceDN w:val="0"/>
              <w:adjustRightIn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MA_Liver</w:t>
            </w:r>
          </w:p>
        </w:tc>
        <w:tc>
          <w:tcPr>
            <w:tcW w:w="1195" w:type="dxa"/>
            <w:tcBorders>
              <w:top w:val="single" w:color="auto" w:sz="12" w:space="0"/>
              <w:bottom w:val="single" w:color="auto" w:sz="8" w:space="0"/>
            </w:tcBorders>
          </w:tcPr>
          <w:p>
            <w:pPr>
              <w:autoSpaceDE w:val="0"/>
              <w:autoSpaceDN w:val="0"/>
              <w:adjustRightIn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SX_Liver</w:t>
            </w:r>
          </w:p>
        </w:tc>
        <w:tc>
          <w:tcPr>
            <w:tcW w:w="1195" w:type="dxa"/>
            <w:tcBorders>
              <w:top w:val="single" w:color="auto" w:sz="12" w:space="0"/>
              <w:bottom w:val="single" w:color="auto" w:sz="8" w:space="0"/>
            </w:tcBorders>
          </w:tcPr>
          <w:p>
            <w:pPr>
              <w:autoSpaceDE w:val="0"/>
              <w:autoSpaceDN w:val="0"/>
              <w:adjustRightIn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MA_Cb</w:t>
            </w:r>
          </w:p>
        </w:tc>
        <w:tc>
          <w:tcPr>
            <w:tcW w:w="1196" w:type="dxa"/>
            <w:tcBorders>
              <w:top w:val="single" w:color="auto" w:sz="12" w:space="0"/>
              <w:bottom w:val="single" w:color="auto" w:sz="8" w:space="0"/>
            </w:tcBorders>
          </w:tcPr>
          <w:p>
            <w:pPr>
              <w:autoSpaceDE w:val="0"/>
              <w:autoSpaceDN w:val="0"/>
              <w:adjustRightIn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SX_Cb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759" w:type="dxa"/>
            <w:tcBorders>
              <w:top w:val="single" w:color="auto" w:sz="8" w:space="0"/>
            </w:tcBorders>
            <w:vAlign w:val="center"/>
          </w:tcPr>
          <w:p>
            <w:pPr>
              <w:widowControl/>
              <w:spacing w:line="360" w:lineRule="auto"/>
              <w:jc w:val="left"/>
              <w:rPr>
                <w:rFonts w:ascii="Times New Roman" w:hAnsi="Times New Roman" w:cs="Times New Roman"/>
                <w:color w:val="000000"/>
                <w:sz w:val="24"/>
                <w:szCs w:val="24"/>
              </w:rPr>
            </w:pPr>
            <w:r>
              <w:rPr>
                <w:rFonts w:ascii="Times New Roman" w:hAnsi="Times New Roman" w:cs="Times New Roman"/>
                <w:color w:val="000000"/>
                <w:sz w:val="24"/>
                <w:szCs w:val="24"/>
              </w:rPr>
              <w:t>Total Reads</w:t>
            </w:r>
          </w:p>
        </w:tc>
        <w:tc>
          <w:tcPr>
            <w:tcW w:w="1218" w:type="dxa"/>
            <w:tcBorders>
              <w:top w:val="single" w:color="auto" w:sz="8" w:space="0"/>
            </w:tcBorders>
            <w:vAlign w:val="center"/>
          </w:tcPr>
          <w:p>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41149861</w:t>
            </w:r>
          </w:p>
        </w:tc>
        <w:tc>
          <w:tcPr>
            <w:tcW w:w="1276" w:type="dxa"/>
            <w:tcBorders>
              <w:top w:val="single" w:color="auto" w:sz="8" w:space="0"/>
            </w:tcBorders>
            <w:vAlign w:val="center"/>
          </w:tcPr>
          <w:p>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40551060</w:t>
            </w:r>
          </w:p>
        </w:tc>
        <w:tc>
          <w:tcPr>
            <w:tcW w:w="1092" w:type="dxa"/>
            <w:tcBorders>
              <w:top w:val="single" w:color="auto" w:sz="8" w:space="0"/>
            </w:tcBorders>
            <w:vAlign w:val="center"/>
          </w:tcPr>
          <w:p>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40465345</w:t>
            </w:r>
          </w:p>
        </w:tc>
        <w:tc>
          <w:tcPr>
            <w:tcW w:w="1195" w:type="dxa"/>
            <w:tcBorders>
              <w:top w:val="single" w:color="auto" w:sz="8" w:space="0"/>
            </w:tcBorders>
            <w:vAlign w:val="center"/>
          </w:tcPr>
          <w:p>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40394843</w:t>
            </w:r>
          </w:p>
        </w:tc>
        <w:tc>
          <w:tcPr>
            <w:tcW w:w="1195" w:type="dxa"/>
            <w:tcBorders>
              <w:top w:val="single" w:color="auto" w:sz="8" w:space="0"/>
            </w:tcBorders>
            <w:vAlign w:val="center"/>
          </w:tcPr>
          <w:p>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40550410</w:t>
            </w:r>
          </w:p>
        </w:tc>
        <w:tc>
          <w:tcPr>
            <w:tcW w:w="1196" w:type="dxa"/>
            <w:tcBorders>
              <w:top w:val="single" w:color="auto" w:sz="8" w:space="0"/>
            </w:tcBorders>
            <w:vAlign w:val="center"/>
          </w:tcPr>
          <w:p>
            <w:pPr>
              <w:widowControl/>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40799808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759" w:type="dxa"/>
            <w:vAlign w:val="center"/>
          </w:tcPr>
          <w:p>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Mapped Reads</w:t>
            </w:r>
          </w:p>
        </w:tc>
        <w:tc>
          <w:tcPr>
            <w:tcW w:w="1218"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21742848</w:t>
            </w:r>
          </w:p>
        </w:tc>
        <w:tc>
          <w:tcPr>
            <w:tcW w:w="1276"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24305767</w:t>
            </w:r>
          </w:p>
        </w:tc>
        <w:tc>
          <w:tcPr>
            <w:tcW w:w="1092"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21939527</w:t>
            </w:r>
          </w:p>
        </w:tc>
        <w:tc>
          <w:tcPr>
            <w:tcW w:w="1195"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22676133</w:t>
            </w:r>
          </w:p>
        </w:tc>
        <w:tc>
          <w:tcPr>
            <w:tcW w:w="1195"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28458608</w:t>
            </w:r>
          </w:p>
        </w:tc>
        <w:tc>
          <w:tcPr>
            <w:tcW w:w="1196"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28632319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759" w:type="dxa"/>
            <w:vAlign w:val="center"/>
          </w:tcPr>
          <w:p>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Mapping Rate</w:t>
            </w:r>
          </w:p>
        </w:tc>
        <w:tc>
          <w:tcPr>
            <w:tcW w:w="1218"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0.5286</w:t>
            </w:r>
          </w:p>
        </w:tc>
        <w:tc>
          <w:tcPr>
            <w:tcW w:w="1276"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0.5994</w:t>
            </w:r>
          </w:p>
        </w:tc>
        <w:tc>
          <w:tcPr>
            <w:tcW w:w="1092"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0.5427</w:t>
            </w:r>
          </w:p>
        </w:tc>
        <w:tc>
          <w:tcPr>
            <w:tcW w:w="1195"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0.5612</w:t>
            </w:r>
          </w:p>
        </w:tc>
        <w:tc>
          <w:tcPr>
            <w:tcW w:w="1195"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0.7019</w:t>
            </w:r>
          </w:p>
        </w:tc>
        <w:tc>
          <w:tcPr>
            <w:tcW w:w="1196"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759" w:type="dxa"/>
            <w:vAlign w:val="center"/>
          </w:tcPr>
          <w:p>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Unmapped Reads</w:t>
            </w:r>
          </w:p>
        </w:tc>
        <w:tc>
          <w:tcPr>
            <w:tcW w:w="1218"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19407013</w:t>
            </w:r>
          </w:p>
        </w:tc>
        <w:tc>
          <w:tcPr>
            <w:tcW w:w="1276"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16245293</w:t>
            </w:r>
          </w:p>
        </w:tc>
        <w:tc>
          <w:tcPr>
            <w:tcW w:w="1092"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18525818</w:t>
            </w:r>
          </w:p>
        </w:tc>
        <w:tc>
          <w:tcPr>
            <w:tcW w:w="1195"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17718709</w:t>
            </w:r>
          </w:p>
        </w:tc>
        <w:tc>
          <w:tcPr>
            <w:tcW w:w="1195"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12091802</w:t>
            </w:r>
          </w:p>
        </w:tc>
        <w:tc>
          <w:tcPr>
            <w:tcW w:w="1196"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12167489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759" w:type="dxa"/>
            <w:vAlign w:val="center"/>
          </w:tcPr>
          <w:p>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Multi Map Reads</w:t>
            </w:r>
          </w:p>
        </w:tc>
        <w:tc>
          <w:tcPr>
            <w:tcW w:w="1218"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337963</w:t>
            </w:r>
          </w:p>
        </w:tc>
        <w:tc>
          <w:tcPr>
            <w:tcW w:w="1276"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394682</w:t>
            </w:r>
          </w:p>
        </w:tc>
        <w:tc>
          <w:tcPr>
            <w:tcW w:w="1092"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375501</w:t>
            </w:r>
          </w:p>
        </w:tc>
        <w:tc>
          <w:tcPr>
            <w:tcW w:w="1195"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364502</w:t>
            </w:r>
          </w:p>
        </w:tc>
        <w:tc>
          <w:tcPr>
            <w:tcW w:w="1195"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183888</w:t>
            </w:r>
          </w:p>
        </w:tc>
        <w:tc>
          <w:tcPr>
            <w:tcW w:w="1196" w:type="dxa"/>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183684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759" w:type="dxa"/>
            <w:tcBorders>
              <w:bottom w:val="single" w:color="auto" w:sz="12" w:space="0"/>
            </w:tcBorders>
            <w:vAlign w:val="center"/>
          </w:tcPr>
          <w:p>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Multi Map Rate</w:t>
            </w:r>
          </w:p>
        </w:tc>
        <w:tc>
          <w:tcPr>
            <w:tcW w:w="1218" w:type="dxa"/>
            <w:tcBorders>
              <w:bottom w:val="single" w:color="auto" w:sz="12" w:space="0"/>
            </w:tcBorders>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0.0082</w:t>
            </w:r>
          </w:p>
        </w:tc>
        <w:tc>
          <w:tcPr>
            <w:tcW w:w="1276" w:type="dxa"/>
            <w:tcBorders>
              <w:bottom w:val="single" w:color="auto" w:sz="12" w:space="0"/>
            </w:tcBorders>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0.0098</w:t>
            </w:r>
          </w:p>
        </w:tc>
        <w:tc>
          <w:tcPr>
            <w:tcW w:w="1092" w:type="dxa"/>
            <w:tcBorders>
              <w:bottom w:val="single" w:color="auto" w:sz="12" w:space="0"/>
            </w:tcBorders>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0.0093</w:t>
            </w:r>
          </w:p>
        </w:tc>
        <w:tc>
          <w:tcPr>
            <w:tcW w:w="1195" w:type="dxa"/>
            <w:tcBorders>
              <w:bottom w:val="single" w:color="auto" w:sz="12" w:space="0"/>
            </w:tcBorders>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0.009</w:t>
            </w:r>
          </w:p>
        </w:tc>
        <w:tc>
          <w:tcPr>
            <w:tcW w:w="1195" w:type="dxa"/>
            <w:tcBorders>
              <w:bottom w:val="single" w:color="auto" w:sz="12" w:space="0"/>
            </w:tcBorders>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0.0045</w:t>
            </w:r>
          </w:p>
        </w:tc>
        <w:tc>
          <w:tcPr>
            <w:tcW w:w="1196" w:type="dxa"/>
            <w:tcBorders>
              <w:bottom w:val="single" w:color="auto" w:sz="12" w:space="0"/>
            </w:tcBorders>
            <w:vAlign w:val="center"/>
          </w:tcPr>
          <w:p>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0.0045</w:t>
            </w:r>
          </w:p>
        </w:tc>
      </w:tr>
    </w:tbl>
    <w:p>
      <w:pPr>
        <w:rPr>
          <w:rFonts w:ascii="Times New Roman" w:hAnsi="Times New Roman" w:cs="Times New Roman"/>
          <w:sz w:val="24"/>
          <w:szCs w:val="24"/>
        </w:rPr>
      </w:pPr>
    </w:p>
    <w:p>
      <w:pPr>
        <w:widowControl/>
        <w:spacing w:line="360" w:lineRule="auto"/>
        <w:jc w:val="left"/>
        <w:rPr>
          <w:rFonts w:ascii="Times New Roman" w:hAnsi="Times New Roman" w:eastAsia="宋体" w:cs="Times New Roman"/>
          <w:color w:val="000000"/>
          <w:kern w:val="0"/>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2</w:t>
      </w:r>
      <w:r>
        <w:rPr>
          <w:rFonts w:ascii="Times New Roman" w:hAnsi="Times New Roman" w:cs="Times New Roman"/>
          <w:sz w:val="24"/>
          <w:szCs w:val="24"/>
        </w:rPr>
        <w:t xml:space="preserve"> </w:t>
      </w:r>
      <w:r>
        <w:rPr>
          <w:rFonts w:ascii="Times New Roman" w:hAnsi="Times New Roman" w:eastAsia="宋体" w:cs="Times New Roman"/>
          <w:color w:val="000000"/>
          <w:kern w:val="0"/>
          <w:sz w:val="24"/>
          <w:szCs w:val="24"/>
        </w:rPr>
        <w:t>Pathway of KEGG differentially expressed gene in mu</w:t>
      </w:r>
      <w:r>
        <w:rPr>
          <w:rFonts w:hint="eastAsia" w:ascii="Times New Roman" w:hAnsi="Times New Roman" w:eastAsia="宋体" w:cs="Times New Roman"/>
          <w:color w:val="000000"/>
          <w:kern w:val="0"/>
          <w:sz w:val="24"/>
          <w:szCs w:val="24"/>
          <w:lang w:val="en-US" w:eastAsia="zh-CN"/>
        </w:rPr>
        <w:t>s</w:t>
      </w:r>
      <w:r>
        <w:rPr>
          <w:rFonts w:ascii="Times New Roman" w:hAnsi="Times New Roman" w:eastAsia="宋体" w:cs="Times New Roman"/>
          <w:color w:val="000000"/>
          <w:kern w:val="0"/>
          <w:sz w:val="24"/>
          <w:szCs w:val="24"/>
        </w:rPr>
        <w:t>cle</w:t>
      </w:r>
    </w:p>
    <w:tbl>
      <w:tblPr>
        <w:tblStyle w:val="7"/>
        <w:tblW w:w="8430" w:type="dxa"/>
        <w:jc w:val="center"/>
        <w:tblLayout w:type="autofit"/>
        <w:tblCellMar>
          <w:top w:w="15" w:type="dxa"/>
          <w:left w:w="15" w:type="dxa"/>
          <w:bottom w:w="15" w:type="dxa"/>
          <w:right w:w="15" w:type="dxa"/>
        </w:tblCellMar>
      </w:tblPr>
      <w:tblGrid>
        <w:gridCol w:w="4488"/>
        <w:gridCol w:w="1466"/>
        <w:gridCol w:w="1276"/>
        <w:gridCol w:w="1200"/>
      </w:tblGrid>
      <w:tr>
        <w:tblPrEx>
          <w:tblCellMar>
            <w:top w:w="15" w:type="dxa"/>
            <w:left w:w="15" w:type="dxa"/>
            <w:bottom w:w="15" w:type="dxa"/>
            <w:right w:w="15" w:type="dxa"/>
          </w:tblCellMar>
        </w:tblPrEx>
        <w:trPr>
          <w:trHeight w:val="285" w:hRule="atLeast"/>
          <w:jc w:val="center"/>
        </w:trPr>
        <w:tc>
          <w:tcPr>
            <w:tcW w:w="4488" w:type="dxa"/>
            <w:tcBorders>
              <w:top w:val="single" w:color="auto" w:sz="12" w:space="0"/>
              <w:bottom w:val="single" w:color="auto" w:sz="8"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Description</w:t>
            </w:r>
          </w:p>
        </w:tc>
        <w:tc>
          <w:tcPr>
            <w:tcW w:w="1466" w:type="dxa"/>
            <w:tcBorders>
              <w:top w:val="single" w:color="auto" w:sz="12" w:space="0"/>
              <w:bottom w:val="single" w:color="auto" w:sz="8"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Gene DE</w:t>
            </w:r>
          </w:p>
        </w:tc>
        <w:tc>
          <w:tcPr>
            <w:tcW w:w="1276" w:type="dxa"/>
            <w:tcBorders>
              <w:top w:val="single" w:color="auto" w:sz="12" w:space="0"/>
              <w:bottom w:val="single" w:color="auto" w:sz="8"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q value</w:t>
            </w:r>
          </w:p>
        </w:tc>
        <w:tc>
          <w:tcPr>
            <w:tcW w:w="1200" w:type="dxa"/>
            <w:tcBorders>
              <w:top w:val="single" w:color="auto" w:sz="12" w:space="0"/>
              <w:bottom w:val="single" w:color="auto" w:sz="8"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Rich Ratio</w:t>
            </w:r>
          </w:p>
        </w:tc>
      </w:tr>
      <w:tr>
        <w:tblPrEx>
          <w:tblCellMar>
            <w:top w:w="15" w:type="dxa"/>
            <w:left w:w="15" w:type="dxa"/>
            <w:bottom w:w="15" w:type="dxa"/>
            <w:right w:w="15" w:type="dxa"/>
          </w:tblCellMar>
        </w:tblPrEx>
        <w:trPr>
          <w:trHeight w:val="285" w:hRule="atLeast"/>
          <w:jc w:val="center"/>
        </w:trPr>
        <w:tc>
          <w:tcPr>
            <w:tcW w:w="4488" w:type="dxa"/>
            <w:tcBorders>
              <w:top w:val="single" w:color="auto" w:sz="8"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Parkinson disease</w:t>
            </w:r>
          </w:p>
        </w:tc>
        <w:tc>
          <w:tcPr>
            <w:tcW w:w="1466" w:type="dxa"/>
            <w:tcBorders>
              <w:top w:val="single" w:color="auto" w:sz="8"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19</w:t>
            </w:r>
          </w:p>
        </w:tc>
        <w:tc>
          <w:tcPr>
            <w:tcW w:w="1276" w:type="dxa"/>
            <w:tcBorders>
              <w:top w:val="single" w:color="auto" w:sz="8"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3.78E-11</w:t>
            </w:r>
          </w:p>
        </w:tc>
        <w:tc>
          <w:tcPr>
            <w:tcW w:w="1200" w:type="dxa"/>
            <w:tcBorders>
              <w:top w:val="single" w:color="auto" w:sz="8"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8.62</w:t>
            </w:r>
          </w:p>
        </w:tc>
      </w:tr>
      <w:tr>
        <w:tblPrEx>
          <w:tblCellMar>
            <w:top w:w="15" w:type="dxa"/>
            <w:left w:w="15" w:type="dxa"/>
            <w:bottom w:w="15" w:type="dxa"/>
            <w:right w:w="15" w:type="dxa"/>
          </w:tblCellMar>
        </w:tblPrEx>
        <w:trPr>
          <w:trHeight w:val="285" w:hRule="atLeast"/>
          <w:jc w:val="center"/>
        </w:trPr>
        <w:tc>
          <w:tcPr>
            <w:tcW w:w="4488"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Oxidative phosphorylation</w:t>
            </w:r>
          </w:p>
        </w:tc>
        <w:tc>
          <w:tcPr>
            <w:tcW w:w="146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18</w:t>
            </w:r>
          </w:p>
        </w:tc>
        <w:tc>
          <w:tcPr>
            <w:tcW w:w="127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4.62E-10</w:t>
            </w:r>
          </w:p>
        </w:tc>
        <w:tc>
          <w:tcPr>
            <w:tcW w:w="1200"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7.88</w:t>
            </w:r>
          </w:p>
        </w:tc>
      </w:tr>
      <w:tr>
        <w:tblPrEx>
          <w:tblCellMar>
            <w:top w:w="15" w:type="dxa"/>
            <w:left w:w="15" w:type="dxa"/>
            <w:bottom w:w="15" w:type="dxa"/>
            <w:right w:w="15" w:type="dxa"/>
          </w:tblCellMar>
        </w:tblPrEx>
        <w:trPr>
          <w:trHeight w:val="285" w:hRule="atLeast"/>
          <w:jc w:val="center"/>
        </w:trPr>
        <w:tc>
          <w:tcPr>
            <w:tcW w:w="4488"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Huntington disease</w:t>
            </w:r>
          </w:p>
        </w:tc>
        <w:tc>
          <w:tcPr>
            <w:tcW w:w="146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w:t>
            </w:r>
          </w:p>
        </w:tc>
        <w:tc>
          <w:tcPr>
            <w:tcW w:w="127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8.99E-09</w:t>
            </w:r>
          </w:p>
        </w:tc>
        <w:tc>
          <w:tcPr>
            <w:tcW w:w="1200"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5.68</w:t>
            </w:r>
          </w:p>
        </w:tc>
      </w:tr>
      <w:tr>
        <w:tblPrEx>
          <w:tblCellMar>
            <w:top w:w="15" w:type="dxa"/>
            <w:left w:w="15" w:type="dxa"/>
            <w:bottom w:w="15" w:type="dxa"/>
            <w:right w:w="15" w:type="dxa"/>
          </w:tblCellMar>
        </w:tblPrEx>
        <w:trPr>
          <w:trHeight w:val="285" w:hRule="atLeast"/>
          <w:jc w:val="center"/>
        </w:trPr>
        <w:tc>
          <w:tcPr>
            <w:tcW w:w="4488"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Alzheimer disease</w:t>
            </w:r>
          </w:p>
        </w:tc>
        <w:tc>
          <w:tcPr>
            <w:tcW w:w="146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19</w:t>
            </w:r>
          </w:p>
        </w:tc>
        <w:tc>
          <w:tcPr>
            <w:tcW w:w="127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8.99E-09</w:t>
            </w:r>
          </w:p>
        </w:tc>
        <w:tc>
          <w:tcPr>
            <w:tcW w:w="1200"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5.99</w:t>
            </w:r>
          </w:p>
        </w:tc>
      </w:tr>
      <w:tr>
        <w:tblPrEx>
          <w:tblCellMar>
            <w:top w:w="15" w:type="dxa"/>
            <w:left w:w="15" w:type="dxa"/>
            <w:bottom w:w="15" w:type="dxa"/>
            <w:right w:w="15" w:type="dxa"/>
          </w:tblCellMar>
        </w:tblPrEx>
        <w:trPr>
          <w:trHeight w:val="285" w:hRule="atLeast"/>
          <w:jc w:val="center"/>
        </w:trPr>
        <w:tc>
          <w:tcPr>
            <w:tcW w:w="4488"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Fatty acid degradation</w:t>
            </w:r>
          </w:p>
        </w:tc>
        <w:tc>
          <w:tcPr>
            <w:tcW w:w="146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p>
        </w:tc>
        <w:tc>
          <w:tcPr>
            <w:tcW w:w="127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6.09E-03</w:t>
            </w:r>
          </w:p>
        </w:tc>
        <w:tc>
          <w:tcPr>
            <w:tcW w:w="1200"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7.20</w:t>
            </w:r>
          </w:p>
        </w:tc>
      </w:tr>
      <w:tr>
        <w:tblPrEx>
          <w:tblCellMar>
            <w:top w:w="15" w:type="dxa"/>
            <w:left w:w="15" w:type="dxa"/>
            <w:bottom w:w="15" w:type="dxa"/>
            <w:right w:w="15" w:type="dxa"/>
          </w:tblCellMar>
        </w:tblPrEx>
        <w:trPr>
          <w:trHeight w:val="285" w:hRule="atLeast"/>
          <w:jc w:val="center"/>
        </w:trPr>
        <w:tc>
          <w:tcPr>
            <w:tcW w:w="4488"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Cardiac muscle contraction</w:t>
            </w:r>
          </w:p>
        </w:tc>
        <w:tc>
          <w:tcPr>
            <w:tcW w:w="146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p>
        </w:tc>
        <w:tc>
          <w:tcPr>
            <w:tcW w:w="1276"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2.56E-02</w:t>
            </w:r>
          </w:p>
        </w:tc>
        <w:tc>
          <w:tcPr>
            <w:tcW w:w="1200" w:type="dxa"/>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5.44</w:t>
            </w:r>
          </w:p>
        </w:tc>
      </w:tr>
      <w:tr>
        <w:tblPrEx>
          <w:tblCellMar>
            <w:top w:w="15" w:type="dxa"/>
            <w:left w:w="15" w:type="dxa"/>
            <w:bottom w:w="15" w:type="dxa"/>
            <w:right w:w="15" w:type="dxa"/>
          </w:tblCellMar>
        </w:tblPrEx>
        <w:trPr>
          <w:trHeight w:val="285" w:hRule="atLeast"/>
          <w:jc w:val="center"/>
        </w:trPr>
        <w:tc>
          <w:tcPr>
            <w:tcW w:w="4488" w:type="dxa"/>
            <w:tcBorders>
              <w:bottom w:val="single" w:color="auto" w:sz="12"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Valine, leucine and isoleucine degradation</w:t>
            </w:r>
          </w:p>
        </w:tc>
        <w:tc>
          <w:tcPr>
            <w:tcW w:w="1466" w:type="dxa"/>
            <w:tcBorders>
              <w:bottom w:val="single" w:color="auto" w:sz="12"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p>
        </w:tc>
        <w:tc>
          <w:tcPr>
            <w:tcW w:w="1276" w:type="dxa"/>
            <w:tcBorders>
              <w:bottom w:val="single" w:color="auto" w:sz="12"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2.56E-02</w:t>
            </w:r>
          </w:p>
        </w:tc>
        <w:tc>
          <w:tcPr>
            <w:tcW w:w="1200" w:type="dxa"/>
            <w:tcBorders>
              <w:bottom w:val="single" w:color="auto" w:sz="12" w:space="0"/>
            </w:tcBorders>
            <w:vAlign w:val="center"/>
          </w:tcPr>
          <w:p>
            <w:pPr>
              <w:widowControl/>
              <w:spacing w:line="36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5.31</w:t>
            </w:r>
          </w:p>
        </w:tc>
      </w:tr>
    </w:tbl>
    <w:p>
      <w:pPr>
        <w:widowControl/>
        <w:spacing w:line="360" w:lineRule="auto"/>
        <w:jc w:val="left"/>
        <w:rPr>
          <w:rFonts w:ascii="Times New Roman" w:hAnsi="Times New Roman" w:eastAsia="宋体" w:cs="Times New Roman"/>
          <w:color w:val="000000"/>
          <w:kern w:val="0"/>
          <w:sz w:val="24"/>
          <w:szCs w:val="24"/>
        </w:rPr>
      </w:pPr>
    </w:p>
    <w:p>
      <w:pPr>
        <w:widowControl/>
        <w:spacing w:line="360" w:lineRule="auto"/>
        <w:jc w:val="left"/>
        <w:rPr>
          <w:rFonts w:ascii="Times New Roman" w:hAnsi="Times New Roman" w:eastAsia="宋体" w:cs="Times New Roman"/>
          <w:color w:val="000000"/>
          <w:kern w:val="0"/>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3</w:t>
      </w:r>
      <w:r>
        <w:rPr>
          <w:rFonts w:ascii="Times New Roman" w:hAnsi="Times New Roman" w:cs="Times New Roman"/>
          <w:color w:val="000000"/>
          <w:sz w:val="24"/>
          <w:szCs w:val="24"/>
        </w:rPr>
        <w:t xml:space="preserve"> The </w:t>
      </w:r>
      <w:r>
        <w:rPr>
          <w:rFonts w:hint="eastAsia" w:ascii="Times New Roman" w:hAnsi="Times New Roman" w:cs="Times New Roman"/>
          <w:color w:val="000000"/>
          <w:sz w:val="24"/>
          <w:szCs w:val="24"/>
        </w:rPr>
        <w:t>down-</w:t>
      </w:r>
      <w:r>
        <w:rPr>
          <w:rFonts w:ascii="Times New Roman" w:hAnsi="Times New Roman" w:cs="Times New Roman"/>
          <w:color w:val="000000"/>
          <w:sz w:val="24"/>
          <w:szCs w:val="24"/>
        </w:rPr>
        <w:t xml:space="preserve">regulated genes in muscle of </w:t>
      </w:r>
      <w:r>
        <w:rPr>
          <w:rFonts w:hint="eastAsia" w:ascii="Times New Roman" w:hAnsi="Times New Roman" w:cs="Times New Roman"/>
          <w:color w:val="000000"/>
          <w:sz w:val="24"/>
          <w:szCs w:val="24"/>
          <w:lang w:val="en-US" w:eastAsia="zh-CN"/>
        </w:rPr>
        <w:t>Shaoxing ducks</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(top</w:t>
      </w:r>
      <w:r>
        <w:rPr>
          <w:rFonts w:ascii="Times New Roman" w:hAnsi="Times New Roman" w:cs="Times New Roman"/>
          <w:color w:val="000000"/>
          <w:sz w:val="24"/>
          <w:szCs w:val="24"/>
        </w:rPr>
        <w:t xml:space="preserve"> 20</w:t>
      </w:r>
      <w:r>
        <w:rPr>
          <w:rFonts w:hint="eastAsia" w:ascii="Times New Roman" w:hAnsi="Times New Roman" w:cs="Times New Roman"/>
          <w:color w:val="000000"/>
          <w:sz w:val="24"/>
          <w:szCs w:val="24"/>
        </w:rPr>
        <w:t>)</w:t>
      </w:r>
    </w:p>
    <w:tbl>
      <w:tblPr>
        <w:tblStyle w:val="7"/>
        <w:tblW w:w="8931" w:type="dxa"/>
        <w:tblInd w:w="-284" w:type="dxa"/>
        <w:tblLayout w:type="autofit"/>
        <w:tblCellMar>
          <w:top w:w="15" w:type="dxa"/>
          <w:left w:w="15" w:type="dxa"/>
          <w:bottom w:w="15" w:type="dxa"/>
          <w:right w:w="15" w:type="dxa"/>
        </w:tblCellMar>
      </w:tblPr>
      <w:tblGrid>
        <w:gridCol w:w="2552"/>
        <w:gridCol w:w="5245"/>
        <w:gridCol w:w="1134"/>
      </w:tblGrid>
      <w:tr>
        <w:tblPrEx>
          <w:tblCellMar>
            <w:top w:w="15" w:type="dxa"/>
            <w:left w:w="15" w:type="dxa"/>
            <w:bottom w:w="15" w:type="dxa"/>
            <w:right w:w="15" w:type="dxa"/>
          </w:tblCellMar>
        </w:tblPrEx>
        <w:trPr>
          <w:trHeight w:val="285" w:hRule="atLeast"/>
        </w:trPr>
        <w:tc>
          <w:tcPr>
            <w:tcW w:w="2552"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Gene</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Name</w:t>
            </w:r>
          </w:p>
        </w:tc>
        <w:tc>
          <w:tcPr>
            <w:tcW w:w="5245"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Description</w:t>
            </w:r>
          </w:p>
        </w:tc>
        <w:tc>
          <w:tcPr>
            <w:tcW w:w="1134"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w:t>
            </w:r>
          </w:p>
        </w:tc>
      </w:tr>
      <w:tr>
        <w:tblPrEx>
          <w:tblCellMar>
            <w:top w:w="15" w:type="dxa"/>
            <w:left w:w="15" w:type="dxa"/>
            <w:bottom w:w="15" w:type="dxa"/>
            <w:right w:w="15" w:type="dxa"/>
          </w:tblCellMar>
        </w:tblPrEx>
        <w:trPr>
          <w:trHeight w:val="285" w:hRule="atLeast"/>
        </w:trPr>
        <w:tc>
          <w:tcPr>
            <w:tcW w:w="2552" w:type="dxa"/>
            <w:tcBorders>
              <w:top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ENSAPLG00000008730</w:t>
            </w:r>
          </w:p>
        </w:tc>
        <w:tc>
          <w:tcPr>
            <w:tcW w:w="5245" w:type="dxa"/>
            <w:tcBorders>
              <w:top w:val="single" w:color="auto" w:sz="8" w:space="0"/>
            </w:tcBorders>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homeodomain-only protein isoform X2</w:t>
            </w:r>
          </w:p>
        </w:tc>
        <w:tc>
          <w:tcPr>
            <w:tcW w:w="1134" w:type="dxa"/>
            <w:tcBorders>
              <w:top w:val="single" w:color="auto" w:sz="8" w:space="0"/>
            </w:tcBorders>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1.250E-20</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SCNN1A</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amiloride-sensitive sodium channel subunit alpha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3.060E-17</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TIPARP</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TCDD-inducible poly [ADP-ribose] polymerase, partial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4.770E-15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ENSAPLG00000000981</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hypothetical protein Anapl_17174, partial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6.300E-12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HYAL1</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Hyaluronidase-1, partial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1.370E-09</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ENSAPLG00000009268</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Syndecan-3, partial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6.550E-07</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NT5DC1</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5'-nucleotidase domain-containing protein 1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1.640E-06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MTMR7</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Myotubularin-related protein 7, partial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6.360E-06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MADD</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MAP kinase-activating death domain protein isoform X19 [Haplochromis burtoni]</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7.780E-06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ENSAPLG00000015931</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lpha-aspartyl dipeptidase-like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7.780E-06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TRIB2</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tribbles homolog 2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7.840E-06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ENSAPLG00000009305</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maltase-glucoamylase, intestinal-like isoform X1</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1.760E-05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ENSAPLG00000000897</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hypothetical protein N301_14584, partial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1.840E-05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SESN1</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sestrin-1 isoform X2</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1.860E-05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ENSAPLG00000003760</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teneurin-2 isoform X2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1.910E-05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ABCC5</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Multidrug resistance-associated protein 5, partial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2.200E-05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F2R</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proteinase-activated receptor 1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2.240E-05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AP3B2</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AP-3 complex subunit beta-2</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2.320E-05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F2RL1</w:t>
            </w:r>
          </w:p>
        </w:tc>
        <w:tc>
          <w:tcPr>
            <w:tcW w:w="5245"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Proteinase-activated receptor 2, partial </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2.720E-05</w:t>
            </w:r>
          </w:p>
        </w:tc>
      </w:tr>
      <w:tr>
        <w:tblPrEx>
          <w:tblCellMar>
            <w:top w:w="15" w:type="dxa"/>
            <w:left w:w="15" w:type="dxa"/>
            <w:bottom w:w="15" w:type="dxa"/>
            <w:right w:w="15" w:type="dxa"/>
          </w:tblCellMar>
        </w:tblPrEx>
        <w:trPr>
          <w:trHeight w:val="285" w:hRule="atLeast"/>
        </w:trPr>
        <w:tc>
          <w:tcPr>
            <w:tcW w:w="2552" w:type="dxa"/>
            <w:tcBorders>
              <w:bottom w:val="single" w:color="auto" w:sz="12"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HHIPL2</w:t>
            </w:r>
          </w:p>
        </w:tc>
        <w:tc>
          <w:tcPr>
            <w:tcW w:w="5245" w:type="dxa"/>
            <w:tcBorders>
              <w:bottom w:val="single" w:color="auto" w:sz="12" w:space="0"/>
            </w:tcBorders>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LOW QUALITY PROTEIN: HHIP-like protein 2 </w:t>
            </w:r>
          </w:p>
        </w:tc>
        <w:tc>
          <w:tcPr>
            <w:tcW w:w="1134" w:type="dxa"/>
            <w:tcBorders>
              <w:bottom w:val="single" w:color="auto" w:sz="12" w:space="0"/>
            </w:tcBorders>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3.000E-05</w:t>
            </w:r>
          </w:p>
        </w:tc>
      </w:tr>
    </w:tbl>
    <w:p>
      <w:pPr>
        <w:spacing w:line="360" w:lineRule="auto"/>
        <w:rPr>
          <w:rFonts w:ascii="Times New Roman" w:hAnsi="Times New Roman" w:eastAsia="宋体" w:cs="Times New Roman"/>
          <w:sz w:val="24"/>
          <w:szCs w:val="24"/>
        </w:rPr>
      </w:pPr>
    </w:p>
    <w:p>
      <w:pPr>
        <w:spacing w:line="360" w:lineRule="auto"/>
        <w:rPr>
          <w:rFonts w:ascii="Times New Roman" w:hAnsi="Times New Roman" w:eastAsia="宋体" w:cs="Times New Roman"/>
          <w:sz w:val="24"/>
          <w:szCs w:val="24"/>
        </w:rPr>
      </w:pPr>
      <w:bookmarkStart w:id="6" w:name="OLE_LINK1"/>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4</w:t>
      </w:r>
      <w:r>
        <w:rPr>
          <w:rFonts w:ascii="Times New Roman" w:hAnsi="Times New Roman" w:cs="Times New Roman"/>
          <w:color w:val="000000"/>
          <w:sz w:val="24"/>
          <w:szCs w:val="24"/>
        </w:rPr>
        <w:t xml:space="preserve"> The </w:t>
      </w:r>
      <w:r>
        <w:rPr>
          <w:rFonts w:hint="eastAsia" w:ascii="Times New Roman" w:hAnsi="Times New Roman" w:cs="Times New Roman"/>
          <w:color w:val="000000"/>
          <w:sz w:val="24"/>
          <w:szCs w:val="24"/>
          <w:lang w:val="en-US" w:eastAsia="zh-CN"/>
        </w:rPr>
        <w:t>up</w:t>
      </w:r>
      <w:r>
        <w:rPr>
          <w:rFonts w:hint="eastAsia" w:ascii="Times New Roman" w:hAnsi="Times New Roman" w:cs="Times New Roman"/>
          <w:color w:val="000000"/>
          <w:sz w:val="24"/>
          <w:szCs w:val="24"/>
        </w:rPr>
        <w:t>-</w:t>
      </w:r>
      <w:r>
        <w:rPr>
          <w:rFonts w:ascii="Times New Roman" w:hAnsi="Times New Roman" w:cs="Times New Roman"/>
          <w:color w:val="000000"/>
          <w:sz w:val="24"/>
          <w:szCs w:val="24"/>
        </w:rPr>
        <w:t xml:space="preserve">regulated genes in muscle of </w:t>
      </w:r>
      <w:r>
        <w:rPr>
          <w:rFonts w:hint="eastAsia" w:ascii="Times New Roman" w:hAnsi="Times New Roman" w:cs="Times New Roman"/>
          <w:color w:val="000000"/>
          <w:sz w:val="24"/>
          <w:szCs w:val="24"/>
          <w:lang w:val="en-US" w:eastAsia="zh-CN"/>
        </w:rPr>
        <w:t>Shaoxing ducks</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(top</w:t>
      </w:r>
      <w:r>
        <w:rPr>
          <w:rFonts w:ascii="Times New Roman" w:hAnsi="Times New Roman" w:cs="Times New Roman"/>
          <w:color w:val="000000"/>
          <w:sz w:val="24"/>
          <w:szCs w:val="24"/>
        </w:rPr>
        <w:t xml:space="preserve"> 20</w:t>
      </w:r>
      <w:r>
        <w:rPr>
          <w:rFonts w:hint="eastAsia" w:ascii="Times New Roman" w:hAnsi="Times New Roman" w:cs="Times New Roman"/>
          <w:color w:val="000000"/>
          <w:sz w:val="24"/>
          <w:szCs w:val="24"/>
        </w:rPr>
        <w:t>)</w:t>
      </w:r>
    </w:p>
    <w:bookmarkEnd w:id="6"/>
    <w:tbl>
      <w:tblPr>
        <w:tblStyle w:val="7"/>
        <w:tblW w:w="8931" w:type="dxa"/>
        <w:tblInd w:w="-284" w:type="dxa"/>
        <w:tblLayout w:type="autofit"/>
        <w:tblCellMar>
          <w:top w:w="15" w:type="dxa"/>
          <w:left w:w="15" w:type="dxa"/>
          <w:bottom w:w="15" w:type="dxa"/>
          <w:right w:w="15" w:type="dxa"/>
        </w:tblCellMar>
      </w:tblPr>
      <w:tblGrid>
        <w:gridCol w:w="2552"/>
        <w:gridCol w:w="5245"/>
        <w:gridCol w:w="1134"/>
      </w:tblGrid>
      <w:tr>
        <w:tblPrEx>
          <w:tblCellMar>
            <w:top w:w="15" w:type="dxa"/>
            <w:left w:w="15" w:type="dxa"/>
            <w:bottom w:w="15" w:type="dxa"/>
            <w:right w:w="15" w:type="dxa"/>
          </w:tblCellMar>
        </w:tblPrEx>
        <w:trPr>
          <w:trHeight w:val="480" w:hRule="atLeast"/>
        </w:trPr>
        <w:tc>
          <w:tcPr>
            <w:tcW w:w="2552"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Gene</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Name</w:t>
            </w:r>
          </w:p>
        </w:tc>
        <w:tc>
          <w:tcPr>
            <w:tcW w:w="5245"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Description</w:t>
            </w:r>
          </w:p>
        </w:tc>
        <w:tc>
          <w:tcPr>
            <w:tcW w:w="1134"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w:t>
            </w:r>
          </w:p>
        </w:tc>
      </w:tr>
      <w:tr>
        <w:tblPrEx>
          <w:tblCellMar>
            <w:top w:w="15" w:type="dxa"/>
            <w:left w:w="15" w:type="dxa"/>
            <w:bottom w:w="15" w:type="dxa"/>
            <w:right w:w="15" w:type="dxa"/>
          </w:tblCellMar>
        </w:tblPrEx>
        <w:trPr>
          <w:trHeight w:val="480" w:hRule="atLeast"/>
        </w:trPr>
        <w:tc>
          <w:tcPr>
            <w:tcW w:w="2552" w:type="dxa"/>
            <w:tcBorders>
              <w:top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ENAH</w:t>
            </w:r>
          </w:p>
        </w:tc>
        <w:tc>
          <w:tcPr>
            <w:tcW w:w="5245" w:type="dxa"/>
            <w:tcBorders>
              <w:top w:val="single" w:color="auto" w:sz="8" w:space="0"/>
            </w:tcBorders>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protein enabled homolog isoform X5</w:t>
            </w:r>
          </w:p>
        </w:tc>
        <w:tc>
          <w:tcPr>
            <w:tcW w:w="1134" w:type="dxa"/>
            <w:tcBorders>
              <w:top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7.440E-13</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ENSAPLG00000003647</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class I histocompatibility antigen, F10 alpha chain-like </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9.640E-11</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ENSAPLG00000005009</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class II histocompatibility antigen, B-L beta chain</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3.590E-10</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SGMS2</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phosphatidylcholine:ceramide cholinephosphotransferase 2</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2.230E-09</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ENSAPLG00000004095</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musculoskeletal embryonic nuclear protein 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5.840E-09</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ENSAPLG00000006375</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LOW QUALITY PROTEIN: tumor necrosis factor receptor superfamily member 27</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2.300E-08</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ENSAPLG00000015472</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LOW QUALITY PROTEIN: IgGFc-binding protein-like,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1.160E-07</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KIAA1161</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uncharacterized family 31 glucosidase KIAA1161 homolog</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1.510E-07</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ENSAPLG00000009683</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dynein heavy chain 5, axonemal-like</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9.480E-07</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PKIA</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cAMP-dependent protein kinase inhibitor alpha</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1.020E-06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KCNT1</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potassium channel subfamily T member 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1.190E-06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ENSAPLG00000016379</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insulin-like growth factor-binding protein 3</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1.200E-06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PRSS35</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inactive serine protease 35</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1.400E-06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ENSAPLG00000002180</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frizzled-2</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1.640E-06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RPL22L1</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60S ribosomal protein L22-like 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1.740E-06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TOM1</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Target of Myb protein 1,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1.820E-06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ENSAPLG00000004635</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GATS-like protein 2</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2.140E-06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BCAR3</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breast cancer anti-estrogen resistance protein 3 isoform X3</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2.860E-06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FGGY</w:t>
            </w:r>
          </w:p>
        </w:tc>
        <w:tc>
          <w:tcPr>
            <w:tcW w:w="5245" w:type="dxa"/>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FGGY carbohydrate kinase domain-containing protein isoform X3</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3.410E-06</w:t>
            </w:r>
          </w:p>
        </w:tc>
      </w:tr>
      <w:tr>
        <w:tblPrEx>
          <w:tblCellMar>
            <w:top w:w="15" w:type="dxa"/>
            <w:left w:w="15" w:type="dxa"/>
            <w:bottom w:w="15" w:type="dxa"/>
            <w:right w:w="15" w:type="dxa"/>
          </w:tblCellMar>
        </w:tblPrEx>
        <w:trPr>
          <w:trHeight w:val="285" w:hRule="atLeast"/>
        </w:trPr>
        <w:tc>
          <w:tcPr>
            <w:tcW w:w="2552" w:type="dxa"/>
            <w:tcBorders>
              <w:bottom w:val="single" w:color="auto" w:sz="12"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PCMTD2</w:t>
            </w:r>
          </w:p>
        </w:tc>
        <w:tc>
          <w:tcPr>
            <w:tcW w:w="5245" w:type="dxa"/>
            <w:tcBorders>
              <w:bottom w:val="single" w:color="auto" w:sz="12" w:space="0"/>
            </w:tcBorders>
            <w:vAlign w:val="center"/>
          </w:tcPr>
          <w:p>
            <w:pPr>
              <w:widowControl/>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protein-L-isoaspartate O-methyltransferase domain-containing protein 2 </w:t>
            </w:r>
          </w:p>
        </w:tc>
        <w:tc>
          <w:tcPr>
            <w:tcW w:w="1134" w:type="dxa"/>
            <w:tcBorders>
              <w:bottom w:val="single" w:color="auto" w:sz="12"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4.830E-06</w:t>
            </w:r>
          </w:p>
        </w:tc>
      </w:tr>
    </w:tbl>
    <w:p>
      <w:pPr>
        <w:spacing w:line="360" w:lineRule="auto"/>
        <w:rPr>
          <w:rFonts w:ascii="Times New Roman" w:hAnsi="Times New Roman" w:eastAsia="宋体" w:cs="Times New Roman"/>
          <w:sz w:val="24"/>
          <w:szCs w:val="24"/>
        </w:rPr>
      </w:pPr>
    </w:p>
    <w:p>
      <w:pPr>
        <w:spacing w:line="360" w:lineRule="auto"/>
        <w:rPr>
          <w:rFonts w:ascii="Times New Roman" w:hAnsi="Times New Roman" w:eastAsia="宋体"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5</w:t>
      </w:r>
      <w:r>
        <w:rPr>
          <w:rFonts w:ascii="Times New Roman" w:hAnsi="Times New Roman" w:cs="Times New Roman"/>
          <w:color w:val="000000"/>
          <w:sz w:val="24"/>
          <w:szCs w:val="24"/>
        </w:rPr>
        <w:t xml:space="preserve"> The </w:t>
      </w:r>
      <w:r>
        <w:rPr>
          <w:rFonts w:hint="eastAsia" w:ascii="Times New Roman" w:hAnsi="Times New Roman" w:cs="Times New Roman"/>
          <w:color w:val="000000"/>
          <w:sz w:val="24"/>
          <w:szCs w:val="24"/>
          <w:lang w:val="en-US" w:eastAsia="zh-CN"/>
        </w:rPr>
        <w:t>down</w:t>
      </w:r>
      <w:r>
        <w:rPr>
          <w:rFonts w:hint="eastAsia" w:ascii="Times New Roman" w:hAnsi="Times New Roman" w:cs="Times New Roman"/>
          <w:color w:val="000000"/>
          <w:sz w:val="24"/>
          <w:szCs w:val="24"/>
        </w:rPr>
        <w:t>-</w:t>
      </w:r>
      <w:r>
        <w:rPr>
          <w:rFonts w:ascii="Times New Roman" w:hAnsi="Times New Roman" w:cs="Times New Roman"/>
          <w:color w:val="000000"/>
          <w:sz w:val="24"/>
          <w:szCs w:val="24"/>
        </w:rPr>
        <w:t xml:space="preserve">regulated genes in </w:t>
      </w:r>
      <w:r>
        <w:rPr>
          <w:rFonts w:hint="eastAsia" w:ascii="Times New Roman" w:hAnsi="Times New Roman" w:cs="Times New Roman"/>
          <w:color w:val="000000"/>
          <w:sz w:val="24"/>
          <w:szCs w:val="24"/>
          <w:lang w:val="en-US" w:eastAsia="zh-CN"/>
        </w:rPr>
        <w:t>liver</w:t>
      </w:r>
      <w:r>
        <w:rPr>
          <w:rFonts w:ascii="Times New Roman" w:hAnsi="Times New Roman" w:cs="Times New Roman"/>
          <w:color w:val="000000"/>
          <w:sz w:val="24"/>
          <w:szCs w:val="24"/>
        </w:rPr>
        <w:t xml:space="preserve"> of </w:t>
      </w:r>
      <w:r>
        <w:rPr>
          <w:rFonts w:hint="eastAsia" w:ascii="Times New Roman" w:hAnsi="Times New Roman" w:cs="Times New Roman"/>
          <w:color w:val="000000"/>
          <w:sz w:val="24"/>
          <w:szCs w:val="24"/>
          <w:lang w:val="en-US" w:eastAsia="zh-CN"/>
        </w:rPr>
        <w:t>Shaoxing ducks</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(top</w:t>
      </w:r>
      <w:r>
        <w:rPr>
          <w:rFonts w:ascii="Times New Roman" w:hAnsi="Times New Roman" w:cs="Times New Roman"/>
          <w:color w:val="000000"/>
          <w:sz w:val="24"/>
          <w:szCs w:val="24"/>
        </w:rPr>
        <w:t xml:space="preserve"> 20</w:t>
      </w:r>
      <w:r>
        <w:rPr>
          <w:rFonts w:hint="eastAsia" w:ascii="Times New Roman" w:hAnsi="Times New Roman" w:cs="Times New Roman"/>
          <w:color w:val="000000"/>
          <w:sz w:val="24"/>
          <w:szCs w:val="24"/>
        </w:rPr>
        <w:t>)</w:t>
      </w:r>
    </w:p>
    <w:tbl>
      <w:tblPr>
        <w:tblStyle w:val="7"/>
        <w:tblW w:w="8931" w:type="dxa"/>
        <w:tblInd w:w="-284" w:type="dxa"/>
        <w:tblLayout w:type="autofit"/>
        <w:tblCellMar>
          <w:top w:w="15" w:type="dxa"/>
          <w:left w:w="15" w:type="dxa"/>
          <w:bottom w:w="15" w:type="dxa"/>
          <w:right w:w="15" w:type="dxa"/>
        </w:tblCellMar>
      </w:tblPr>
      <w:tblGrid>
        <w:gridCol w:w="2552"/>
        <w:gridCol w:w="5245"/>
        <w:gridCol w:w="1134"/>
      </w:tblGrid>
      <w:tr>
        <w:tblPrEx>
          <w:tblCellMar>
            <w:top w:w="15" w:type="dxa"/>
            <w:left w:w="15" w:type="dxa"/>
            <w:bottom w:w="15" w:type="dxa"/>
            <w:right w:w="15" w:type="dxa"/>
          </w:tblCellMar>
        </w:tblPrEx>
        <w:trPr>
          <w:trHeight w:val="285" w:hRule="atLeast"/>
        </w:trPr>
        <w:tc>
          <w:tcPr>
            <w:tcW w:w="2552"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Gene</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Name</w:t>
            </w:r>
          </w:p>
        </w:tc>
        <w:tc>
          <w:tcPr>
            <w:tcW w:w="5245"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Description</w:t>
            </w:r>
          </w:p>
        </w:tc>
        <w:tc>
          <w:tcPr>
            <w:tcW w:w="1134"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w:t>
            </w:r>
          </w:p>
        </w:tc>
      </w:tr>
      <w:tr>
        <w:tblPrEx>
          <w:tblCellMar>
            <w:top w:w="15" w:type="dxa"/>
            <w:left w:w="15" w:type="dxa"/>
            <w:bottom w:w="15" w:type="dxa"/>
            <w:right w:w="15" w:type="dxa"/>
          </w:tblCellMar>
        </w:tblPrEx>
        <w:trPr>
          <w:trHeight w:val="285" w:hRule="atLeast"/>
        </w:trPr>
        <w:tc>
          <w:tcPr>
            <w:tcW w:w="2552" w:type="dxa"/>
            <w:tcBorders>
              <w:top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ENSAPLG00000001196</w:t>
            </w:r>
          </w:p>
        </w:tc>
        <w:tc>
          <w:tcPr>
            <w:tcW w:w="5245" w:type="dxa"/>
            <w:tcBorders>
              <w:top w:val="single" w:color="auto" w:sz="8" w:space="0"/>
            </w:tcBorders>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fatty acid-binding protein, liver-like</w:t>
            </w:r>
          </w:p>
        </w:tc>
        <w:tc>
          <w:tcPr>
            <w:tcW w:w="1134" w:type="dxa"/>
            <w:tcBorders>
              <w:top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6.260E-23</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ENSAPLG00000002361</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interferon-induced very large GTPase 1-like, partial </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3.790E-22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ANXA10</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annexin A10 isoform X1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1.740E-18</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ENSAPLG00000000936</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type II iodothyronine deiodinase isoform X1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7.800E-12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Metazoa_SRP</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uncharacterized protein LOC104057446</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2.340E-11</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ENSAPLG00000001071</w:t>
            </w:r>
          </w:p>
        </w:tc>
        <w:tc>
          <w:tcPr>
            <w:tcW w:w="5245"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LOW QUALITY PROTEIN: interferon-induced very large GTPase 1-like [Anser cygnoides domesticus]</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8.900E-11</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NUDT21</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cleavage and polyadenylation specificity factor subunit 5 isoform X1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8.900E-11</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TNFRSF6B</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tumor necrosis factor receptor superfamily member 6B</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2.850E-09</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TRPM1</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Transient receptor potential cation channel subfamily M member 1,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4.910E-09</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ASNS</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asparagine synthetase</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1.590E-08</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CHKA</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choline kinase alpha isoform X3</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1.860E-08</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PLIN2</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perilipin 2</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3.530E-07</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CADM2</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cell adhesion molecule 2 isoform X1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2.540E-06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SLC16A5</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monocarboxylate transporter 6 isoform X1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6.430E-06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PAPLN</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papilin isoform X4</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6.430E-06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ENSAPLG00000013309</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histone acetyltransferase KAT2A,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2.130E-05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ENSAPLG00000006863</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Calretinin, partial [Tauraco erythrolophus]</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2.770E-05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KCTD16</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LOW QUALITY PROTEIN: BTB/POZ domain-containing protein KCTD16</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2.770E-05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AVPR1A</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vasopressin V1a receptor</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2.860E-05</w:t>
            </w:r>
          </w:p>
        </w:tc>
      </w:tr>
      <w:tr>
        <w:tblPrEx>
          <w:tblCellMar>
            <w:top w:w="15" w:type="dxa"/>
            <w:left w:w="15" w:type="dxa"/>
            <w:bottom w:w="15" w:type="dxa"/>
            <w:right w:w="15" w:type="dxa"/>
          </w:tblCellMar>
        </w:tblPrEx>
        <w:trPr>
          <w:trHeight w:val="285" w:hRule="atLeast"/>
        </w:trPr>
        <w:tc>
          <w:tcPr>
            <w:tcW w:w="2552" w:type="dxa"/>
            <w:tcBorders>
              <w:bottom w:val="single" w:color="auto" w:sz="12"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ABL2</w:t>
            </w:r>
          </w:p>
        </w:tc>
        <w:tc>
          <w:tcPr>
            <w:tcW w:w="5245" w:type="dxa"/>
            <w:tcBorders>
              <w:bottom w:val="single" w:color="auto" w:sz="12" w:space="0"/>
            </w:tcBorders>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Tyrosine-protein kinase ABL2, partial</w:t>
            </w:r>
          </w:p>
        </w:tc>
        <w:tc>
          <w:tcPr>
            <w:tcW w:w="1134" w:type="dxa"/>
            <w:tcBorders>
              <w:bottom w:val="single" w:color="auto" w:sz="12"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5.520E-05</w:t>
            </w:r>
          </w:p>
        </w:tc>
      </w:tr>
    </w:tbl>
    <w:p>
      <w:pPr>
        <w:rPr>
          <w:rFonts w:ascii="Times New Roman" w:hAnsi="Times New Roman" w:cs="Times New Roman"/>
          <w:color w:val="000000"/>
          <w:sz w:val="24"/>
          <w:szCs w:val="24"/>
        </w:rPr>
      </w:pPr>
    </w:p>
    <w:p>
      <w:pPr>
        <w:rPr>
          <w:rFonts w:ascii="Times New Roman" w:hAnsi="Times New Roman" w:cs="Times New Roman"/>
          <w:color w:val="000000"/>
          <w:sz w:val="24"/>
          <w:szCs w:val="24"/>
        </w:rPr>
      </w:pPr>
    </w:p>
    <w:p>
      <w:pPr>
        <w:rPr>
          <w:rFonts w:ascii="Times New Roman" w:hAnsi="Times New Roman" w:cs="Times New Roman"/>
          <w:color w:val="000000"/>
          <w:sz w:val="24"/>
          <w:szCs w:val="24"/>
        </w:rPr>
      </w:pPr>
    </w:p>
    <w:p>
      <w:pPr>
        <w:rPr>
          <w:rFonts w:ascii="Times New Roman" w:hAnsi="Times New Roman" w:cs="Times New Roman"/>
          <w:color w:val="000000"/>
          <w:sz w:val="24"/>
          <w:szCs w:val="24"/>
        </w:rPr>
      </w:pPr>
    </w:p>
    <w:p>
      <w:pPr>
        <w:spacing w:line="360" w:lineRule="auto"/>
        <w:rPr>
          <w:rFonts w:ascii="Times New Roman" w:hAnsi="Times New Roman" w:cs="Times New Roman"/>
          <w:color w:val="000000"/>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6</w:t>
      </w:r>
      <w:r>
        <w:rPr>
          <w:rFonts w:ascii="Times New Roman" w:hAnsi="Times New Roman" w:cs="Times New Roman"/>
          <w:color w:val="000000"/>
          <w:sz w:val="24"/>
          <w:szCs w:val="24"/>
        </w:rPr>
        <w:t xml:space="preserve"> The </w:t>
      </w:r>
      <w:r>
        <w:rPr>
          <w:rFonts w:hint="eastAsia" w:ascii="Times New Roman" w:hAnsi="Times New Roman" w:cs="Times New Roman"/>
          <w:color w:val="000000"/>
          <w:sz w:val="24"/>
          <w:szCs w:val="24"/>
          <w:lang w:val="en-US" w:eastAsia="zh-CN"/>
        </w:rPr>
        <w:t>up</w:t>
      </w:r>
      <w:r>
        <w:rPr>
          <w:rFonts w:hint="eastAsia" w:ascii="Times New Roman" w:hAnsi="Times New Roman" w:cs="Times New Roman"/>
          <w:color w:val="000000"/>
          <w:sz w:val="24"/>
          <w:szCs w:val="24"/>
        </w:rPr>
        <w:t>-</w:t>
      </w:r>
      <w:r>
        <w:rPr>
          <w:rFonts w:ascii="Times New Roman" w:hAnsi="Times New Roman" w:cs="Times New Roman"/>
          <w:color w:val="000000"/>
          <w:sz w:val="24"/>
          <w:szCs w:val="24"/>
        </w:rPr>
        <w:t xml:space="preserve">regulated genes in </w:t>
      </w:r>
      <w:r>
        <w:rPr>
          <w:rFonts w:hint="eastAsia" w:ascii="Times New Roman" w:hAnsi="Times New Roman" w:cs="Times New Roman"/>
          <w:color w:val="000000"/>
          <w:sz w:val="24"/>
          <w:szCs w:val="24"/>
          <w:lang w:val="en-US" w:eastAsia="zh-CN"/>
        </w:rPr>
        <w:t>liver</w:t>
      </w:r>
      <w:r>
        <w:rPr>
          <w:rFonts w:ascii="Times New Roman" w:hAnsi="Times New Roman" w:cs="Times New Roman"/>
          <w:color w:val="000000"/>
          <w:sz w:val="24"/>
          <w:szCs w:val="24"/>
        </w:rPr>
        <w:t xml:space="preserve"> of </w:t>
      </w:r>
      <w:r>
        <w:rPr>
          <w:rFonts w:hint="eastAsia" w:ascii="Times New Roman" w:hAnsi="Times New Roman" w:cs="Times New Roman"/>
          <w:color w:val="000000"/>
          <w:sz w:val="24"/>
          <w:szCs w:val="24"/>
          <w:lang w:val="en-US" w:eastAsia="zh-CN"/>
        </w:rPr>
        <w:t>Shaoxing ducks</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(top</w:t>
      </w:r>
      <w:r>
        <w:rPr>
          <w:rFonts w:ascii="Times New Roman" w:hAnsi="Times New Roman" w:cs="Times New Roman"/>
          <w:color w:val="000000"/>
          <w:sz w:val="24"/>
          <w:szCs w:val="24"/>
        </w:rPr>
        <w:t xml:space="preserve"> 20</w:t>
      </w:r>
      <w:r>
        <w:rPr>
          <w:rFonts w:hint="eastAsia" w:ascii="Times New Roman" w:hAnsi="Times New Roman" w:cs="Times New Roman"/>
          <w:color w:val="000000"/>
          <w:sz w:val="24"/>
          <w:szCs w:val="24"/>
        </w:rPr>
        <w:t>)</w:t>
      </w:r>
    </w:p>
    <w:tbl>
      <w:tblPr>
        <w:tblStyle w:val="7"/>
        <w:tblW w:w="8931" w:type="dxa"/>
        <w:tblInd w:w="-284" w:type="dxa"/>
        <w:tblLayout w:type="autofit"/>
        <w:tblCellMar>
          <w:top w:w="15" w:type="dxa"/>
          <w:left w:w="15" w:type="dxa"/>
          <w:bottom w:w="15" w:type="dxa"/>
          <w:right w:w="15" w:type="dxa"/>
        </w:tblCellMar>
      </w:tblPr>
      <w:tblGrid>
        <w:gridCol w:w="2552"/>
        <w:gridCol w:w="5245"/>
        <w:gridCol w:w="1134"/>
      </w:tblGrid>
      <w:tr>
        <w:tblPrEx>
          <w:tblCellMar>
            <w:top w:w="15" w:type="dxa"/>
            <w:left w:w="15" w:type="dxa"/>
            <w:bottom w:w="15" w:type="dxa"/>
            <w:right w:w="15" w:type="dxa"/>
          </w:tblCellMar>
        </w:tblPrEx>
        <w:trPr>
          <w:trHeight w:val="285" w:hRule="atLeast"/>
        </w:trPr>
        <w:tc>
          <w:tcPr>
            <w:tcW w:w="2552"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Gene</w:t>
            </w:r>
            <w:r>
              <w:rPr>
                <w:rFonts w:ascii="Times New Roman" w:hAnsi="Times New Roman" w:cs="Times New Roman"/>
                <w:color w:val="000000"/>
                <w:sz w:val="24"/>
                <w:szCs w:val="24"/>
              </w:rPr>
              <w:t xml:space="preserve"> </w:t>
            </w:r>
            <w:r>
              <w:rPr>
                <w:rFonts w:hint="eastAsia" w:ascii="Times New Roman" w:hAnsi="Times New Roman" w:cs="Times New Roman"/>
                <w:color w:val="000000"/>
                <w:sz w:val="24"/>
                <w:szCs w:val="24"/>
              </w:rPr>
              <w:t>Name</w:t>
            </w:r>
          </w:p>
        </w:tc>
        <w:tc>
          <w:tcPr>
            <w:tcW w:w="5245"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Description</w:t>
            </w:r>
          </w:p>
        </w:tc>
        <w:tc>
          <w:tcPr>
            <w:tcW w:w="1134" w:type="dxa"/>
            <w:tcBorders>
              <w:top w:val="single" w:color="auto" w:sz="12" w:space="0"/>
              <w:bottom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w:t>
            </w:r>
          </w:p>
        </w:tc>
      </w:tr>
      <w:tr>
        <w:tblPrEx>
          <w:tblCellMar>
            <w:top w:w="15" w:type="dxa"/>
            <w:left w:w="15" w:type="dxa"/>
            <w:bottom w:w="15" w:type="dxa"/>
            <w:right w:w="15" w:type="dxa"/>
          </w:tblCellMar>
        </w:tblPrEx>
        <w:trPr>
          <w:trHeight w:val="285" w:hRule="atLeast"/>
        </w:trPr>
        <w:tc>
          <w:tcPr>
            <w:tcW w:w="2552" w:type="dxa"/>
            <w:tcBorders>
              <w:top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ENSAPLG00000001080</w:t>
            </w:r>
          </w:p>
        </w:tc>
        <w:tc>
          <w:tcPr>
            <w:tcW w:w="5245" w:type="dxa"/>
            <w:tcBorders>
              <w:top w:val="single" w:color="auto" w:sz="8" w:space="0"/>
            </w:tcBorders>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Serum amyloid P-component, partial</w:t>
            </w:r>
          </w:p>
        </w:tc>
        <w:tc>
          <w:tcPr>
            <w:tcW w:w="1134" w:type="dxa"/>
            <w:tcBorders>
              <w:top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1.570E-22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ENSAPLG00000006066</w:t>
            </w:r>
          </w:p>
        </w:tc>
        <w:tc>
          <w:tcPr>
            <w:tcW w:w="5245"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disintegrin and metalloproteinase domain-containing protein 2-like,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7.650E-20</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ENSAPLG00000000546</w:t>
            </w:r>
          </w:p>
        </w:tc>
        <w:tc>
          <w:tcPr>
            <w:tcW w:w="5245" w:type="dxa"/>
            <w:vAlign w:val="center"/>
          </w:tcPr>
          <w:p>
            <w:pPr>
              <w:rPr>
                <w:rFonts w:ascii="Times New Roman" w:hAnsi="Times New Roman" w:cs="Times New Roman"/>
                <w:color w:val="000000"/>
                <w:sz w:val="24"/>
                <w:szCs w:val="24"/>
              </w:rPr>
            </w:pPr>
            <w:r>
              <w:rPr>
                <w:rFonts w:ascii="Times New Roman" w:hAnsi="Times New Roman" w:cs="Times New Roman"/>
                <w:color w:val="000000"/>
                <w:sz w:val="24"/>
                <w:szCs w:val="24"/>
              </w:rPr>
              <w:t>miRAN</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6.640E-12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ENSAPLG00000014731</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uncharacterized protein LOC106046799</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3.980E-10</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TRPA1</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transient receptor potential cation channel subfamily A member 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4.740E-08</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BST1</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ADP-ribosyl cyclase/cyclic ADP-ribose hydrolase 2</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9.420E-06</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ENSAPLG00000005009</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class II histocompatibility antigen, B-L beta chain</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2.770E-05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ABLIM3</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actin-binding LIM protein 3 isoform X1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5.410E-05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ARHGEF37</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rho guanine nucleotide exchange factor 37 isoform X1</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5.940E-05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GALNT14</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polypeptide N-acetylgalactosaminyltransferase 14</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6.870E-05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ENSAPLG00000000754</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type III iodothyronine deiodinase</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1.105E-04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ENSAPLG00000003647</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class I histocompatibility antigen, F10 alpha chain-like</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1.256E-04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RPS6KL1</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LOW QUALITY PROTEIN: ribosomal protein S6 kinase-like 1,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1.378E-04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TP53I3</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quinone oxidoreductase PIG3</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1.470E-04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ENSAPLG00000001594</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myelin-oligodendrocyte glycoprotein,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2.343E-04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ARHGEF16</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rho guanine nucleotide exchange factor 16,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3.278E-04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ENSAPLG00000009649</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Butyrophilin subfamily 3 member A3, partial</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3.659E-04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HSD17B2</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estradiol 17-beta-dehydrogenase 2</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4.064E-04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SIDT1</w:t>
            </w:r>
          </w:p>
        </w:tc>
        <w:tc>
          <w:tcPr>
            <w:tcW w:w="5245" w:type="dxa"/>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 xml:space="preserve">SID1 transmembrane family member 1 isoform X1 </w:t>
            </w:r>
          </w:p>
        </w:tc>
        <w:tc>
          <w:tcPr>
            <w:tcW w:w="1134"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7.092E-04</w:t>
            </w:r>
          </w:p>
        </w:tc>
      </w:tr>
      <w:tr>
        <w:tblPrEx>
          <w:tblCellMar>
            <w:top w:w="15" w:type="dxa"/>
            <w:left w:w="15" w:type="dxa"/>
            <w:bottom w:w="15" w:type="dxa"/>
            <w:right w:w="15" w:type="dxa"/>
          </w:tblCellMar>
        </w:tblPrEx>
        <w:trPr>
          <w:trHeight w:val="285" w:hRule="atLeast"/>
        </w:trPr>
        <w:tc>
          <w:tcPr>
            <w:tcW w:w="2552" w:type="dxa"/>
            <w:tcBorders>
              <w:bottom w:val="single" w:color="auto" w:sz="12"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KLHL23</w:t>
            </w:r>
          </w:p>
        </w:tc>
        <w:tc>
          <w:tcPr>
            <w:tcW w:w="5245" w:type="dxa"/>
            <w:tcBorders>
              <w:bottom w:val="single" w:color="auto" w:sz="12" w:space="0"/>
            </w:tcBorders>
            <w:vAlign w:val="center"/>
          </w:tcPr>
          <w:p>
            <w:pPr>
              <w:rPr>
                <w:rFonts w:ascii="Times New Roman" w:hAnsi="Times New Roman" w:cs="Times New Roman"/>
                <w:color w:val="000000"/>
                <w:sz w:val="24"/>
                <w:szCs w:val="24"/>
              </w:rPr>
            </w:pPr>
            <w:r>
              <w:rPr>
                <w:rFonts w:hint="eastAsia" w:ascii="Times New Roman" w:hAnsi="Times New Roman" w:cs="Times New Roman"/>
                <w:color w:val="000000"/>
                <w:sz w:val="24"/>
                <w:szCs w:val="24"/>
              </w:rPr>
              <w:t>kelch-like protein 23, partial</w:t>
            </w:r>
          </w:p>
        </w:tc>
        <w:tc>
          <w:tcPr>
            <w:tcW w:w="1134" w:type="dxa"/>
            <w:tcBorders>
              <w:bottom w:val="single" w:color="auto" w:sz="12"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1.588E-03</w:t>
            </w:r>
          </w:p>
        </w:tc>
      </w:tr>
    </w:tbl>
    <w:p>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pPr>
        <w:spacing w:line="360" w:lineRule="auto"/>
        <w:rPr>
          <w:rFonts w:ascii="Times New Roman" w:hAnsi="Times New Roman" w:cs="Times New Roman"/>
          <w:color w:val="000000"/>
          <w:sz w:val="24"/>
          <w:szCs w:val="24"/>
        </w:rPr>
      </w:pPr>
      <w:bookmarkStart w:id="7" w:name="OLE_LINK4"/>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7</w:t>
      </w:r>
      <w:r>
        <w:rPr>
          <w:rFonts w:ascii="Times New Roman" w:hAnsi="Times New Roman" w:cs="Times New Roman"/>
          <w:color w:val="000000"/>
          <w:sz w:val="24"/>
          <w:szCs w:val="24"/>
        </w:rPr>
        <w:t xml:space="preserve"> The </w:t>
      </w:r>
      <w:r>
        <w:rPr>
          <w:rFonts w:hint="eastAsia" w:ascii="Times New Roman" w:hAnsi="Times New Roman" w:cs="Times New Roman"/>
          <w:color w:val="000000"/>
          <w:sz w:val="24"/>
          <w:szCs w:val="24"/>
          <w:lang w:val="en-US" w:eastAsia="zh-CN"/>
        </w:rPr>
        <w:t>down</w:t>
      </w:r>
      <w:r>
        <w:rPr>
          <w:rFonts w:hint="eastAsia" w:ascii="Times New Roman" w:hAnsi="Times New Roman" w:cs="Times New Roman"/>
          <w:color w:val="000000"/>
          <w:sz w:val="24"/>
          <w:szCs w:val="24"/>
        </w:rPr>
        <w:t>-</w:t>
      </w:r>
      <w:r>
        <w:rPr>
          <w:rFonts w:ascii="Times New Roman" w:hAnsi="Times New Roman" w:cs="Times New Roman"/>
          <w:color w:val="000000"/>
          <w:sz w:val="24"/>
          <w:szCs w:val="24"/>
        </w:rPr>
        <w:t xml:space="preserve">regulated genes in </w:t>
      </w:r>
      <w:r>
        <w:rPr>
          <w:rFonts w:hint="eastAsia" w:ascii="Times New Roman" w:hAnsi="Times New Roman" w:cs="Times New Roman"/>
          <w:color w:val="000000"/>
          <w:sz w:val="24"/>
          <w:szCs w:val="24"/>
          <w:lang w:val="en-US" w:eastAsia="zh-CN"/>
        </w:rPr>
        <w:t>liver</w:t>
      </w:r>
      <w:r>
        <w:rPr>
          <w:rFonts w:ascii="Times New Roman" w:hAnsi="Times New Roman" w:cs="Times New Roman"/>
          <w:color w:val="000000"/>
          <w:sz w:val="24"/>
          <w:szCs w:val="24"/>
        </w:rPr>
        <w:t xml:space="preserve"> of </w:t>
      </w:r>
      <w:r>
        <w:rPr>
          <w:rFonts w:hint="eastAsia" w:ascii="Times New Roman" w:hAnsi="Times New Roman" w:cs="Times New Roman"/>
          <w:color w:val="000000"/>
          <w:sz w:val="24"/>
          <w:szCs w:val="24"/>
          <w:lang w:val="en-US" w:eastAsia="zh-CN"/>
        </w:rPr>
        <w:t>Shaoxing ducks</w:t>
      </w:r>
    </w:p>
    <w:tbl>
      <w:tblPr>
        <w:tblStyle w:val="7"/>
        <w:tblW w:w="8789" w:type="dxa"/>
        <w:tblInd w:w="-284" w:type="dxa"/>
        <w:tblLayout w:type="autofit"/>
        <w:tblCellMar>
          <w:top w:w="0" w:type="dxa"/>
          <w:left w:w="28" w:type="dxa"/>
          <w:bottom w:w="0" w:type="dxa"/>
          <w:right w:w="28" w:type="dxa"/>
        </w:tblCellMar>
      </w:tblPr>
      <w:tblGrid>
        <w:gridCol w:w="2552"/>
        <w:gridCol w:w="5103"/>
        <w:gridCol w:w="1134"/>
      </w:tblGrid>
      <w:tr>
        <w:tblPrEx>
          <w:tblCellMar>
            <w:top w:w="0" w:type="dxa"/>
            <w:left w:w="28" w:type="dxa"/>
            <w:bottom w:w="0" w:type="dxa"/>
            <w:right w:w="28" w:type="dxa"/>
          </w:tblCellMar>
        </w:tblPrEx>
        <w:trPr>
          <w:trHeight w:val="285" w:hRule="atLeast"/>
        </w:trPr>
        <w:tc>
          <w:tcPr>
            <w:tcW w:w="2552" w:type="dxa"/>
            <w:tcBorders>
              <w:top w:val="single" w:color="auto" w:sz="12" w:space="0"/>
              <w:bottom w:val="single" w:color="auto" w:sz="8" w:space="0"/>
            </w:tcBorders>
            <w:vAlign w:val="center"/>
          </w:tcPr>
          <w:p>
            <w:pPr>
              <w:widowControl/>
              <w:jc w:val="center"/>
              <w:rPr>
                <w:rFonts w:ascii="Times New Roman" w:hAnsi="Times New Roman" w:cs="Times New Roman"/>
                <w:color w:val="000000"/>
                <w:sz w:val="24"/>
                <w:szCs w:val="24"/>
              </w:rPr>
            </w:pPr>
            <w:r>
              <w:rPr>
                <w:rFonts w:ascii="Times New Roman" w:hAnsi="Times New Roman" w:cs="Times New Roman"/>
                <w:color w:val="000000"/>
                <w:sz w:val="24"/>
                <w:szCs w:val="24"/>
              </w:rPr>
              <w:t>Gene Name</w:t>
            </w:r>
          </w:p>
        </w:tc>
        <w:tc>
          <w:tcPr>
            <w:tcW w:w="5103" w:type="dxa"/>
            <w:tcBorders>
              <w:top w:val="single" w:color="auto" w:sz="12" w:space="0"/>
              <w:bottom w:val="single" w:color="auto" w:sz="8" w:space="0"/>
            </w:tcBorders>
            <w:vAlign w:val="center"/>
          </w:tcPr>
          <w:p>
            <w:pPr>
              <w:widowControl/>
              <w:jc w:val="center"/>
              <w:rPr>
                <w:rFonts w:ascii="Times New Roman" w:hAnsi="Times New Roman" w:cs="Times New Roman"/>
                <w:color w:val="000000"/>
                <w:sz w:val="24"/>
                <w:szCs w:val="24"/>
              </w:rPr>
            </w:pPr>
            <w:r>
              <w:rPr>
                <w:rFonts w:ascii="Times New Roman" w:hAnsi="Times New Roman" w:cs="Times New Roman"/>
                <w:color w:val="000000"/>
                <w:sz w:val="24"/>
                <w:szCs w:val="24"/>
              </w:rPr>
              <w:t>Description</w:t>
            </w:r>
          </w:p>
        </w:tc>
        <w:tc>
          <w:tcPr>
            <w:tcW w:w="1134" w:type="dxa"/>
            <w:tcBorders>
              <w:top w:val="single" w:color="auto" w:sz="12" w:space="0"/>
              <w:bottom w:val="single" w:color="auto" w:sz="8" w:space="0"/>
            </w:tcBorders>
            <w:vAlign w:val="center"/>
          </w:tcPr>
          <w:p>
            <w:pPr>
              <w:widowControl/>
              <w:jc w:val="center"/>
              <w:rPr>
                <w:rFonts w:ascii="Times New Roman" w:hAnsi="Times New Roman" w:cs="Times New Roman"/>
                <w:color w:val="000000"/>
                <w:sz w:val="24"/>
                <w:szCs w:val="24"/>
              </w:rPr>
            </w:pPr>
            <w:r>
              <w:rPr>
                <w:rFonts w:ascii="Times New Roman" w:hAnsi="Times New Roman" w:cs="Times New Roman"/>
                <w:color w:val="000000"/>
                <w:sz w:val="24"/>
                <w:szCs w:val="24"/>
              </w:rPr>
              <w:t>p</w:t>
            </w:r>
          </w:p>
        </w:tc>
      </w:tr>
      <w:tr>
        <w:tblPrEx>
          <w:tblCellMar>
            <w:top w:w="0" w:type="dxa"/>
            <w:left w:w="28" w:type="dxa"/>
            <w:bottom w:w="0" w:type="dxa"/>
            <w:right w:w="28" w:type="dxa"/>
          </w:tblCellMar>
        </w:tblPrEx>
        <w:trPr>
          <w:trHeight w:val="285" w:hRule="atLeast"/>
        </w:trPr>
        <w:tc>
          <w:tcPr>
            <w:tcW w:w="2552" w:type="dxa"/>
            <w:tcBorders>
              <w:top w:val="single" w:color="auto" w:sz="8" w:space="0"/>
            </w:tcBorders>
            <w:vAlign w:val="center"/>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PENK</w:t>
            </w:r>
          </w:p>
        </w:tc>
        <w:tc>
          <w:tcPr>
            <w:tcW w:w="5103" w:type="dxa"/>
            <w:tcBorders>
              <w:top w:val="single" w:color="auto" w:sz="8" w:space="0"/>
            </w:tcBorders>
            <w:vAlign w:val="center"/>
          </w:tcPr>
          <w:p>
            <w:pPr>
              <w:jc w:val="left"/>
              <w:rPr>
                <w:rFonts w:ascii="Times New Roman" w:hAnsi="Times New Roman" w:cs="Times New Roman"/>
                <w:color w:val="000000"/>
                <w:sz w:val="24"/>
                <w:szCs w:val="24"/>
              </w:rPr>
            </w:pPr>
            <w:r>
              <w:rPr>
                <w:rFonts w:ascii="Times New Roman" w:hAnsi="Times New Roman" w:cs="Times New Roman"/>
                <w:color w:val="000000"/>
                <w:sz w:val="24"/>
                <w:szCs w:val="24"/>
              </w:rPr>
              <w:t>proenkephalin (PENK), mRNA</w:t>
            </w:r>
          </w:p>
        </w:tc>
        <w:tc>
          <w:tcPr>
            <w:tcW w:w="1134" w:type="dxa"/>
            <w:tcBorders>
              <w:top w:val="single" w:color="auto" w:sz="8" w:space="0"/>
            </w:tcBorders>
            <w:vAlign w:val="center"/>
          </w:tcPr>
          <w:p>
            <w:pPr>
              <w:widowControl/>
              <w:jc w:val="left"/>
              <w:rPr>
                <w:rFonts w:ascii="Times New Roman" w:hAnsi="Times New Roman" w:cs="Times New Roman"/>
                <w:color w:val="000000"/>
                <w:sz w:val="24"/>
                <w:szCs w:val="24"/>
              </w:rPr>
            </w:pPr>
            <w:r>
              <w:rPr>
                <w:rFonts w:ascii="Times New Roman" w:hAnsi="Times New Roman" w:cs="Times New Roman"/>
                <w:color w:val="000000"/>
                <w:sz w:val="24"/>
                <w:szCs w:val="24"/>
              </w:rPr>
              <w:t>3.120E-07</w:t>
            </w:r>
          </w:p>
        </w:tc>
      </w:tr>
      <w:tr>
        <w:tblPrEx>
          <w:tblCellMar>
            <w:top w:w="0" w:type="dxa"/>
            <w:left w:w="28" w:type="dxa"/>
            <w:bottom w:w="0" w:type="dxa"/>
            <w:right w:w="28"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ENSAPLG00000000981</w:t>
            </w:r>
          </w:p>
        </w:tc>
        <w:tc>
          <w:tcPr>
            <w:tcW w:w="5103" w:type="dxa"/>
            <w:vAlign w:val="center"/>
          </w:tcPr>
          <w:p>
            <w:pPr>
              <w:jc w:val="left"/>
              <w:rPr>
                <w:rFonts w:ascii="Times New Roman" w:hAnsi="Times New Roman" w:cs="Times New Roman"/>
                <w:color w:val="000000"/>
                <w:sz w:val="24"/>
                <w:szCs w:val="24"/>
              </w:rPr>
            </w:pPr>
            <w:r>
              <w:rPr>
                <w:rFonts w:ascii="Times New Roman" w:hAnsi="Times New Roman" w:cs="Times New Roman"/>
                <w:color w:val="000000"/>
                <w:sz w:val="24"/>
                <w:szCs w:val="24"/>
              </w:rPr>
              <w:t>cytochrome b-c1 complex subunit 10 (LOC101799882), mRNA</w:t>
            </w:r>
          </w:p>
        </w:tc>
        <w:tc>
          <w:tcPr>
            <w:tcW w:w="1134" w:type="dxa"/>
            <w:vAlign w:val="center"/>
          </w:tcPr>
          <w:p>
            <w:pPr>
              <w:rPr>
                <w:rFonts w:ascii="Times New Roman" w:hAnsi="Times New Roman" w:cs="Times New Roman"/>
                <w:color w:val="000000"/>
                <w:sz w:val="24"/>
                <w:szCs w:val="24"/>
              </w:rPr>
            </w:pPr>
            <w:r>
              <w:rPr>
                <w:rFonts w:ascii="Times New Roman" w:hAnsi="Times New Roman" w:cs="Times New Roman"/>
                <w:color w:val="000000"/>
                <w:sz w:val="24"/>
                <w:szCs w:val="24"/>
              </w:rPr>
              <w:t>1.320E-05</w:t>
            </w:r>
          </w:p>
        </w:tc>
      </w:tr>
      <w:tr>
        <w:tblPrEx>
          <w:tblCellMar>
            <w:top w:w="0" w:type="dxa"/>
            <w:left w:w="28" w:type="dxa"/>
            <w:bottom w:w="0" w:type="dxa"/>
            <w:right w:w="28"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ENSAPLG00000010845</w:t>
            </w:r>
          </w:p>
        </w:tc>
        <w:tc>
          <w:tcPr>
            <w:tcW w:w="5103" w:type="dxa"/>
            <w:vAlign w:val="center"/>
          </w:tcPr>
          <w:p>
            <w:pPr>
              <w:jc w:val="left"/>
              <w:rPr>
                <w:rFonts w:ascii="Times New Roman" w:hAnsi="Times New Roman" w:cs="Times New Roman"/>
                <w:color w:val="000000"/>
                <w:sz w:val="24"/>
                <w:szCs w:val="24"/>
              </w:rPr>
            </w:pPr>
            <w:r>
              <w:rPr>
                <w:rFonts w:ascii="Times New Roman" w:hAnsi="Times New Roman" w:cs="Times New Roman"/>
                <w:color w:val="000000"/>
                <w:sz w:val="24"/>
                <w:szCs w:val="24"/>
              </w:rPr>
              <w:t>domesticus mucin-5B (LOC106042636), mRNA</w:t>
            </w:r>
          </w:p>
        </w:tc>
        <w:tc>
          <w:tcPr>
            <w:tcW w:w="1134" w:type="dxa"/>
            <w:vAlign w:val="center"/>
          </w:tcPr>
          <w:p>
            <w:pPr>
              <w:rPr>
                <w:rFonts w:ascii="Times New Roman" w:hAnsi="Times New Roman" w:cs="Times New Roman"/>
                <w:color w:val="000000"/>
                <w:sz w:val="24"/>
                <w:szCs w:val="24"/>
              </w:rPr>
            </w:pPr>
            <w:r>
              <w:rPr>
                <w:rFonts w:ascii="Times New Roman" w:hAnsi="Times New Roman" w:cs="Times New Roman"/>
                <w:color w:val="000000"/>
                <w:sz w:val="24"/>
                <w:szCs w:val="24"/>
              </w:rPr>
              <w:t>1.374E-03</w:t>
            </w:r>
          </w:p>
        </w:tc>
      </w:tr>
      <w:tr>
        <w:tblPrEx>
          <w:tblCellMar>
            <w:top w:w="0" w:type="dxa"/>
            <w:left w:w="28" w:type="dxa"/>
            <w:bottom w:w="0" w:type="dxa"/>
            <w:right w:w="28"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SNORA27</w:t>
            </w:r>
          </w:p>
        </w:tc>
        <w:tc>
          <w:tcPr>
            <w:tcW w:w="5103" w:type="dxa"/>
            <w:vAlign w:val="center"/>
          </w:tcPr>
          <w:p>
            <w:pPr>
              <w:jc w:val="left"/>
              <w:rPr>
                <w:rFonts w:ascii="Times New Roman" w:hAnsi="Times New Roman" w:cs="Times New Roman"/>
                <w:color w:val="000000"/>
                <w:sz w:val="24"/>
                <w:szCs w:val="24"/>
              </w:rPr>
            </w:pPr>
            <w:r>
              <w:rPr>
                <w:rFonts w:ascii="Times New Roman" w:hAnsi="Times New Roman" w:cs="Times New Roman"/>
                <w:color w:val="000000"/>
                <w:sz w:val="24"/>
                <w:szCs w:val="24"/>
              </w:rPr>
              <w:t>Apteryx australis mantelli genome assembly AptMant0, scaffold scaffold132</w:t>
            </w:r>
          </w:p>
        </w:tc>
        <w:tc>
          <w:tcPr>
            <w:tcW w:w="1134" w:type="dxa"/>
            <w:vAlign w:val="center"/>
          </w:tcPr>
          <w:p>
            <w:pPr>
              <w:rPr>
                <w:rFonts w:ascii="Times New Roman" w:hAnsi="Times New Roman" w:cs="Times New Roman"/>
                <w:color w:val="000000"/>
                <w:sz w:val="24"/>
                <w:szCs w:val="24"/>
              </w:rPr>
            </w:pPr>
            <w:r>
              <w:rPr>
                <w:rFonts w:ascii="Times New Roman" w:hAnsi="Times New Roman" w:cs="Times New Roman"/>
                <w:color w:val="000000"/>
                <w:sz w:val="24"/>
                <w:szCs w:val="24"/>
              </w:rPr>
              <w:t>2.195E-03</w:t>
            </w:r>
          </w:p>
        </w:tc>
      </w:tr>
      <w:tr>
        <w:tblPrEx>
          <w:tblCellMar>
            <w:top w:w="0" w:type="dxa"/>
            <w:left w:w="28" w:type="dxa"/>
            <w:bottom w:w="0" w:type="dxa"/>
            <w:right w:w="28"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CPNE7</w:t>
            </w:r>
          </w:p>
        </w:tc>
        <w:tc>
          <w:tcPr>
            <w:tcW w:w="5103" w:type="dxa"/>
            <w:vAlign w:val="center"/>
          </w:tcPr>
          <w:p>
            <w:pPr>
              <w:jc w:val="left"/>
              <w:rPr>
                <w:rFonts w:ascii="Times New Roman" w:hAnsi="Times New Roman" w:cs="Times New Roman"/>
                <w:color w:val="000000"/>
                <w:sz w:val="24"/>
                <w:szCs w:val="24"/>
              </w:rPr>
            </w:pPr>
            <w:r>
              <w:rPr>
                <w:rFonts w:ascii="Times New Roman" w:hAnsi="Times New Roman" w:cs="Times New Roman"/>
                <w:color w:val="000000"/>
                <w:sz w:val="24"/>
                <w:szCs w:val="24"/>
              </w:rPr>
              <w:t>copine VII (CPNE7), mRNA</w:t>
            </w:r>
          </w:p>
        </w:tc>
        <w:tc>
          <w:tcPr>
            <w:tcW w:w="1134" w:type="dxa"/>
            <w:vAlign w:val="center"/>
          </w:tcPr>
          <w:p>
            <w:pPr>
              <w:rPr>
                <w:rFonts w:ascii="Times New Roman" w:hAnsi="Times New Roman" w:cs="Times New Roman"/>
                <w:color w:val="000000"/>
                <w:sz w:val="24"/>
                <w:szCs w:val="24"/>
              </w:rPr>
            </w:pPr>
            <w:r>
              <w:rPr>
                <w:rFonts w:ascii="Times New Roman" w:hAnsi="Times New Roman" w:cs="Times New Roman"/>
                <w:color w:val="000000"/>
                <w:sz w:val="24"/>
                <w:szCs w:val="24"/>
              </w:rPr>
              <w:t>4.914E-03</w:t>
            </w:r>
          </w:p>
        </w:tc>
      </w:tr>
      <w:tr>
        <w:tblPrEx>
          <w:tblCellMar>
            <w:top w:w="0" w:type="dxa"/>
            <w:left w:w="28" w:type="dxa"/>
            <w:bottom w:w="0" w:type="dxa"/>
            <w:right w:w="28"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ENSAPLG00000008730</w:t>
            </w:r>
          </w:p>
        </w:tc>
        <w:tc>
          <w:tcPr>
            <w:tcW w:w="5103" w:type="dxa"/>
            <w:vAlign w:val="center"/>
          </w:tcPr>
          <w:p>
            <w:pPr>
              <w:jc w:val="left"/>
              <w:rPr>
                <w:rFonts w:ascii="Times New Roman" w:hAnsi="Times New Roman" w:cs="Times New Roman"/>
                <w:color w:val="000000"/>
                <w:sz w:val="24"/>
                <w:szCs w:val="24"/>
              </w:rPr>
            </w:pPr>
            <w:r>
              <w:rPr>
                <w:rFonts w:ascii="Times New Roman" w:hAnsi="Times New Roman" w:cs="Times New Roman"/>
                <w:color w:val="000000"/>
                <w:sz w:val="24"/>
                <w:szCs w:val="24"/>
              </w:rPr>
              <w:t>HOP homeobox (HOPX), transcript variant X6, mRNA</w:t>
            </w:r>
          </w:p>
        </w:tc>
        <w:tc>
          <w:tcPr>
            <w:tcW w:w="1134" w:type="dxa"/>
            <w:vAlign w:val="center"/>
          </w:tcPr>
          <w:p>
            <w:pPr>
              <w:rPr>
                <w:rFonts w:ascii="Times New Roman" w:hAnsi="Times New Roman" w:cs="Times New Roman"/>
                <w:color w:val="000000"/>
                <w:sz w:val="24"/>
                <w:szCs w:val="24"/>
              </w:rPr>
            </w:pPr>
            <w:r>
              <w:rPr>
                <w:rFonts w:ascii="Times New Roman" w:hAnsi="Times New Roman" w:cs="Times New Roman"/>
                <w:color w:val="000000"/>
                <w:sz w:val="24"/>
                <w:szCs w:val="24"/>
              </w:rPr>
              <w:t>9.002E-03</w:t>
            </w:r>
          </w:p>
        </w:tc>
      </w:tr>
      <w:tr>
        <w:tblPrEx>
          <w:tblCellMar>
            <w:top w:w="0" w:type="dxa"/>
            <w:left w:w="28" w:type="dxa"/>
            <w:bottom w:w="0" w:type="dxa"/>
            <w:right w:w="28"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ENSAPLG00000012381</w:t>
            </w:r>
          </w:p>
        </w:tc>
        <w:tc>
          <w:tcPr>
            <w:tcW w:w="5103" w:type="dxa"/>
            <w:vAlign w:val="center"/>
          </w:tcPr>
          <w:p>
            <w:pPr>
              <w:jc w:val="left"/>
              <w:rPr>
                <w:rFonts w:ascii="Times New Roman" w:hAnsi="Times New Roman" w:cs="Times New Roman"/>
                <w:color w:val="000000"/>
                <w:sz w:val="24"/>
                <w:szCs w:val="24"/>
              </w:rPr>
            </w:pPr>
            <w:r>
              <w:rPr>
                <w:rFonts w:ascii="Times New Roman" w:hAnsi="Times New Roman" w:cs="Times New Roman"/>
                <w:color w:val="000000"/>
                <w:sz w:val="24"/>
                <w:szCs w:val="24"/>
              </w:rPr>
              <w:t>domesticus angiopoietin-related protein 7-like  (LOC106038099), mRNA</w:t>
            </w:r>
          </w:p>
        </w:tc>
        <w:tc>
          <w:tcPr>
            <w:tcW w:w="1134" w:type="dxa"/>
            <w:vAlign w:val="center"/>
          </w:tcPr>
          <w:p>
            <w:pPr>
              <w:rPr>
                <w:rFonts w:ascii="Times New Roman" w:hAnsi="Times New Roman" w:cs="Times New Roman"/>
                <w:color w:val="000000"/>
                <w:sz w:val="24"/>
                <w:szCs w:val="24"/>
              </w:rPr>
            </w:pPr>
            <w:r>
              <w:rPr>
                <w:rFonts w:ascii="Times New Roman" w:hAnsi="Times New Roman" w:cs="Times New Roman"/>
                <w:color w:val="000000"/>
                <w:sz w:val="24"/>
                <w:szCs w:val="24"/>
              </w:rPr>
              <w:t>1.323E-02</w:t>
            </w:r>
          </w:p>
        </w:tc>
      </w:tr>
      <w:tr>
        <w:tblPrEx>
          <w:tblCellMar>
            <w:top w:w="0" w:type="dxa"/>
            <w:left w:w="28" w:type="dxa"/>
            <w:bottom w:w="0" w:type="dxa"/>
            <w:right w:w="28" w:type="dxa"/>
          </w:tblCellMar>
        </w:tblPrEx>
        <w:trPr>
          <w:trHeight w:val="285" w:hRule="atLeast"/>
        </w:trPr>
        <w:tc>
          <w:tcPr>
            <w:tcW w:w="2552"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ENSAPLG00000000897</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ribosomal protein S28 (RPS28), partial mRNA</w:t>
            </w:r>
          </w:p>
        </w:tc>
        <w:tc>
          <w:tcPr>
            <w:tcW w:w="1134"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1.376E-02</w:t>
            </w:r>
          </w:p>
        </w:tc>
      </w:tr>
      <w:tr>
        <w:tblPrEx>
          <w:tblCellMar>
            <w:top w:w="0" w:type="dxa"/>
            <w:left w:w="28" w:type="dxa"/>
            <w:bottom w:w="0" w:type="dxa"/>
            <w:right w:w="28" w:type="dxa"/>
          </w:tblCellMar>
        </w:tblPrEx>
        <w:trPr>
          <w:trHeight w:val="285" w:hRule="atLeast"/>
        </w:trPr>
        <w:tc>
          <w:tcPr>
            <w:tcW w:w="2552" w:type="dxa"/>
            <w:tcBorders>
              <w:bottom w:val="single" w:color="auto" w:sz="12" w:space="0"/>
            </w:tcBorders>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ENSAPLG00000014124</w:t>
            </w:r>
          </w:p>
        </w:tc>
        <w:tc>
          <w:tcPr>
            <w:tcW w:w="5103" w:type="dxa"/>
            <w:tcBorders>
              <w:bottom w:val="single" w:color="auto" w:sz="12" w:space="0"/>
            </w:tcBorders>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extracellular serine/threonine protein kinase FAM20C-like (LOC101796295), mRNA</w:t>
            </w:r>
          </w:p>
        </w:tc>
        <w:tc>
          <w:tcPr>
            <w:tcW w:w="1134" w:type="dxa"/>
            <w:tcBorders>
              <w:bottom w:val="single" w:color="auto" w:sz="12" w:space="0"/>
            </w:tcBorders>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2.376E-02</w:t>
            </w:r>
          </w:p>
        </w:tc>
      </w:tr>
    </w:tbl>
    <w:p>
      <w:pPr>
        <w:rPr>
          <w:rFonts w:ascii="Times New Roman" w:hAnsi="Times New Roman" w:eastAsia="宋体" w:cs="Times New Roman"/>
          <w:sz w:val="24"/>
          <w:szCs w:val="24"/>
        </w:rPr>
      </w:pPr>
    </w:p>
    <w:p>
      <w:pPr>
        <w:spacing w:line="360" w:lineRule="auto"/>
        <w:rPr>
          <w:rFonts w:ascii="Times New Roman" w:hAnsi="Times New Roman" w:eastAsia="宋体" w:cs="Times New Roman"/>
          <w:sz w:val="24"/>
          <w:szCs w:val="24"/>
        </w:rPr>
      </w:pPr>
      <w:r>
        <w:rPr>
          <w:rFonts w:ascii="Times New Roman" w:hAnsi="Times New Roman" w:cs="Times New Roman"/>
          <w:sz w:val="24"/>
          <w:szCs w:val="24"/>
        </w:rPr>
        <w:t>S</w:t>
      </w:r>
      <w:r>
        <w:rPr>
          <w:rFonts w:hint="eastAsia" w:ascii="Times New Roman" w:hAnsi="Times New Roman" w:cs="Times New Roman"/>
          <w:sz w:val="24"/>
          <w:szCs w:val="24"/>
        </w:rPr>
        <w:t>upp</w:t>
      </w:r>
      <w:r>
        <w:rPr>
          <w:rFonts w:ascii="Times New Roman" w:hAnsi="Times New Roman" w:cs="Times New Roman"/>
          <w:sz w:val="24"/>
          <w:szCs w:val="24"/>
        </w:rPr>
        <w:t>lementary Table S</w:t>
      </w:r>
      <w:r>
        <w:rPr>
          <w:rFonts w:hint="default" w:ascii="Times New Roman" w:hAnsi="Times New Roman" w:cs="Times New Roman"/>
          <w:sz w:val="24"/>
          <w:szCs w:val="24"/>
          <w:lang w:val="en-US" w:eastAsia="zh-CN"/>
        </w:rPr>
        <w:t>1</w:t>
      </w:r>
      <w:r>
        <w:rPr>
          <w:rFonts w:hint="eastAsia" w:ascii="Times New Roman" w:hAnsi="Times New Roman" w:cs="Times New Roman"/>
          <w:sz w:val="24"/>
          <w:szCs w:val="24"/>
          <w:lang w:val="en-US" w:eastAsia="zh-CN"/>
        </w:rPr>
        <w:t>8</w:t>
      </w:r>
      <w:r>
        <w:rPr>
          <w:rFonts w:ascii="Times New Roman" w:hAnsi="Times New Roman" w:cs="Times New Roman"/>
          <w:color w:val="000000"/>
          <w:sz w:val="24"/>
          <w:szCs w:val="24"/>
        </w:rPr>
        <w:t xml:space="preserve"> The </w:t>
      </w:r>
      <w:r>
        <w:rPr>
          <w:rFonts w:hint="eastAsia" w:ascii="Times New Roman" w:hAnsi="Times New Roman" w:cs="Times New Roman"/>
          <w:color w:val="000000"/>
          <w:sz w:val="24"/>
          <w:szCs w:val="24"/>
          <w:lang w:val="en-US" w:eastAsia="zh-CN"/>
        </w:rPr>
        <w:t>up</w:t>
      </w:r>
      <w:r>
        <w:rPr>
          <w:rFonts w:hint="eastAsia" w:ascii="Times New Roman" w:hAnsi="Times New Roman" w:cs="Times New Roman"/>
          <w:color w:val="000000"/>
          <w:sz w:val="24"/>
          <w:szCs w:val="24"/>
        </w:rPr>
        <w:t>-</w:t>
      </w:r>
      <w:r>
        <w:rPr>
          <w:rFonts w:ascii="Times New Roman" w:hAnsi="Times New Roman" w:cs="Times New Roman"/>
          <w:color w:val="000000"/>
          <w:sz w:val="24"/>
          <w:szCs w:val="24"/>
        </w:rPr>
        <w:t xml:space="preserve">regulated genes in </w:t>
      </w:r>
      <w:r>
        <w:rPr>
          <w:rFonts w:hint="eastAsia" w:ascii="Times New Roman" w:hAnsi="Times New Roman" w:cs="Times New Roman"/>
          <w:color w:val="000000"/>
          <w:sz w:val="24"/>
          <w:szCs w:val="24"/>
          <w:lang w:val="en-US" w:eastAsia="zh-CN"/>
        </w:rPr>
        <w:t>liver</w:t>
      </w:r>
      <w:r>
        <w:rPr>
          <w:rFonts w:ascii="Times New Roman" w:hAnsi="Times New Roman" w:cs="Times New Roman"/>
          <w:color w:val="000000"/>
          <w:sz w:val="24"/>
          <w:szCs w:val="24"/>
        </w:rPr>
        <w:t xml:space="preserve"> of </w:t>
      </w:r>
      <w:r>
        <w:rPr>
          <w:rFonts w:hint="eastAsia" w:ascii="Times New Roman" w:hAnsi="Times New Roman" w:cs="Times New Roman"/>
          <w:color w:val="000000"/>
          <w:sz w:val="24"/>
          <w:szCs w:val="24"/>
          <w:lang w:val="en-US" w:eastAsia="zh-CN"/>
        </w:rPr>
        <w:t>Shaoxing ducks</w:t>
      </w:r>
    </w:p>
    <w:tbl>
      <w:tblPr>
        <w:tblStyle w:val="7"/>
        <w:tblW w:w="8789" w:type="dxa"/>
        <w:tblInd w:w="-284" w:type="dxa"/>
        <w:tblLayout w:type="autofit"/>
        <w:tblCellMar>
          <w:top w:w="15" w:type="dxa"/>
          <w:left w:w="15" w:type="dxa"/>
          <w:bottom w:w="15" w:type="dxa"/>
          <w:right w:w="15" w:type="dxa"/>
        </w:tblCellMar>
      </w:tblPr>
      <w:tblGrid>
        <w:gridCol w:w="2552"/>
        <w:gridCol w:w="5103"/>
        <w:gridCol w:w="1134"/>
      </w:tblGrid>
      <w:tr>
        <w:tblPrEx>
          <w:tblCellMar>
            <w:top w:w="15" w:type="dxa"/>
            <w:left w:w="15" w:type="dxa"/>
            <w:bottom w:w="15" w:type="dxa"/>
            <w:right w:w="15" w:type="dxa"/>
          </w:tblCellMar>
        </w:tblPrEx>
        <w:trPr>
          <w:trHeight w:val="456" w:hRule="atLeast"/>
        </w:trPr>
        <w:tc>
          <w:tcPr>
            <w:tcW w:w="2552" w:type="dxa"/>
            <w:tcBorders>
              <w:top w:val="single" w:color="auto" w:sz="12" w:space="0"/>
              <w:bottom w:val="single" w:color="auto" w:sz="8" w:space="0"/>
            </w:tcBorders>
            <w:vAlign w:val="center"/>
          </w:tcPr>
          <w:p>
            <w:pPr>
              <w:widowControl/>
              <w:jc w:val="center"/>
              <w:rPr>
                <w:rFonts w:ascii="Times New Roman" w:hAnsi="Times New Roman" w:cs="Times New Roman"/>
                <w:color w:val="000000"/>
                <w:sz w:val="24"/>
                <w:szCs w:val="24"/>
              </w:rPr>
            </w:pPr>
            <w:r>
              <w:rPr>
                <w:rFonts w:ascii="Times New Roman" w:hAnsi="Times New Roman" w:cs="Times New Roman"/>
                <w:color w:val="000000"/>
                <w:sz w:val="24"/>
                <w:szCs w:val="24"/>
              </w:rPr>
              <w:t>Gene Name</w:t>
            </w:r>
          </w:p>
        </w:tc>
        <w:tc>
          <w:tcPr>
            <w:tcW w:w="5103" w:type="dxa"/>
            <w:tcBorders>
              <w:top w:val="single" w:color="auto" w:sz="12" w:space="0"/>
              <w:bottom w:val="single" w:color="auto" w:sz="8" w:space="0"/>
            </w:tcBorders>
            <w:vAlign w:val="center"/>
          </w:tcPr>
          <w:p>
            <w:pPr>
              <w:widowControl/>
              <w:jc w:val="center"/>
              <w:rPr>
                <w:rFonts w:ascii="Times New Roman" w:hAnsi="Times New Roman" w:cs="Times New Roman"/>
                <w:color w:val="000000"/>
                <w:sz w:val="24"/>
                <w:szCs w:val="24"/>
              </w:rPr>
            </w:pPr>
            <w:r>
              <w:rPr>
                <w:rFonts w:ascii="Times New Roman" w:hAnsi="Times New Roman" w:cs="Times New Roman"/>
                <w:color w:val="000000"/>
                <w:sz w:val="24"/>
                <w:szCs w:val="24"/>
              </w:rPr>
              <w:t>Description</w:t>
            </w:r>
          </w:p>
        </w:tc>
        <w:tc>
          <w:tcPr>
            <w:tcW w:w="1134" w:type="dxa"/>
            <w:tcBorders>
              <w:top w:val="single" w:color="auto" w:sz="12" w:space="0"/>
              <w:bottom w:val="single" w:color="auto" w:sz="8" w:space="0"/>
            </w:tcBorders>
            <w:vAlign w:val="center"/>
          </w:tcPr>
          <w:p>
            <w:pPr>
              <w:widowControl/>
              <w:jc w:val="center"/>
              <w:rPr>
                <w:rFonts w:ascii="Times New Roman" w:hAnsi="Times New Roman" w:cs="Times New Roman"/>
                <w:color w:val="000000"/>
                <w:sz w:val="24"/>
                <w:szCs w:val="24"/>
              </w:rPr>
            </w:pPr>
            <w:r>
              <w:rPr>
                <w:rFonts w:ascii="Times New Roman" w:hAnsi="Times New Roman" w:cs="Times New Roman"/>
                <w:color w:val="000000"/>
                <w:sz w:val="24"/>
                <w:szCs w:val="24"/>
              </w:rPr>
              <w:t>p</w:t>
            </w:r>
          </w:p>
        </w:tc>
      </w:tr>
      <w:tr>
        <w:tblPrEx>
          <w:tblCellMar>
            <w:top w:w="15" w:type="dxa"/>
            <w:left w:w="15" w:type="dxa"/>
            <w:bottom w:w="15" w:type="dxa"/>
            <w:right w:w="15" w:type="dxa"/>
          </w:tblCellMar>
        </w:tblPrEx>
        <w:trPr>
          <w:trHeight w:val="285" w:hRule="atLeast"/>
        </w:trPr>
        <w:tc>
          <w:tcPr>
            <w:tcW w:w="2552" w:type="dxa"/>
            <w:tcBorders>
              <w:top w:val="single" w:color="auto" w:sz="8"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EVPL</w:t>
            </w:r>
          </w:p>
        </w:tc>
        <w:tc>
          <w:tcPr>
            <w:tcW w:w="5103" w:type="dxa"/>
            <w:tcBorders>
              <w:top w:val="single" w:color="auto" w:sz="8" w:space="0"/>
            </w:tcBorders>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envoplakin (EVPL), transcript variant X4, mRNA</w:t>
            </w:r>
          </w:p>
        </w:tc>
        <w:tc>
          <w:tcPr>
            <w:tcW w:w="1134" w:type="dxa"/>
            <w:tcBorders>
              <w:top w:val="single" w:color="auto" w:sz="8" w:space="0"/>
            </w:tcBorders>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7.950E-08</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ADGRD2</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adhesion G protein-coupled receptor D2 (ADGRD2),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3.970E-05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ENSAPLG00000008949</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keratin, type I cytoskeletal 15 (LOC101792676),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7.550E-05</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TNFSF8</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tumor necrosis factor (ligand) superfamily, member 8 (TNFSF8),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1.577E-04</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ENSAPLG00000014299</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zinc finger protein 335 (ZNF335),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2.195E-03</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ENSAPLG00000010262</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polyamine-modulated factor 1 (PMF1),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3.377E-03</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ENSAPLG00000003756</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protein O-GlcNAcase-like (LOC101803302), partial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6.909E-03</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ENSAPLG00000002689</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steroid receptor RNA activator 1 (SRA1), partial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7.133E-03</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FOS</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FBJ murine osteosarcoma viral oncogene homolog (FOS), partial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7.540E-03</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ENSAPLG00000003647</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class I histocompatibility antigen, F10 alpha chain-like (LOC101794830),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8.124E-03</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TRAPPC4</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trafficking protein particle complex 4 (TRAPPC4), partial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1.433E-02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DUSP1</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dual specificity phosphatase 1 (DUSP1), partial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1.484E-02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PHYHD1</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phytanoyl-CoA dioxygenase domain containing 1 (PHYHD1),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1.484E-02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NECAB1</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N-terminal EF-hand calcium binding protein 1 (NECAB1), partial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2.721E-02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PARP3</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poly (ADP-ribose) polymerase family, member 3 (PARP3), partial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3.050E-02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SCNN1B</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sodium channel, non voltage gated 1 beta subunit (SCNN1B),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3.159E-02</w:t>
            </w:r>
          </w:p>
        </w:tc>
      </w:tr>
      <w:tr>
        <w:tblPrEx>
          <w:tblCellMar>
            <w:top w:w="15" w:type="dxa"/>
            <w:left w:w="15" w:type="dxa"/>
            <w:bottom w:w="15" w:type="dxa"/>
            <w:right w:w="15" w:type="dxa"/>
          </w:tblCellMar>
        </w:tblPrEx>
        <w:trPr>
          <w:trHeight w:val="285" w:hRule="atLeast"/>
        </w:trPr>
        <w:tc>
          <w:tcPr>
            <w:tcW w:w="2552" w:type="dxa"/>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SMIM8</w:t>
            </w:r>
          </w:p>
        </w:tc>
        <w:tc>
          <w:tcPr>
            <w:tcW w:w="5103" w:type="dxa"/>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small integral membrane protein 8 (SMIM8), mRNA</w:t>
            </w:r>
          </w:p>
        </w:tc>
        <w:tc>
          <w:tcPr>
            <w:tcW w:w="1134" w:type="dxa"/>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3.710E-02</w:t>
            </w:r>
          </w:p>
        </w:tc>
      </w:tr>
      <w:tr>
        <w:tblPrEx>
          <w:tblCellMar>
            <w:top w:w="15" w:type="dxa"/>
            <w:left w:w="15" w:type="dxa"/>
            <w:bottom w:w="15" w:type="dxa"/>
            <w:right w:w="15" w:type="dxa"/>
          </w:tblCellMar>
        </w:tblPrEx>
        <w:trPr>
          <w:trHeight w:val="285" w:hRule="atLeast"/>
        </w:trPr>
        <w:tc>
          <w:tcPr>
            <w:tcW w:w="2552" w:type="dxa"/>
            <w:tcBorders>
              <w:bottom w:val="single" w:color="auto" w:sz="12" w:space="0"/>
            </w:tcBorders>
            <w:vAlign w:val="center"/>
          </w:tcPr>
          <w:p>
            <w:pPr>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TMEM116</w:t>
            </w:r>
          </w:p>
        </w:tc>
        <w:tc>
          <w:tcPr>
            <w:tcW w:w="5103" w:type="dxa"/>
            <w:tcBorders>
              <w:bottom w:val="single" w:color="auto" w:sz="12" w:space="0"/>
            </w:tcBorders>
            <w:vAlign w:val="center"/>
          </w:tcPr>
          <w:p>
            <w:pPr>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transmembrane protein 116 (TMEM116), transcript variant X1, mRNA</w:t>
            </w:r>
          </w:p>
        </w:tc>
        <w:tc>
          <w:tcPr>
            <w:tcW w:w="1134" w:type="dxa"/>
            <w:tcBorders>
              <w:bottom w:val="single" w:color="auto" w:sz="12" w:space="0"/>
            </w:tcBorders>
            <w:vAlign w:val="center"/>
          </w:tcPr>
          <w:p>
            <w:pPr>
              <w:widowControl/>
              <w:jc w:val="center"/>
              <w:rPr>
                <w:rFonts w:ascii="Times New Roman" w:hAnsi="Times New Roman" w:cs="Times New Roman"/>
                <w:color w:val="000000"/>
                <w:sz w:val="24"/>
                <w:szCs w:val="24"/>
              </w:rPr>
            </w:pPr>
            <w:r>
              <w:rPr>
                <w:rFonts w:hint="eastAsia" w:ascii="Times New Roman" w:hAnsi="Times New Roman" w:cs="Times New Roman"/>
                <w:color w:val="000000"/>
                <w:sz w:val="24"/>
                <w:szCs w:val="24"/>
              </w:rPr>
              <w:t>4.893E-02</w:t>
            </w:r>
          </w:p>
        </w:tc>
      </w:tr>
      <w:bookmarkEnd w:id="7"/>
    </w:tbl>
    <w:p>
      <w:pPr>
        <w:rPr>
          <w:rFonts w:ascii="Times New Roman" w:hAnsi="Times New Roman" w:cs="Times New Roman"/>
          <w:sz w:val="24"/>
          <w:szCs w:val="24"/>
        </w:rPr>
      </w:pPr>
    </w:p>
    <w:sectPr>
      <w:pgSz w:w="11906" w:h="16838"/>
      <w:pgMar w:top="1440" w:right="1797" w:bottom="1440" w:left="1797" w:header="851" w:footer="992" w:gutter="0"/>
      <w:lnNumType w:countBy="1" w:restart="continuou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2DE"/>
    <w:rsid w:val="0005127C"/>
    <w:rsid w:val="00072883"/>
    <w:rsid w:val="00114AF1"/>
    <w:rsid w:val="00182C22"/>
    <w:rsid w:val="001D0F9F"/>
    <w:rsid w:val="001F7E48"/>
    <w:rsid w:val="00230ACD"/>
    <w:rsid w:val="00246F46"/>
    <w:rsid w:val="00276544"/>
    <w:rsid w:val="002844BA"/>
    <w:rsid w:val="002A33D4"/>
    <w:rsid w:val="002B0180"/>
    <w:rsid w:val="002B12F2"/>
    <w:rsid w:val="00406B98"/>
    <w:rsid w:val="00485237"/>
    <w:rsid w:val="004A3DD1"/>
    <w:rsid w:val="004C073E"/>
    <w:rsid w:val="004C0C52"/>
    <w:rsid w:val="00500B4C"/>
    <w:rsid w:val="00513F0C"/>
    <w:rsid w:val="0062043B"/>
    <w:rsid w:val="00661403"/>
    <w:rsid w:val="00690BCE"/>
    <w:rsid w:val="006C3D5D"/>
    <w:rsid w:val="00713580"/>
    <w:rsid w:val="0071753C"/>
    <w:rsid w:val="0072571D"/>
    <w:rsid w:val="00745804"/>
    <w:rsid w:val="007475ED"/>
    <w:rsid w:val="00786961"/>
    <w:rsid w:val="007D2C2D"/>
    <w:rsid w:val="007E73C1"/>
    <w:rsid w:val="00817E34"/>
    <w:rsid w:val="00861DF4"/>
    <w:rsid w:val="008E229D"/>
    <w:rsid w:val="009208C0"/>
    <w:rsid w:val="009C5293"/>
    <w:rsid w:val="009E7021"/>
    <w:rsid w:val="00A76D0E"/>
    <w:rsid w:val="00A8602F"/>
    <w:rsid w:val="00AD3CC7"/>
    <w:rsid w:val="00BF02DE"/>
    <w:rsid w:val="00C659C4"/>
    <w:rsid w:val="00DC2156"/>
    <w:rsid w:val="00DE737A"/>
    <w:rsid w:val="00DF6884"/>
    <w:rsid w:val="00E56779"/>
    <w:rsid w:val="00E707AD"/>
    <w:rsid w:val="00EF54CA"/>
    <w:rsid w:val="00FA09B5"/>
    <w:rsid w:val="00FC0C38"/>
    <w:rsid w:val="00FC6C6E"/>
    <w:rsid w:val="0477128A"/>
    <w:rsid w:val="0A4D30D7"/>
    <w:rsid w:val="334633AB"/>
    <w:rsid w:val="334F4D4B"/>
    <w:rsid w:val="43442C13"/>
    <w:rsid w:val="56307EC4"/>
    <w:rsid w:val="6DAE78EC"/>
    <w:rsid w:val="71627D3A"/>
    <w:rsid w:val="79D910E0"/>
    <w:rsid w:val="7CFB0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keepNext/>
      <w:keepLines/>
      <w:spacing w:line="360" w:lineRule="auto"/>
      <w:outlineLvl w:val="0"/>
    </w:pPr>
    <w:rPr>
      <w:rFonts w:eastAsia="黑体"/>
      <w:b/>
      <w:bCs/>
      <w:kern w:val="44"/>
      <w:sz w:val="30"/>
      <w:szCs w:val="44"/>
    </w:rPr>
  </w:style>
  <w:style w:type="paragraph" w:styleId="3">
    <w:name w:val="heading 2"/>
    <w:basedOn w:val="1"/>
    <w:next w:val="1"/>
    <w:link w:val="15"/>
    <w:unhideWhenUsed/>
    <w:qFormat/>
    <w:uiPriority w:val="9"/>
    <w:pPr>
      <w:keepNext/>
      <w:keepLines/>
      <w:spacing w:line="360" w:lineRule="auto"/>
      <w:outlineLvl w:val="1"/>
    </w:pPr>
    <w:rPr>
      <w:rFonts w:eastAsia="黑体" w:cstheme="majorBidi"/>
      <w:bCs/>
      <w:sz w:val="28"/>
      <w:szCs w:val="32"/>
    </w:rPr>
  </w:style>
  <w:style w:type="paragraph" w:styleId="4">
    <w:name w:val="heading 3"/>
    <w:basedOn w:val="1"/>
    <w:next w:val="1"/>
    <w:link w:val="16"/>
    <w:unhideWhenUsed/>
    <w:qFormat/>
    <w:uiPriority w:val="9"/>
    <w:pPr>
      <w:keepNext/>
      <w:keepLines/>
      <w:spacing w:line="360" w:lineRule="auto"/>
      <w:outlineLvl w:val="2"/>
    </w:pPr>
    <w:rPr>
      <w:rFonts w:eastAsia="黑体"/>
      <w:bCs/>
      <w:sz w:val="24"/>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line number"/>
    <w:basedOn w:val="9"/>
    <w:semiHidden/>
    <w:unhideWhenUsed/>
    <w:qFormat/>
    <w:uiPriority w:val="99"/>
  </w:style>
  <w:style w:type="character" w:styleId="11">
    <w:name w:val="Hyperlink"/>
    <w:basedOn w:val="9"/>
    <w:semiHidden/>
    <w:unhideWhenUsed/>
    <w:qFormat/>
    <w:uiPriority w:val="99"/>
    <w:rPr>
      <w:color w:val="0000FF"/>
      <w:u w:val="single"/>
    </w:rPr>
  </w:style>
  <w:style w:type="paragraph" w:customStyle="1" w:styleId="12">
    <w:name w:val="标题3"/>
    <w:basedOn w:val="1"/>
    <w:link w:val="13"/>
    <w:qFormat/>
    <w:uiPriority w:val="0"/>
    <w:pPr>
      <w:spacing w:line="360" w:lineRule="auto"/>
    </w:pPr>
    <w:rPr>
      <w:rFonts w:asciiTheme="minorEastAsia" w:hAnsiTheme="minorEastAsia"/>
      <w:b/>
      <w:kern w:val="0"/>
      <w:sz w:val="24"/>
      <w:szCs w:val="24"/>
    </w:rPr>
  </w:style>
  <w:style w:type="character" w:customStyle="1" w:styleId="13">
    <w:name w:val="标题3 Char"/>
    <w:basedOn w:val="9"/>
    <w:link w:val="12"/>
    <w:qFormat/>
    <w:uiPriority w:val="0"/>
    <w:rPr>
      <w:rFonts w:asciiTheme="minorEastAsia" w:hAnsiTheme="minorEastAsia"/>
      <w:b/>
      <w:kern w:val="0"/>
      <w:sz w:val="24"/>
      <w:szCs w:val="24"/>
    </w:rPr>
  </w:style>
  <w:style w:type="character" w:customStyle="1" w:styleId="14">
    <w:name w:val="标题 1 字符"/>
    <w:basedOn w:val="9"/>
    <w:link w:val="2"/>
    <w:qFormat/>
    <w:uiPriority w:val="9"/>
    <w:rPr>
      <w:rFonts w:eastAsia="黑体"/>
      <w:b/>
      <w:bCs/>
      <w:kern w:val="44"/>
      <w:sz w:val="30"/>
      <w:szCs w:val="44"/>
    </w:rPr>
  </w:style>
  <w:style w:type="character" w:customStyle="1" w:styleId="15">
    <w:name w:val="标题 2 字符"/>
    <w:basedOn w:val="9"/>
    <w:link w:val="3"/>
    <w:qFormat/>
    <w:uiPriority w:val="9"/>
    <w:rPr>
      <w:rFonts w:eastAsia="黑体" w:cstheme="majorBidi"/>
      <w:bCs/>
      <w:sz w:val="28"/>
      <w:szCs w:val="32"/>
    </w:rPr>
  </w:style>
  <w:style w:type="character" w:customStyle="1" w:styleId="16">
    <w:name w:val="标题 3 字符"/>
    <w:basedOn w:val="9"/>
    <w:link w:val="4"/>
    <w:qFormat/>
    <w:uiPriority w:val="9"/>
    <w:rPr>
      <w:rFonts w:eastAsia="黑体"/>
      <w:bCs/>
      <w:sz w:val="24"/>
      <w:szCs w:val="32"/>
    </w:rPr>
  </w:style>
  <w:style w:type="character" w:customStyle="1" w:styleId="17">
    <w:name w:val="页眉 字符"/>
    <w:basedOn w:val="9"/>
    <w:link w:val="6"/>
    <w:qFormat/>
    <w:uiPriority w:val="99"/>
    <w:rPr>
      <w:sz w:val="18"/>
      <w:szCs w:val="18"/>
    </w:rPr>
  </w:style>
  <w:style w:type="character" w:customStyle="1" w:styleId="18">
    <w:name w:val="页脚 字符"/>
    <w:basedOn w:val="9"/>
    <w:link w:val="5"/>
    <w:qFormat/>
    <w:uiPriority w:val="99"/>
    <w:rPr>
      <w:sz w:val="18"/>
      <w:szCs w:val="18"/>
    </w:rPr>
  </w:style>
  <w:style w:type="table" w:customStyle="1" w:styleId="19">
    <w:name w:val="网格型3"/>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网格型2"/>
    <w:basedOn w:val="7"/>
    <w:unhideWhenUsed/>
    <w:qFormat/>
    <w:uiPriority w:val="3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
    <w:name w:val="网格型4"/>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cc\&#40635;&#40493;\SX_MA_&#36716;&#24405;&#32452;\total%20mapping%20reg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31287605294825"/>
          <c:y val="0.134197232593894"/>
          <c:w val="0.787292418772563"/>
          <c:h val="0.708412036020207"/>
        </c:manualLayout>
      </c:layout>
      <c:barChart>
        <c:barDir val="col"/>
        <c:grouping val="clustered"/>
        <c:varyColors val="0"/>
        <c:ser>
          <c:idx val="0"/>
          <c:order val="0"/>
          <c:tx>
            <c:strRef>
              <c:f>'[total mapping region.xlsx]Sheet2'!$A$2</c:f>
              <c:strCache>
                <c:ptCount val="1"/>
                <c:pt idx="0">
                  <c:v>Up</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'[total mapping region.xlsx]Sheet2'!$B$1:$D$1</c:f>
              <c:strCache>
                <c:ptCount val="3"/>
                <c:pt idx="0">
                  <c:v>SXMuscle_MAMuscle</c:v>
                </c:pt>
                <c:pt idx="1">
                  <c:v>SXLiver_MALiver</c:v>
                </c:pt>
                <c:pt idx="2">
                  <c:v>SXCb_MACb</c:v>
                </c:pt>
              </c:strCache>
            </c:strRef>
          </c:cat>
          <c:val>
            <c:numRef>
              <c:f>'[total mapping region.xlsx]Sheet2'!$B$2:$D$2</c:f>
              <c:numCache>
                <c:formatCode>General</c:formatCode>
                <c:ptCount val="3"/>
                <c:pt idx="0">
                  <c:v>115</c:v>
                </c:pt>
                <c:pt idx="1">
                  <c:v>67</c:v>
                </c:pt>
                <c:pt idx="2">
                  <c:v>19</c:v>
                </c:pt>
              </c:numCache>
            </c:numRef>
          </c:val>
        </c:ser>
        <c:ser>
          <c:idx val="1"/>
          <c:order val="1"/>
          <c:tx>
            <c:strRef>
              <c:f>'[total mapping region.xlsx]Sheet2'!$A$3</c:f>
              <c:strCache>
                <c:ptCount val="1"/>
                <c:pt idx="0">
                  <c:v>Down</c:v>
                </c:pt>
              </c:strCache>
            </c:strRef>
          </c:tx>
          <c:spPr>
            <a:solidFill>
              <a:srgbClr val="5B9BD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'[total mapping region.xlsx]Sheet2'!$B$1:$D$1</c:f>
              <c:strCache>
                <c:ptCount val="3"/>
                <c:pt idx="0">
                  <c:v>SXMuscle_MAMuscle</c:v>
                </c:pt>
                <c:pt idx="1">
                  <c:v>SXLiver_MALiver</c:v>
                </c:pt>
                <c:pt idx="2">
                  <c:v>SXCb_MACb</c:v>
                </c:pt>
              </c:strCache>
            </c:strRef>
          </c:cat>
          <c:val>
            <c:numRef>
              <c:f>'[total mapping region.xlsx]Sheet2'!$B$3:$D$3</c:f>
              <c:numCache>
                <c:formatCode>General</c:formatCode>
                <c:ptCount val="3"/>
                <c:pt idx="0">
                  <c:v>204</c:v>
                </c:pt>
                <c:pt idx="1">
                  <c:v>94</c:v>
                </c:pt>
                <c:pt idx="2">
                  <c:v>9</c:v>
                </c:pt>
              </c:numCache>
            </c:numRef>
          </c:val>
        </c:ser>
        <c:ser>
          <c:idx val="2"/>
          <c:order val="2"/>
          <c:tx>
            <c:strRef>
              <c:f>'[total mapping region.xlsx]Sheet2'!$A$4</c:f>
              <c:strCache>
                <c:ptCount val="1"/>
                <c:pt idx="0">
                  <c:v>Total</c:v>
                </c:pt>
              </c:strCache>
            </c:strRef>
          </c:tx>
          <c:spPr>
            <a:solidFill>
              <a:srgbClr val="F8CA18"/>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'[total mapping region.xlsx]Sheet2'!$B$1:$D$1</c:f>
              <c:strCache>
                <c:ptCount val="3"/>
                <c:pt idx="0">
                  <c:v>SXMuscle_MAMuscle</c:v>
                </c:pt>
                <c:pt idx="1">
                  <c:v>SXLiver_MALiver</c:v>
                </c:pt>
                <c:pt idx="2">
                  <c:v>SXCb_MACb</c:v>
                </c:pt>
              </c:strCache>
            </c:strRef>
          </c:cat>
          <c:val>
            <c:numRef>
              <c:f>'[total mapping region.xlsx]Sheet2'!$B$4:$D$4</c:f>
              <c:numCache>
                <c:formatCode>General</c:formatCode>
                <c:ptCount val="3"/>
                <c:pt idx="0">
                  <c:v>319</c:v>
                </c:pt>
                <c:pt idx="1">
                  <c:v>161</c:v>
                </c:pt>
                <c:pt idx="2">
                  <c:v>28</c:v>
                </c:pt>
              </c:numCache>
            </c:numRef>
          </c:val>
        </c:ser>
        <c:dLbls>
          <c:showLegendKey val="0"/>
          <c:showVal val="0"/>
          <c:showCatName val="0"/>
          <c:showSerName val="0"/>
          <c:showPercent val="0"/>
          <c:showBubbleSize val="0"/>
        </c:dLbls>
        <c:gapWidth val="150"/>
        <c:overlap val="0"/>
        <c:axId val="157947561"/>
        <c:axId val="434879820"/>
      </c:barChart>
      <c:catAx>
        <c:axId val="15794756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434879820"/>
        <c:crosses val="autoZero"/>
        <c:auto val="1"/>
        <c:lblAlgn val="ctr"/>
        <c:lblOffset val="100"/>
        <c:noMultiLvlLbl val="0"/>
      </c:catAx>
      <c:valAx>
        <c:axId val="4348798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57947561"/>
        <c:crosses val="autoZero"/>
        <c:crossBetween val="between"/>
      </c:valAx>
      <c:spPr>
        <a:noFill/>
        <a:ln>
          <a:noFill/>
        </a:ln>
        <a:effectLst/>
      </c:spPr>
    </c:plotArea>
    <c:legend>
      <c:legendPos val="r"/>
      <c:legendEntry>
        <c:idx val="0"/>
        <c:txPr>
          <a:bodyPr rot="0" spcFirstLastPara="0" vertOverflow="ellipsis" vert="horz" wrap="square" anchor="ctr" anchorCtr="1"/>
          <a:lstStyle/>
          <a:p>
            <a:pPr>
              <a:defRPr lang="zh-CN"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2"/>
        <c:txPr>
          <a:bodyPr rot="0" spcFirstLastPara="0" vertOverflow="ellipsis" vert="horz" wrap="square" anchor="ctr" anchorCtr="1"/>
          <a:lstStyle/>
          <a:p>
            <a:pPr>
              <a:defRPr lang="zh-CN"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manualLayout>
          <c:xMode val="edge"/>
          <c:yMode val="edge"/>
          <c:x val="0.869894099848714"/>
          <c:y val="0.0326388888888889"/>
          <c:w val="0.10860168575751"/>
          <c:h val="0.497453703703704"/>
        </c:manualLayout>
      </c:layout>
      <c:overlay val="0"/>
      <c:spPr>
        <a:noFill/>
        <a:ln>
          <a:noFill/>
        </a:ln>
        <a:effectLst/>
      </c:spPr>
      <c:txPr>
        <a:bodyPr rot="0" spcFirstLastPara="0" vertOverflow="ellipsis" vert="horz" wrap="square" anchor="ctr" anchorCtr="1"/>
        <a:lstStyle/>
        <a:p>
          <a:pPr>
            <a:defRPr lang="zh-CN" sz="900" b="1"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2E4F83-F836-4D26-8B6E-72240B30437E}">
  <ds:schemaRefs/>
</ds:datastoreItem>
</file>

<file path=docProps/app.xml><?xml version="1.0" encoding="utf-8"?>
<Properties xmlns="http://schemas.openxmlformats.org/officeDocument/2006/extended-properties" xmlns:vt="http://schemas.openxmlformats.org/officeDocument/2006/docPropsVTypes">
  <Template>Normal.dotm</Template>
  <Pages>1</Pages>
  <Words>7769</Words>
  <Characters>44289</Characters>
  <Lines>369</Lines>
  <Paragraphs>103</Paragraphs>
  <TotalTime>6</TotalTime>
  <ScaleCrop>false</ScaleCrop>
  <LinksUpToDate>false</LinksUpToDate>
  <CharactersWithSpaces>51955</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2018-04-12T13:34:00Z</dcterms:created>
  <dc:creator>zengtao</dc:creator>
  <cp:lastModifiedBy>冯佩诗</cp:lastModifiedBy>
  <dcterms:modified xsi:type="dcterms:W3CDTF">2021-05-06T10:54:28Z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0D349B430E874D15B3355E999F743F05</vt:lpwstr>
  </property>
</Properties>
</file>