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BED" w:rsidRPr="00EB14C0" w:rsidRDefault="00F47BED" w:rsidP="00CC65B5">
      <w:pPr>
        <w:spacing w:line="276" w:lineRule="auto"/>
        <w:jc w:val="center"/>
        <w:rPr>
          <w:rFonts w:ascii="Times New Roman" w:hAnsi="Times New Roman" w:cs="Times New Roman"/>
          <w:b/>
          <w:sz w:val="30"/>
          <w:szCs w:val="30"/>
        </w:rPr>
      </w:pPr>
      <w:r w:rsidRPr="00EB14C0">
        <w:rPr>
          <w:rFonts w:ascii="Times New Roman" w:hAnsi="Times New Roman" w:cs="Times New Roman"/>
          <w:b/>
          <w:sz w:val="30"/>
          <w:szCs w:val="30"/>
        </w:rPr>
        <w:t xml:space="preserve">Camptothecin inhibited the growth of </w:t>
      </w:r>
      <w:r w:rsidRPr="00EB14C0">
        <w:rPr>
          <w:rFonts w:ascii="Times New Roman" w:hAnsi="Times New Roman" w:cs="Times New Roman"/>
          <w:b/>
          <w:i/>
          <w:sz w:val="30"/>
          <w:szCs w:val="30"/>
        </w:rPr>
        <w:t>Spodoptera frugiperda</w:t>
      </w:r>
      <w:r w:rsidRPr="00EB14C0">
        <w:rPr>
          <w:rFonts w:ascii="Times New Roman" w:hAnsi="Times New Roman" w:cs="Times New Roman"/>
          <w:b/>
          <w:sz w:val="30"/>
          <w:szCs w:val="30"/>
        </w:rPr>
        <w:t xml:space="preserve"> larvae by altering the structures and gene expression profiles of midgut </w:t>
      </w:r>
    </w:p>
    <w:p w:rsidR="00CC65B5" w:rsidRPr="00EB14C0" w:rsidRDefault="00CC65B5" w:rsidP="00CC65B5">
      <w:pPr>
        <w:spacing w:line="276" w:lineRule="auto"/>
        <w:jc w:val="center"/>
        <w:rPr>
          <w:rFonts w:ascii="Times New Roman" w:hAnsi="Times New Roman" w:cs="Times New Roman"/>
          <w:sz w:val="24"/>
          <w:szCs w:val="24"/>
        </w:rPr>
      </w:pPr>
      <w:r w:rsidRPr="00EB14C0">
        <w:rPr>
          <w:rFonts w:ascii="Times New Roman" w:hAnsi="Times New Roman" w:cs="Times New Roman"/>
          <w:sz w:val="24"/>
          <w:szCs w:val="24"/>
        </w:rPr>
        <w:t>Benshui Shu,</w:t>
      </w:r>
      <w:r w:rsidR="00F47BED" w:rsidRPr="00EB14C0">
        <w:rPr>
          <w:rFonts w:ascii="Times New Roman" w:hAnsi="Times New Roman" w:cs="Times New Roman"/>
          <w:sz w:val="24"/>
          <w:szCs w:val="24"/>
        </w:rPr>
        <w:t xml:space="preserve"> Yan Zou,</w:t>
      </w:r>
      <w:r w:rsidRPr="00EB14C0">
        <w:rPr>
          <w:rFonts w:ascii="Times New Roman" w:hAnsi="Times New Roman" w:cs="Times New Roman"/>
          <w:sz w:val="24"/>
          <w:szCs w:val="24"/>
        </w:rPr>
        <w:t xml:space="preserve"> </w:t>
      </w:r>
      <w:r w:rsidR="00F47BED" w:rsidRPr="00EB14C0">
        <w:rPr>
          <w:rFonts w:ascii="Times New Roman" w:hAnsi="Times New Roman" w:cs="Times New Roman"/>
          <w:sz w:val="24"/>
          <w:szCs w:val="24"/>
        </w:rPr>
        <w:t xml:space="preserve">Haikuo Yu, </w:t>
      </w:r>
      <w:r w:rsidRPr="00EB14C0">
        <w:rPr>
          <w:rFonts w:ascii="Times New Roman" w:hAnsi="Times New Roman" w:cs="Times New Roman"/>
          <w:sz w:val="24"/>
          <w:szCs w:val="24"/>
        </w:rPr>
        <w:t>Wanying Zhang, Xiangli Li, Liang Cao, Jintian Lin*</w:t>
      </w:r>
    </w:p>
    <w:p w:rsidR="00CC65B5" w:rsidRPr="00EB14C0" w:rsidRDefault="00CC65B5" w:rsidP="00CC65B5">
      <w:pPr>
        <w:spacing w:line="276" w:lineRule="auto"/>
        <w:jc w:val="center"/>
        <w:rPr>
          <w:rFonts w:ascii="Times New Roman" w:hAnsi="Times New Roman" w:cs="Times New Roman"/>
          <w:sz w:val="24"/>
          <w:szCs w:val="24"/>
          <w:vertAlign w:val="superscript"/>
        </w:rPr>
      </w:pPr>
    </w:p>
    <w:p w:rsidR="00CC65B5" w:rsidRPr="00EB14C0" w:rsidRDefault="00CC65B5" w:rsidP="00CC65B5">
      <w:pPr>
        <w:spacing w:line="276" w:lineRule="auto"/>
        <w:jc w:val="center"/>
        <w:rPr>
          <w:rFonts w:ascii="Times New Roman" w:hAnsi="Times New Roman" w:cs="Times New Roman"/>
          <w:sz w:val="24"/>
          <w:szCs w:val="24"/>
          <w:vertAlign w:val="superscript"/>
        </w:rPr>
      </w:pPr>
    </w:p>
    <w:p w:rsidR="00CC65B5" w:rsidRPr="00EB14C0" w:rsidRDefault="00CC65B5" w:rsidP="00CC65B5">
      <w:pPr>
        <w:spacing w:line="276" w:lineRule="auto"/>
        <w:jc w:val="center"/>
        <w:rPr>
          <w:rFonts w:ascii="Times New Roman" w:hAnsi="Times New Roman" w:cs="Times New Roman"/>
          <w:sz w:val="24"/>
          <w:szCs w:val="24"/>
          <w:vertAlign w:val="superscript"/>
        </w:rPr>
      </w:pPr>
    </w:p>
    <w:p w:rsidR="00CC65B5" w:rsidRPr="00EB14C0" w:rsidRDefault="00CC65B5" w:rsidP="00CC65B5">
      <w:pPr>
        <w:spacing w:line="360" w:lineRule="auto"/>
        <w:jc w:val="center"/>
        <w:rPr>
          <w:rFonts w:ascii="Times New Roman" w:hAnsi="Times New Roman" w:cs="Times New Roman"/>
          <w:sz w:val="24"/>
          <w:szCs w:val="24"/>
        </w:rPr>
      </w:pPr>
      <w:r w:rsidRPr="00EB14C0">
        <w:rPr>
          <w:rFonts w:ascii="Times New Roman" w:hAnsi="Times New Roman" w:cs="Times New Roman"/>
          <w:sz w:val="24"/>
          <w:szCs w:val="24"/>
        </w:rPr>
        <w:t xml:space="preserve">Guangzhou City Key Laboratory of Subtropical Fruit Trees Outbreak Control, </w:t>
      </w:r>
      <w:r w:rsidRPr="00EB14C0">
        <w:rPr>
          <w:rFonts w:ascii="Times New Roman" w:hAnsi="Times New Roman" w:cs="Times New Roman"/>
          <w:color w:val="020202"/>
          <w:sz w:val="24"/>
          <w:szCs w:val="24"/>
          <w:shd w:val="clear" w:color="auto" w:fill="FFFFFF"/>
        </w:rPr>
        <w:t>Zhongkai University of Agriculture and Engineering, Guangzhou, China</w:t>
      </w:r>
    </w:p>
    <w:p w:rsidR="00CC65B5" w:rsidRPr="00EB14C0" w:rsidRDefault="00CC65B5" w:rsidP="00CC65B5">
      <w:pPr>
        <w:spacing w:line="360" w:lineRule="auto"/>
        <w:jc w:val="center"/>
        <w:rPr>
          <w:rFonts w:ascii="Times New Roman" w:hAnsi="Times New Roman" w:cs="Times New Roman"/>
          <w:sz w:val="24"/>
          <w:szCs w:val="24"/>
        </w:rPr>
      </w:pPr>
    </w:p>
    <w:p w:rsidR="00CC65B5" w:rsidRPr="00EB14C0" w:rsidRDefault="00CC65B5" w:rsidP="00CC65B5">
      <w:pPr>
        <w:spacing w:line="360" w:lineRule="auto"/>
        <w:jc w:val="center"/>
        <w:rPr>
          <w:rFonts w:ascii="Times New Roman" w:hAnsi="Times New Roman" w:cs="Times New Roman"/>
          <w:sz w:val="24"/>
          <w:szCs w:val="24"/>
        </w:rPr>
      </w:pPr>
    </w:p>
    <w:p w:rsidR="00CC65B5" w:rsidRPr="00EB14C0" w:rsidRDefault="00CC65B5" w:rsidP="00CC65B5">
      <w:pPr>
        <w:spacing w:line="360" w:lineRule="auto"/>
        <w:jc w:val="center"/>
        <w:rPr>
          <w:rFonts w:ascii="Times New Roman" w:hAnsi="Times New Roman" w:cs="Times New Roman"/>
          <w:sz w:val="24"/>
          <w:szCs w:val="24"/>
        </w:rPr>
      </w:pPr>
    </w:p>
    <w:p w:rsidR="00CC65B5" w:rsidRPr="00EB14C0" w:rsidRDefault="00CC65B5" w:rsidP="00CC65B5">
      <w:pPr>
        <w:spacing w:line="360" w:lineRule="auto"/>
        <w:jc w:val="center"/>
        <w:rPr>
          <w:rFonts w:ascii="Times New Roman" w:hAnsi="Times New Roman" w:cs="Times New Roman"/>
          <w:sz w:val="24"/>
          <w:szCs w:val="24"/>
        </w:rPr>
      </w:pPr>
    </w:p>
    <w:p w:rsidR="00CC65B5" w:rsidRPr="00EB14C0" w:rsidRDefault="00CC65B5" w:rsidP="00CC65B5">
      <w:pPr>
        <w:spacing w:line="360" w:lineRule="auto"/>
        <w:jc w:val="center"/>
        <w:rPr>
          <w:rFonts w:ascii="Times New Roman" w:hAnsi="Times New Roman" w:cs="Times New Roman"/>
          <w:sz w:val="24"/>
          <w:szCs w:val="24"/>
        </w:rPr>
      </w:pPr>
    </w:p>
    <w:p w:rsidR="00CC65B5" w:rsidRPr="00EB14C0" w:rsidRDefault="00CC65B5" w:rsidP="00CC65B5">
      <w:pPr>
        <w:spacing w:line="360" w:lineRule="auto"/>
        <w:jc w:val="center"/>
        <w:rPr>
          <w:rFonts w:ascii="Times New Roman" w:hAnsi="Times New Roman" w:cs="Times New Roman"/>
          <w:sz w:val="24"/>
          <w:szCs w:val="24"/>
        </w:rPr>
      </w:pPr>
    </w:p>
    <w:p w:rsidR="00CC65B5" w:rsidRPr="00EB14C0" w:rsidRDefault="00CC65B5" w:rsidP="00CC65B5">
      <w:pPr>
        <w:spacing w:line="360" w:lineRule="auto"/>
        <w:jc w:val="center"/>
        <w:rPr>
          <w:rFonts w:ascii="Times New Roman" w:hAnsi="Times New Roman" w:cs="Times New Roman"/>
          <w:sz w:val="24"/>
          <w:szCs w:val="24"/>
        </w:rPr>
      </w:pPr>
    </w:p>
    <w:p w:rsidR="00CC65B5" w:rsidRPr="00EB14C0" w:rsidRDefault="00CC65B5" w:rsidP="00CC65B5">
      <w:pPr>
        <w:spacing w:line="360" w:lineRule="auto"/>
        <w:jc w:val="center"/>
        <w:rPr>
          <w:rFonts w:ascii="Times New Roman" w:hAnsi="Times New Roman" w:cs="Times New Roman"/>
          <w:sz w:val="24"/>
          <w:szCs w:val="24"/>
        </w:rPr>
      </w:pPr>
    </w:p>
    <w:p w:rsidR="00CC65B5" w:rsidRPr="00EB14C0" w:rsidRDefault="00CC65B5" w:rsidP="00CC65B5">
      <w:pPr>
        <w:spacing w:line="360" w:lineRule="auto"/>
        <w:jc w:val="center"/>
        <w:rPr>
          <w:rFonts w:ascii="Times New Roman" w:hAnsi="Times New Roman" w:cs="Times New Roman"/>
          <w:sz w:val="24"/>
          <w:szCs w:val="24"/>
        </w:rPr>
      </w:pPr>
    </w:p>
    <w:p w:rsidR="00CC65B5" w:rsidRPr="00EB14C0" w:rsidRDefault="00CC65B5" w:rsidP="00CC65B5">
      <w:pPr>
        <w:spacing w:line="360" w:lineRule="auto"/>
        <w:jc w:val="center"/>
        <w:rPr>
          <w:rFonts w:ascii="Times New Roman" w:hAnsi="Times New Roman" w:cs="Times New Roman"/>
          <w:sz w:val="24"/>
          <w:szCs w:val="24"/>
        </w:rPr>
      </w:pPr>
    </w:p>
    <w:p w:rsidR="00CC65B5" w:rsidRPr="00EB14C0" w:rsidRDefault="00CC65B5" w:rsidP="00CC65B5">
      <w:pPr>
        <w:spacing w:line="360" w:lineRule="auto"/>
        <w:jc w:val="center"/>
        <w:rPr>
          <w:rFonts w:ascii="Times New Roman" w:hAnsi="Times New Roman" w:cs="Times New Roman"/>
          <w:sz w:val="24"/>
          <w:szCs w:val="24"/>
        </w:rPr>
      </w:pPr>
    </w:p>
    <w:p w:rsidR="00CC65B5" w:rsidRPr="00EB14C0" w:rsidRDefault="00CC65B5" w:rsidP="00CC65B5">
      <w:pPr>
        <w:spacing w:line="360" w:lineRule="auto"/>
        <w:rPr>
          <w:rFonts w:ascii="Times New Roman" w:hAnsi="Times New Roman" w:cs="Times New Roman"/>
          <w:sz w:val="24"/>
          <w:szCs w:val="24"/>
        </w:rPr>
      </w:pPr>
    </w:p>
    <w:p w:rsidR="00CC65B5" w:rsidRPr="00EB14C0" w:rsidRDefault="00CC65B5" w:rsidP="00CC65B5">
      <w:pPr>
        <w:spacing w:line="360" w:lineRule="auto"/>
        <w:rPr>
          <w:rFonts w:ascii="Times New Roman" w:hAnsi="Times New Roman" w:cs="Times New Roman"/>
          <w:sz w:val="24"/>
          <w:szCs w:val="24"/>
        </w:rPr>
      </w:pPr>
    </w:p>
    <w:p w:rsidR="00CC65B5" w:rsidRPr="00EB14C0" w:rsidRDefault="00CC65B5" w:rsidP="00CC65B5">
      <w:pPr>
        <w:autoSpaceDE w:val="0"/>
        <w:autoSpaceDN w:val="0"/>
        <w:adjustRightInd w:val="0"/>
        <w:spacing w:line="360" w:lineRule="auto"/>
        <w:rPr>
          <w:rFonts w:ascii="Times New Roman" w:hAnsi="Times New Roman" w:cs="Times New Roman"/>
          <w:sz w:val="24"/>
          <w:szCs w:val="24"/>
        </w:rPr>
      </w:pPr>
      <w:r w:rsidRPr="00EB14C0">
        <w:rPr>
          <w:rFonts w:ascii="Times New Roman" w:hAnsi="Times New Roman" w:cs="Times New Roman"/>
          <w:sz w:val="24"/>
          <w:szCs w:val="24"/>
        </w:rPr>
        <w:t xml:space="preserve">* Correspondence authors at: Guangzhou City Key Laboratory of Subtropical Fruit Trees Outbreak Control, Institute for Management of Invasive Alien Species, 313 Yingdong teaching building, Zhongkai University of Agriculture and Engineering, Guangzhou, 510225, PR China. </w:t>
      </w:r>
    </w:p>
    <w:p w:rsidR="00CC65B5" w:rsidRDefault="00CC65B5" w:rsidP="00CC65B5">
      <w:pPr>
        <w:autoSpaceDE w:val="0"/>
        <w:autoSpaceDN w:val="0"/>
        <w:adjustRightInd w:val="0"/>
        <w:spacing w:line="360" w:lineRule="auto"/>
        <w:rPr>
          <w:rStyle w:val="Char1"/>
          <w:rFonts w:ascii="Times New Roman" w:hAnsi="Times New Roman" w:cs="Times New Roman"/>
          <w:szCs w:val="24"/>
          <w:lang w:val="pt-BR"/>
        </w:rPr>
      </w:pPr>
      <w:r w:rsidRPr="00EB14C0">
        <w:rPr>
          <w:rStyle w:val="Char1"/>
          <w:rFonts w:ascii="Times New Roman" w:hAnsi="Times New Roman" w:cs="Times New Roman"/>
          <w:szCs w:val="24"/>
          <w:lang w:val="pt-BR"/>
        </w:rPr>
        <w:t>E-mail addersses:</w:t>
      </w:r>
      <w:r w:rsidRPr="00EB14C0">
        <w:rPr>
          <w:rFonts w:ascii="Times New Roman" w:eastAsia="宋体" w:hAnsi="Times New Roman" w:cs="Times New Roman"/>
          <w:sz w:val="24"/>
          <w:szCs w:val="24"/>
        </w:rPr>
        <w:t xml:space="preserve"> </w:t>
      </w:r>
      <w:hyperlink r:id="rId6" w:history="1">
        <w:r w:rsidRPr="00EB14C0">
          <w:rPr>
            <w:rStyle w:val="a5"/>
            <w:rFonts w:ascii="Times New Roman" w:eastAsia="宋体" w:hAnsi="Times New Roman" w:cs="Times New Roman"/>
            <w:sz w:val="24"/>
            <w:szCs w:val="24"/>
          </w:rPr>
          <w:t>linjtian@163.com</w:t>
        </w:r>
      </w:hyperlink>
      <w:r w:rsidRPr="00EB14C0">
        <w:rPr>
          <w:rFonts w:ascii="Times New Roman" w:eastAsia="宋体" w:hAnsi="Times New Roman" w:cs="Times New Roman"/>
          <w:sz w:val="24"/>
          <w:szCs w:val="24"/>
        </w:rPr>
        <w:t xml:space="preserve"> (J Lin)</w:t>
      </w:r>
      <w:r w:rsidRPr="00EB14C0">
        <w:rPr>
          <w:rStyle w:val="Char1"/>
          <w:rFonts w:ascii="Times New Roman" w:hAnsi="Times New Roman" w:cs="Times New Roman"/>
          <w:szCs w:val="24"/>
          <w:lang w:val="pt-BR"/>
        </w:rPr>
        <w:t xml:space="preserve">. </w:t>
      </w:r>
    </w:p>
    <w:p w:rsidR="00EB14C0" w:rsidRDefault="00EB14C0" w:rsidP="00CC65B5">
      <w:pPr>
        <w:autoSpaceDE w:val="0"/>
        <w:autoSpaceDN w:val="0"/>
        <w:adjustRightInd w:val="0"/>
        <w:spacing w:line="360" w:lineRule="auto"/>
        <w:rPr>
          <w:rStyle w:val="Char1"/>
          <w:rFonts w:ascii="Times New Roman" w:hAnsi="Times New Roman" w:cs="Times New Roman"/>
          <w:szCs w:val="24"/>
          <w:lang w:val="pt-BR"/>
        </w:rPr>
      </w:pPr>
    </w:p>
    <w:p w:rsidR="00EB14C0" w:rsidRDefault="00EB14C0" w:rsidP="00CC65B5">
      <w:pPr>
        <w:autoSpaceDE w:val="0"/>
        <w:autoSpaceDN w:val="0"/>
        <w:adjustRightInd w:val="0"/>
        <w:spacing w:line="360" w:lineRule="auto"/>
        <w:rPr>
          <w:rStyle w:val="Char1"/>
          <w:rFonts w:ascii="Times New Roman" w:hAnsi="Times New Roman" w:cs="Times New Roman"/>
          <w:szCs w:val="24"/>
          <w:lang w:val="pt-BR"/>
        </w:rPr>
      </w:pPr>
    </w:p>
    <w:p w:rsidR="00EB14C0" w:rsidRDefault="00EB14C0" w:rsidP="00CC65B5">
      <w:pPr>
        <w:autoSpaceDE w:val="0"/>
        <w:autoSpaceDN w:val="0"/>
        <w:adjustRightInd w:val="0"/>
        <w:spacing w:line="360" w:lineRule="auto"/>
        <w:rPr>
          <w:rStyle w:val="Char1"/>
          <w:rFonts w:ascii="Times New Roman" w:hAnsi="Times New Roman" w:cs="Times New Roman"/>
          <w:szCs w:val="24"/>
          <w:lang w:val="pt-BR"/>
        </w:rPr>
      </w:pPr>
    </w:p>
    <w:p w:rsidR="00EB14C0" w:rsidRPr="00EB14C0" w:rsidRDefault="00EB14C0" w:rsidP="00EB14C0">
      <w:pPr>
        <w:jc w:val="center"/>
        <w:rPr>
          <w:rFonts w:ascii="Times New Roman" w:hAnsi="Times New Roman" w:cs="Times New Roman"/>
          <w:sz w:val="24"/>
        </w:rPr>
      </w:pPr>
      <w:r w:rsidRPr="00EB14C0">
        <w:rPr>
          <w:rFonts w:ascii="Times New Roman" w:hAnsi="Times New Roman" w:cs="Times New Roman"/>
          <w:sz w:val="24"/>
        </w:rPr>
        <w:t>Supplement Table 1 Summary of the transcriptome sequencing data</w:t>
      </w:r>
    </w:p>
    <w:tbl>
      <w:tblPr>
        <w:tblStyle w:val="a8"/>
        <w:tblW w:w="949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0"/>
        <w:gridCol w:w="1292"/>
        <w:gridCol w:w="1293"/>
        <w:gridCol w:w="1569"/>
        <w:gridCol w:w="1042"/>
        <w:gridCol w:w="992"/>
        <w:gridCol w:w="1560"/>
      </w:tblGrid>
      <w:tr w:rsidR="00EB14C0" w:rsidRPr="00EB14C0" w:rsidTr="009D22F4">
        <w:tc>
          <w:tcPr>
            <w:tcW w:w="1750" w:type="dxa"/>
            <w:tcBorders>
              <w:top w:val="single" w:sz="12" w:space="0" w:color="auto"/>
              <w:bottom w:val="single" w:sz="8" w:space="0" w:color="auto"/>
            </w:tcBorders>
          </w:tcPr>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Sample name</w:t>
            </w:r>
          </w:p>
        </w:tc>
        <w:tc>
          <w:tcPr>
            <w:tcW w:w="1292" w:type="dxa"/>
            <w:tcBorders>
              <w:top w:val="single" w:sz="12" w:space="0" w:color="auto"/>
              <w:bottom w:val="single" w:sz="8" w:space="0" w:color="auto"/>
            </w:tcBorders>
          </w:tcPr>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Raw reads</w:t>
            </w:r>
          </w:p>
        </w:tc>
        <w:tc>
          <w:tcPr>
            <w:tcW w:w="1293" w:type="dxa"/>
            <w:tcBorders>
              <w:top w:val="single" w:sz="12" w:space="0" w:color="auto"/>
              <w:bottom w:val="single" w:sz="8" w:space="0" w:color="auto"/>
            </w:tcBorders>
          </w:tcPr>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Clean reads</w:t>
            </w:r>
          </w:p>
        </w:tc>
        <w:tc>
          <w:tcPr>
            <w:tcW w:w="1569" w:type="dxa"/>
            <w:tcBorders>
              <w:top w:val="single" w:sz="12" w:space="0" w:color="auto"/>
              <w:bottom w:val="single" w:sz="8" w:space="0" w:color="auto"/>
            </w:tcBorders>
          </w:tcPr>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Error rate (%)</w:t>
            </w:r>
          </w:p>
        </w:tc>
        <w:tc>
          <w:tcPr>
            <w:tcW w:w="1042" w:type="dxa"/>
            <w:tcBorders>
              <w:top w:val="single" w:sz="12" w:space="0" w:color="auto"/>
              <w:bottom w:val="single" w:sz="8" w:space="0" w:color="auto"/>
            </w:tcBorders>
          </w:tcPr>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Q20 (%)</w:t>
            </w:r>
          </w:p>
        </w:tc>
        <w:tc>
          <w:tcPr>
            <w:tcW w:w="992" w:type="dxa"/>
            <w:tcBorders>
              <w:top w:val="single" w:sz="12" w:space="0" w:color="auto"/>
              <w:bottom w:val="single" w:sz="8" w:space="0" w:color="auto"/>
            </w:tcBorders>
          </w:tcPr>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Q30 (%)</w:t>
            </w:r>
          </w:p>
        </w:tc>
        <w:tc>
          <w:tcPr>
            <w:tcW w:w="1560" w:type="dxa"/>
            <w:tcBorders>
              <w:top w:val="single" w:sz="12" w:space="0" w:color="auto"/>
              <w:bottom w:val="single" w:sz="8" w:space="0" w:color="auto"/>
            </w:tcBorders>
          </w:tcPr>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GC content (%)</w:t>
            </w:r>
          </w:p>
        </w:tc>
      </w:tr>
      <w:tr w:rsidR="00EB14C0" w:rsidRPr="00EB14C0" w:rsidTr="009D22F4">
        <w:tc>
          <w:tcPr>
            <w:tcW w:w="1750" w:type="dxa"/>
            <w:tcBorders>
              <w:top w:val="single" w:sz="8" w:space="0" w:color="auto"/>
              <w:bottom w:val="single" w:sz="12" w:space="0" w:color="auto"/>
            </w:tcBorders>
          </w:tcPr>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CK1</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CK2</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CK3</w:t>
            </w:r>
          </w:p>
          <w:p w:rsidR="00EB14C0" w:rsidRPr="00EB14C0" w:rsidRDefault="009D22F4" w:rsidP="00E9001A">
            <w:pPr>
              <w:spacing w:line="360" w:lineRule="auto"/>
              <w:jc w:val="center"/>
              <w:rPr>
                <w:rFonts w:ascii="Times New Roman" w:hAnsi="Times New Roman" w:cs="Times New Roman"/>
              </w:rPr>
            </w:pPr>
            <w:r w:rsidRPr="00EB14C0">
              <w:rPr>
                <w:rFonts w:ascii="Times New Roman" w:hAnsi="Times New Roman" w:cs="Times New Roman"/>
              </w:rPr>
              <w:t>1</w:t>
            </w:r>
            <w:r>
              <w:rPr>
                <w:rFonts w:ascii="Times New Roman" w:hAnsi="Times New Roman" w:cs="Times New Roman"/>
              </w:rPr>
              <w:t>.0</w:t>
            </w:r>
            <w:r w:rsidRPr="00EB14C0">
              <w:rPr>
                <w:rFonts w:ascii="Times New Roman" w:hAnsi="Times New Roman" w:cs="Times New Roman"/>
              </w:rPr>
              <w:t xml:space="preserve"> </w:t>
            </w:r>
            <w:r w:rsidRPr="00EB14C0">
              <w:rPr>
                <w:rFonts w:ascii="Times New Roman" w:hAnsi="Times New Roman" w:cs="Times New Roman"/>
                <w:kern w:val="0"/>
              </w:rPr>
              <w:t>μg/g</w:t>
            </w:r>
            <w:r w:rsidRPr="00EB14C0">
              <w:rPr>
                <w:rFonts w:ascii="Times New Roman" w:hAnsi="Times New Roman" w:cs="Times New Roman"/>
              </w:rPr>
              <w:t xml:space="preserve"> </w:t>
            </w:r>
            <w:r>
              <w:rPr>
                <w:rFonts w:ascii="Times New Roman" w:hAnsi="Times New Roman" w:cs="Times New Roman"/>
              </w:rPr>
              <w:t>CPT</w:t>
            </w:r>
            <w:r w:rsidR="00EB14C0" w:rsidRPr="00EB14C0">
              <w:rPr>
                <w:rFonts w:ascii="Times New Roman" w:hAnsi="Times New Roman" w:cs="Times New Roman"/>
              </w:rPr>
              <w:t>-1</w:t>
            </w:r>
          </w:p>
          <w:p w:rsidR="00EB14C0" w:rsidRPr="00EB14C0" w:rsidRDefault="009D22F4" w:rsidP="009D22F4">
            <w:pPr>
              <w:spacing w:line="360" w:lineRule="auto"/>
              <w:jc w:val="center"/>
              <w:rPr>
                <w:rFonts w:ascii="Times New Roman" w:hAnsi="Times New Roman" w:cs="Times New Roman"/>
              </w:rPr>
            </w:pPr>
            <w:r w:rsidRPr="00EB14C0">
              <w:rPr>
                <w:rFonts w:ascii="Times New Roman" w:hAnsi="Times New Roman" w:cs="Times New Roman"/>
              </w:rPr>
              <w:t>1</w:t>
            </w:r>
            <w:r>
              <w:rPr>
                <w:rFonts w:ascii="Times New Roman" w:hAnsi="Times New Roman" w:cs="Times New Roman"/>
              </w:rPr>
              <w:t>.0</w:t>
            </w:r>
            <w:r w:rsidRPr="00EB14C0">
              <w:rPr>
                <w:rFonts w:ascii="Times New Roman" w:hAnsi="Times New Roman" w:cs="Times New Roman"/>
              </w:rPr>
              <w:t xml:space="preserve"> </w:t>
            </w:r>
            <w:r w:rsidRPr="00EB14C0">
              <w:rPr>
                <w:rFonts w:ascii="Times New Roman" w:hAnsi="Times New Roman" w:cs="Times New Roman"/>
                <w:kern w:val="0"/>
              </w:rPr>
              <w:t>μg/g</w:t>
            </w:r>
            <w:r w:rsidRPr="00EB14C0">
              <w:rPr>
                <w:rFonts w:ascii="Times New Roman" w:hAnsi="Times New Roman" w:cs="Times New Roman"/>
              </w:rPr>
              <w:t xml:space="preserve"> </w:t>
            </w:r>
            <w:r>
              <w:rPr>
                <w:rFonts w:ascii="Times New Roman" w:hAnsi="Times New Roman" w:cs="Times New Roman"/>
              </w:rPr>
              <w:t>CPT</w:t>
            </w:r>
            <w:r>
              <w:rPr>
                <w:rFonts w:ascii="Times New Roman" w:hAnsi="Times New Roman" w:cs="Times New Roman"/>
              </w:rPr>
              <w:t>-</w:t>
            </w:r>
            <w:r w:rsidR="00EB14C0" w:rsidRPr="00EB14C0">
              <w:rPr>
                <w:rFonts w:ascii="Times New Roman" w:hAnsi="Times New Roman" w:cs="Times New Roman"/>
              </w:rPr>
              <w:t>2</w:t>
            </w:r>
          </w:p>
          <w:p w:rsidR="00EB14C0" w:rsidRPr="00EB14C0" w:rsidRDefault="009D22F4" w:rsidP="009D22F4">
            <w:pPr>
              <w:spacing w:line="360" w:lineRule="auto"/>
              <w:jc w:val="center"/>
              <w:rPr>
                <w:rFonts w:ascii="Times New Roman" w:hAnsi="Times New Roman" w:cs="Times New Roman"/>
              </w:rPr>
            </w:pPr>
            <w:r w:rsidRPr="00EB14C0">
              <w:rPr>
                <w:rFonts w:ascii="Times New Roman" w:hAnsi="Times New Roman" w:cs="Times New Roman"/>
              </w:rPr>
              <w:t>1</w:t>
            </w:r>
            <w:r>
              <w:rPr>
                <w:rFonts w:ascii="Times New Roman" w:hAnsi="Times New Roman" w:cs="Times New Roman"/>
              </w:rPr>
              <w:t>.0</w:t>
            </w:r>
            <w:bookmarkStart w:id="0" w:name="_GoBack"/>
            <w:bookmarkEnd w:id="0"/>
            <w:r w:rsidRPr="00EB14C0">
              <w:rPr>
                <w:rFonts w:ascii="Times New Roman" w:hAnsi="Times New Roman" w:cs="Times New Roman"/>
              </w:rPr>
              <w:t xml:space="preserve"> </w:t>
            </w:r>
            <w:r w:rsidRPr="00EB14C0">
              <w:rPr>
                <w:rFonts w:ascii="Times New Roman" w:hAnsi="Times New Roman" w:cs="Times New Roman"/>
                <w:kern w:val="0"/>
              </w:rPr>
              <w:t>μg/g</w:t>
            </w:r>
            <w:r w:rsidRPr="00EB14C0">
              <w:rPr>
                <w:rFonts w:ascii="Times New Roman" w:hAnsi="Times New Roman" w:cs="Times New Roman"/>
              </w:rPr>
              <w:t xml:space="preserve"> </w:t>
            </w:r>
            <w:r>
              <w:rPr>
                <w:rFonts w:ascii="Times New Roman" w:hAnsi="Times New Roman" w:cs="Times New Roman"/>
              </w:rPr>
              <w:t>CPT</w:t>
            </w:r>
            <w:r>
              <w:rPr>
                <w:rFonts w:ascii="Times New Roman" w:hAnsi="Times New Roman" w:cs="Times New Roman"/>
              </w:rPr>
              <w:t>-</w:t>
            </w:r>
            <w:r w:rsidR="00EB14C0" w:rsidRPr="00EB14C0">
              <w:rPr>
                <w:rFonts w:ascii="Times New Roman" w:hAnsi="Times New Roman" w:cs="Times New Roman"/>
              </w:rPr>
              <w:t>3</w:t>
            </w:r>
          </w:p>
          <w:p w:rsidR="009D22F4" w:rsidRPr="00EB14C0" w:rsidRDefault="009D22F4" w:rsidP="009D22F4">
            <w:pPr>
              <w:spacing w:line="360" w:lineRule="auto"/>
              <w:jc w:val="center"/>
              <w:rPr>
                <w:rFonts w:ascii="Times New Roman" w:hAnsi="Times New Roman" w:cs="Times New Roman"/>
              </w:rPr>
            </w:pPr>
            <w:r>
              <w:rPr>
                <w:rFonts w:ascii="Times New Roman" w:hAnsi="Times New Roman" w:cs="Times New Roman"/>
              </w:rPr>
              <w:t xml:space="preserve">5.0 </w:t>
            </w:r>
            <w:r w:rsidRPr="00EB14C0">
              <w:rPr>
                <w:rFonts w:ascii="Times New Roman" w:hAnsi="Times New Roman" w:cs="Times New Roman"/>
                <w:kern w:val="0"/>
              </w:rPr>
              <w:t>μg/g</w:t>
            </w:r>
            <w:r w:rsidRPr="00EB14C0">
              <w:rPr>
                <w:rFonts w:ascii="Times New Roman" w:hAnsi="Times New Roman" w:cs="Times New Roman"/>
              </w:rPr>
              <w:t xml:space="preserve"> </w:t>
            </w:r>
            <w:r>
              <w:rPr>
                <w:rFonts w:ascii="Times New Roman" w:hAnsi="Times New Roman" w:cs="Times New Roman"/>
              </w:rPr>
              <w:t>CPT</w:t>
            </w:r>
            <w:r w:rsidRPr="00EB14C0">
              <w:rPr>
                <w:rFonts w:ascii="Times New Roman" w:hAnsi="Times New Roman" w:cs="Times New Roman"/>
              </w:rPr>
              <w:t>-1</w:t>
            </w:r>
          </w:p>
          <w:p w:rsidR="009D22F4" w:rsidRPr="00EB14C0" w:rsidRDefault="009D22F4" w:rsidP="009D22F4">
            <w:pPr>
              <w:spacing w:line="360" w:lineRule="auto"/>
              <w:jc w:val="center"/>
              <w:rPr>
                <w:rFonts w:ascii="Times New Roman" w:hAnsi="Times New Roman" w:cs="Times New Roman"/>
              </w:rPr>
            </w:pPr>
            <w:r>
              <w:rPr>
                <w:rFonts w:ascii="Times New Roman" w:hAnsi="Times New Roman" w:cs="Times New Roman"/>
              </w:rPr>
              <w:t>5.0</w:t>
            </w:r>
            <w:r w:rsidRPr="00EB14C0">
              <w:rPr>
                <w:rFonts w:ascii="Times New Roman" w:hAnsi="Times New Roman" w:cs="Times New Roman"/>
              </w:rPr>
              <w:t xml:space="preserve"> </w:t>
            </w:r>
            <w:r w:rsidRPr="00EB14C0">
              <w:rPr>
                <w:rFonts w:ascii="Times New Roman" w:hAnsi="Times New Roman" w:cs="Times New Roman"/>
                <w:kern w:val="0"/>
              </w:rPr>
              <w:t>μg/g</w:t>
            </w:r>
            <w:r w:rsidRPr="00EB14C0">
              <w:rPr>
                <w:rFonts w:ascii="Times New Roman" w:hAnsi="Times New Roman" w:cs="Times New Roman"/>
              </w:rPr>
              <w:t xml:space="preserve"> </w:t>
            </w:r>
            <w:r>
              <w:rPr>
                <w:rFonts w:ascii="Times New Roman" w:hAnsi="Times New Roman" w:cs="Times New Roman"/>
              </w:rPr>
              <w:t>CPT-</w:t>
            </w:r>
            <w:r w:rsidRPr="00EB14C0">
              <w:rPr>
                <w:rFonts w:ascii="Times New Roman" w:hAnsi="Times New Roman" w:cs="Times New Roman"/>
              </w:rPr>
              <w:t>2</w:t>
            </w:r>
          </w:p>
          <w:p w:rsidR="00EB14C0" w:rsidRPr="009D22F4" w:rsidRDefault="009D22F4" w:rsidP="009D22F4">
            <w:pPr>
              <w:spacing w:line="360" w:lineRule="auto"/>
              <w:jc w:val="center"/>
              <w:rPr>
                <w:rFonts w:ascii="Times New Roman" w:hAnsi="Times New Roman" w:cs="Times New Roman" w:hint="eastAsia"/>
              </w:rPr>
            </w:pPr>
            <w:r>
              <w:rPr>
                <w:rFonts w:ascii="Times New Roman" w:hAnsi="Times New Roman" w:cs="Times New Roman"/>
              </w:rPr>
              <w:t>5.0</w:t>
            </w:r>
            <w:r w:rsidRPr="00EB14C0">
              <w:rPr>
                <w:rFonts w:ascii="Times New Roman" w:hAnsi="Times New Roman" w:cs="Times New Roman"/>
              </w:rPr>
              <w:t xml:space="preserve"> </w:t>
            </w:r>
            <w:r w:rsidRPr="00EB14C0">
              <w:rPr>
                <w:rFonts w:ascii="Times New Roman" w:hAnsi="Times New Roman" w:cs="Times New Roman"/>
                <w:kern w:val="0"/>
              </w:rPr>
              <w:t>μg/g</w:t>
            </w:r>
            <w:r w:rsidRPr="00EB14C0">
              <w:rPr>
                <w:rFonts w:ascii="Times New Roman" w:hAnsi="Times New Roman" w:cs="Times New Roman"/>
              </w:rPr>
              <w:t xml:space="preserve"> </w:t>
            </w:r>
            <w:r>
              <w:rPr>
                <w:rFonts w:ascii="Times New Roman" w:hAnsi="Times New Roman" w:cs="Times New Roman"/>
              </w:rPr>
              <w:t>CPT-</w:t>
            </w:r>
            <w:r w:rsidRPr="00EB14C0">
              <w:rPr>
                <w:rFonts w:ascii="Times New Roman" w:hAnsi="Times New Roman" w:cs="Times New Roman"/>
              </w:rPr>
              <w:t>3</w:t>
            </w:r>
          </w:p>
        </w:tc>
        <w:tc>
          <w:tcPr>
            <w:tcW w:w="1292" w:type="dxa"/>
            <w:tcBorders>
              <w:top w:val="single" w:sz="8" w:space="0" w:color="auto"/>
              <w:bottom w:val="single" w:sz="12" w:space="0" w:color="auto"/>
            </w:tcBorders>
          </w:tcPr>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51,083,926</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50,930,686</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50,287,542</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51,395,872</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43,911,148</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51,402,050</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44,557,234</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48,036,842</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49,530,172</w:t>
            </w:r>
          </w:p>
        </w:tc>
        <w:tc>
          <w:tcPr>
            <w:tcW w:w="1293" w:type="dxa"/>
            <w:tcBorders>
              <w:top w:val="single" w:sz="8" w:space="0" w:color="auto"/>
              <w:bottom w:val="single" w:sz="12" w:space="0" w:color="auto"/>
            </w:tcBorders>
          </w:tcPr>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50,726,216</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50,587,806</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49,965,332</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51,006,978</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43,587,740</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51,021,846</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44,211,534</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47,695,420</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49,192,174</w:t>
            </w:r>
          </w:p>
        </w:tc>
        <w:tc>
          <w:tcPr>
            <w:tcW w:w="1569" w:type="dxa"/>
            <w:tcBorders>
              <w:top w:val="single" w:sz="8" w:space="0" w:color="auto"/>
              <w:bottom w:val="single" w:sz="12" w:space="0" w:color="auto"/>
            </w:tcBorders>
          </w:tcPr>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0.023</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0.023</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0.0229</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0.0229</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0.0233</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0.0231</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0.0231</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0.0231</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0.0231</w:t>
            </w:r>
          </w:p>
        </w:tc>
        <w:tc>
          <w:tcPr>
            <w:tcW w:w="1042" w:type="dxa"/>
            <w:tcBorders>
              <w:top w:val="single" w:sz="8" w:space="0" w:color="auto"/>
              <w:bottom w:val="single" w:sz="12" w:space="0" w:color="auto"/>
            </w:tcBorders>
          </w:tcPr>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98.85</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98.85</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98.9</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98.89</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98.73</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98.8</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98.82</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98.83</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98.85</w:t>
            </w:r>
          </w:p>
        </w:tc>
        <w:tc>
          <w:tcPr>
            <w:tcW w:w="992" w:type="dxa"/>
            <w:tcBorders>
              <w:top w:val="single" w:sz="8" w:space="0" w:color="auto"/>
              <w:bottom w:val="single" w:sz="12" w:space="0" w:color="auto"/>
            </w:tcBorders>
          </w:tcPr>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96.17</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96.17</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96.25</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96.27</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95.84</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96.05</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96.01</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96.1</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96.11</w:t>
            </w:r>
          </w:p>
        </w:tc>
        <w:tc>
          <w:tcPr>
            <w:tcW w:w="1560" w:type="dxa"/>
            <w:tcBorders>
              <w:top w:val="single" w:sz="8" w:space="0" w:color="auto"/>
              <w:bottom w:val="single" w:sz="12" w:space="0" w:color="auto"/>
            </w:tcBorders>
          </w:tcPr>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49.58</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49.93</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49.17</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49.81</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49.59</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50.22</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47.03</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49.45</w:t>
            </w:r>
          </w:p>
          <w:p w:rsidR="00EB14C0" w:rsidRPr="00EB14C0" w:rsidRDefault="00EB14C0" w:rsidP="00E9001A">
            <w:pPr>
              <w:spacing w:line="360" w:lineRule="auto"/>
              <w:jc w:val="center"/>
              <w:rPr>
                <w:rFonts w:ascii="Times New Roman" w:hAnsi="Times New Roman" w:cs="Times New Roman"/>
              </w:rPr>
            </w:pPr>
            <w:r w:rsidRPr="00EB14C0">
              <w:rPr>
                <w:rFonts w:ascii="Times New Roman" w:hAnsi="Times New Roman" w:cs="Times New Roman"/>
              </w:rPr>
              <w:t>47.97</w:t>
            </w:r>
          </w:p>
        </w:tc>
      </w:tr>
    </w:tbl>
    <w:p w:rsidR="00EB14C0" w:rsidRPr="00EB14C0" w:rsidRDefault="00EB14C0" w:rsidP="00CC65B5">
      <w:pPr>
        <w:autoSpaceDE w:val="0"/>
        <w:autoSpaceDN w:val="0"/>
        <w:adjustRightInd w:val="0"/>
        <w:spacing w:line="360" w:lineRule="auto"/>
        <w:rPr>
          <w:rStyle w:val="Char1"/>
          <w:rFonts w:ascii="Times New Roman" w:hAnsi="Times New Roman" w:cs="Times New Roman"/>
          <w:szCs w:val="24"/>
          <w:lang w:val="pt-BR"/>
        </w:rPr>
        <w:sectPr w:rsidR="00EB14C0" w:rsidRPr="00EB14C0" w:rsidSect="00CC65B5">
          <w:pgSz w:w="11906" w:h="16838"/>
          <w:pgMar w:top="1440" w:right="1800" w:bottom="1440" w:left="1800" w:header="851" w:footer="992" w:gutter="0"/>
          <w:lnNumType w:countBy="1"/>
          <w:cols w:space="425"/>
          <w:docGrid w:type="lines" w:linePitch="312"/>
        </w:sectPr>
      </w:pPr>
    </w:p>
    <w:p w:rsidR="00EB14C0" w:rsidRPr="00EB14C0" w:rsidRDefault="00EB14C0" w:rsidP="00EB14C0">
      <w:pPr>
        <w:jc w:val="center"/>
        <w:rPr>
          <w:rFonts w:ascii="Times New Roman" w:hAnsi="Times New Roman" w:cs="Times New Roman"/>
          <w:sz w:val="24"/>
        </w:rPr>
      </w:pPr>
      <w:bookmarkStart w:id="1" w:name="OLE_LINK1"/>
      <w:r w:rsidRPr="00EB14C0">
        <w:rPr>
          <w:rFonts w:ascii="Times New Roman" w:hAnsi="Times New Roman" w:cs="Times New Roman"/>
          <w:sz w:val="24"/>
        </w:rPr>
        <w:lastRenderedPageBreak/>
        <w:t xml:space="preserve">Supplement Table </w:t>
      </w:r>
      <w:r>
        <w:rPr>
          <w:rFonts w:ascii="Times New Roman" w:hAnsi="Times New Roman" w:cs="Times New Roman"/>
          <w:sz w:val="24"/>
        </w:rPr>
        <w:t>2</w:t>
      </w:r>
      <w:r w:rsidRPr="00EB14C0">
        <w:rPr>
          <w:rFonts w:ascii="Times New Roman" w:hAnsi="Times New Roman" w:cs="Times New Roman"/>
          <w:sz w:val="24"/>
        </w:rPr>
        <w:t>. Primers used for RT-qPCR in the paper</w:t>
      </w:r>
    </w:p>
    <w:tbl>
      <w:tblPr>
        <w:tblStyle w:val="a8"/>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6"/>
        <w:gridCol w:w="3686"/>
        <w:gridCol w:w="2268"/>
        <w:gridCol w:w="3827"/>
      </w:tblGrid>
      <w:tr w:rsidR="00EB14C0" w:rsidRPr="00EB14C0" w:rsidTr="00E9001A">
        <w:tc>
          <w:tcPr>
            <w:tcW w:w="2126" w:type="dxa"/>
            <w:tcBorders>
              <w:top w:val="single" w:sz="12" w:space="0" w:color="auto"/>
              <w:bottom w:val="single" w:sz="8" w:space="0" w:color="auto"/>
            </w:tcBorders>
          </w:tcPr>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Primer name</w:t>
            </w:r>
          </w:p>
        </w:tc>
        <w:tc>
          <w:tcPr>
            <w:tcW w:w="3686" w:type="dxa"/>
            <w:tcBorders>
              <w:top w:val="single" w:sz="12" w:space="0" w:color="auto"/>
              <w:bottom w:val="single" w:sz="8" w:space="0" w:color="auto"/>
            </w:tcBorders>
          </w:tcPr>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Primer Sequence (5’-3’)</w:t>
            </w:r>
          </w:p>
        </w:tc>
        <w:tc>
          <w:tcPr>
            <w:tcW w:w="2268" w:type="dxa"/>
            <w:tcBorders>
              <w:top w:val="single" w:sz="12" w:space="0" w:color="auto"/>
              <w:bottom w:val="single" w:sz="8" w:space="0" w:color="auto"/>
            </w:tcBorders>
          </w:tcPr>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Primer name</w:t>
            </w:r>
          </w:p>
        </w:tc>
        <w:tc>
          <w:tcPr>
            <w:tcW w:w="3827" w:type="dxa"/>
            <w:tcBorders>
              <w:top w:val="single" w:sz="12" w:space="0" w:color="auto"/>
              <w:bottom w:val="single" w:sz="8" w:space="0" w:color="auto"/>
            </w:tcBorders>
          </w:tcPr>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Primer Sequence (5’-3’)</w:t>
            </w:r>
          </w:p>
        </w:tc>
      </w:tr>
      <w:tr w:rsidR="00EB14C0" w:rsidRPr="00EB14C0" w:rsidTr="00E9001A">
        <w:tc>
          <w:tcPr>
            <w:tcW w:w="2126" w:type="dxa"/>
            <w:tcBorders>
              <w:top w:val="single" w:sz="8" w:space="0" w:color="auto"/>
              <w:bottom w:val="single" w:sz="12" w:space="0" w:color="auto"/>
            </w:tcBorders>
          </w:tcPr>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DN101_c0_g1-F</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DN101_c0_g1-R</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DN3811_c0_g1-F</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DN3811_c0_g1-R</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DN1784_c0_g1-F</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DN1784_c0_g1-R</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DN4181_c0_g1-F</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DN4181_c0_g1-R</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DN3837_c0_g1-F</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DN3837_c0_g1-R</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DN8765_c0_g1-F</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DN8765_c0_g1-R</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DN4472_c0_g1-F</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DN4472_c0_g1-R</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DN198_c1_g1-F</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DN198_c1_g1-R</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DN10022_c0_g1-F</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DN10022_c0_g1-R</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DN3487_c0_g1-F</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DN3487_c0_g1-R</w:t>
            </w:r>
          </w:p>
          <w:p w:rsidR="00EB14C0" w:rsidRPr="00EB14C0" w:rsidRDefault="00EB14C0" w:rsidP="00E9001A">
            <w:pPr>
              <w:jc w:val="center"/>
              <w:rPr>
                <w:rFonts w:ascii="Times New Roman" w:hAnsi="Times New Roman" w:cs="Times New Roman"/>
                <w:szCs w:val="24"/>
              </w:rPr>
            </w:pPr>
            <w:r w:rsidRPr="00EB14C0">
              <w:rPr>
                <w:rFonts w:ascii="Times New Roman" w:hAnsi="Times New Roman" w:cs="Times New Roman"/>
                <w:szCs w:val="24"/>
              </w:rPr>
              <w:t>RPL3-F</w:t>
            </w:r>
          </w:p>
          <w:p w:rsidR="00EB14C0" w:rsidRPr="00EB14C0" w:rsidRDefault="00EB14C0" w:rsidP="00E9001A">
            <w:pPr>
              <w:jc w:val="center"/>
              <w:rPr>
                <w:rFonts w:ascii="Times New Roman" w:hAnsi="Times New Roman" w:cs="Times New Roman"/>
                <w:szCs w:val="24"/>
              </w:rPr>
            </w:pPr>
            <w:r w:rsidRPr="00EB14C0">
              <w:rPr>
                <w:rFonts w:ascii="Times New Roman" w:hAnsi="Times New Roman" w:cs="Times New Roman"/>
                <w:szCs w:val="24"/>
              </w:rPr>
              <w:t>RPL3-R</w:t>
            </w:r>
          </w:p>
        </w:tc>
        <w:tc>
          <w:tcPr>
            <w:tcW w:w="3686" w:type="dxa"/>
            <w:tcBorders>
              <w:top w:val="single" w:sz="8" w:space="0" w:color="auto"/>
              <w:bottom w:val="single" w:sz="12" w:space="0" w:color="auto"/>
            </w:tcBorders>
          </w:tcPr>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TGTCCTTACATCTGGTCGTCG</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CCACAGTTCACTAACTCGCTCC</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AGCAAACTGCCGAAGAAAAT</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GTTGTAAAACTGCTTGGCGATA</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ACACTGGACGCCGCTATGAC</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GATTGTTTGTTCCGAGACTTGAGA</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CTGAGCTAGTCTTGGGCACG</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TGGCACATACTGGGTTACGG</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GTGGACAGCATGGTCGAAGTG</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TTGGTGACAGCGGTGGGTT</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AGTTGTTCCAGCAGAGTCAATG</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GCCTGTAGGGTCTTCCAGAT</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TTTGGAGCCGTTCCCTTTT</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CATTTCAATGAGTGGCAGCATA</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GGAGTTGAGACCCAGACGATG</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CATTCCTGGATGTCGGATTGT</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CTGAGGAACCCCGATGTGA</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GGTGAATGCGTTGTTGCTAG</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GCTCACCAAGAGGAAGAACCC</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GCAGTGGACAGTCGCAGTATG</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AAGCCAGTCCACCTTACCGC</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GCCCAAACAGTGAGCAGAGC</w:t>
            </w:r>
          </w:p>
        </w:tc>
        <w:tc>
          <w:tcPr>
            <w:tcW w:w="2268" w:type="dxa"/>
            <w:tcBorders>
              <w:top w:val="single" w:sz="8" w:space="0" w:color="auto"/>
              <w:bottom w:val="single" w:sz="12" w:space="0" w:color="auto"/>
            </w:tcBorders>
          </w:tcPr>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DN1597_c0_g1-F</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DN1597_c0_g1-R</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DN4372_c0_g1-F</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DN4372_c0_g1-R</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DN5318_c0_g1-F</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DN5318_c0_g1-R</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DN11575_c0_g1-F</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DN11575_c0_g1-R</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DN7435_c0_g1-F</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DN7435_c0_g1-R</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DN11990_c0_g1-F</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DN11990_c0_g1-R</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DN2505_c0_g1-F</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DN2505_c0_g1-R</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DN786_c0_g1-F</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DN786_c0_g1-R</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DN1718_c0_g1-F</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DN1718_c0_g1-R</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DN2495_c0_g1-F</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DN2495_c0_g1-R</w:t>
            </w:r>
          </w:p>
          <w:p w:rsidR="00EB14C0" w:rsidRPr="00EB14C0" w:rsidRDefault="00EB14C0" w:rsidP="00E9001A">
            <w:pPr>
              <w:jc w:val="center"/>
              <w:rPr>
                <w:rFonts w:ascii="Times New Roman" w:hAnsi="Times New Roman" w:cs="Times New Roman"/>
                <w:szCs w:val="24"/>
              </w:rPr>
            </w:pPr>
            <w:r w:rsidRPr="00EB14C0">
              <w:rPr>
                <w:rFonts w:ascii="Times New Roman" w:hAnsi="Times New Roman" w:cs="Times New Roman"/>
                <w:szCs w:val="24"/>
              </w:rPr>
              <w:t>RPL13-R</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4"/>
              </w:rPr>
              <w:t>RPL13-F</w:t>
            </w:r>
          </w:p>
        </w:tc>
        <w:tc>
          <w:tcPr>
            <w:tcW w:w="3827" w:type="dxa"/>
            <w:tcBorders>
              <w:top w:val="single" w:sz="8" w:space="0" w:color="auto"/>
              <w:bottom w:val="single" w:sz="12" w:space="0" w:color="auto"/>
            </w:tcBorders>
          </w:tcPr>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TCGCTGGTTTCGGAGTCAC</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TTAGGAATGTACGGGGATGTTT</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ACCTCTGGTTGCCATCCCT</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TCTTCCACAGTCAACTTCTCCAT</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AGAGTGCGTGACAACTTCGTG</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ATGTTGCCCCATAGACCGA</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TGACAAACGCTGTTGTTAGGA</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CGTGCTGGATTGAGTATGGA</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GCTGGTGAGACCTATGCTAGACA</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GGAATGGTGGTGATGATGCC</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AGCGGGTATGGACGTACTGAC</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CAAGGGTTCTGCCTGGTGTC</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AATGCGGGGCTGAAGGAT</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TTCCAACACCACCAATGACG</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TGAAGAAGAACCCACAACATACAG</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AGCCTTGAGTTGATGGTCGC</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AGTGCAGCAGTAGATATTCAGCC</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TGTTTTATTCGTCCTCGGGTT</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CTGGTGTCCTCAAGAACGCTAA</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GGCTTCCCTGGGGTCTGTAT</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GCTTCGCCCTTCAATACCTTC</w:t>
            </w:r>
          </w:p>
          <w:p w:rsidR="00EB14C0" w:rsidRPr="00EB14C0" w:rsidRDefault="00EB14C0" w:rsidP="00E9001A">
            <w:pPr>
              <w:jc w:val="center"/>
              <w:rPr>
                <w:rFonts w:ascii="Times New Roman" w:hAnsi="Times New Roman" w:cs="Times New Roman"/>
                <w:szCs w:val="21"/>
              </w:rPr>
            </w:pPr>
            <w:r w:rsidRPr="00EB14C0">
              <w:rPr>
                <w:rFonts w:ascii="Times New Roman" w:hAnsi="Times New Roman" w:cs="Times New Roman"/>
                <w:szCs w:val="21"/>
              </w:rPr>
              <w:t>GCCTTAACCCTGCTTTTGCTAG</w:t>
            </w:r>
          </w:p>
        </w:tc>
      </w:tr>
      <w:bookmarkEnd w:id="1"/>
    </w:tbl>
    <w:p w:rsidR="00CC65B5" w:rsidRPr="00EB14C0" w:rsidRDefault="00CC65B5" w:rsidP="00CC65B5">
      <w:pPr>
        <w:autoSpaceDE w:val="0"/>
        <w:autoSpaceDN w:val="0"/>
        <w:adjustRightInd w:val="0"/>
        <w:spacing w:line="360" w:lineRule="auto"/>
        <w:rPr>
          <w:rStyle w:val="Char1"/>
          <w:rFonts w:ascii="Times New Roman" w:hAnsi="Times New Roman" w:cs="Times New Roman" w:hint="eastAsia"/>
          <w:szCs w:val="24"/>
          <w:lang w:val="pt-BR"/>
        </w:rPr>
        <w:sectPr w:rsidR="00CC65B5" w:rsidRPr="00EB14C0" w:rsidSect="00CC65B5">
          <w:pgSz w:w="16838" w:h="11906" w:orient="landscape"/>
          <w:pgMar w:top="1800" w:right="1440" w:bottom="1800" w:left="1440" w:header="851" w:footer="992" w:gutter="0"/>
          <w:lnNumType w:countBy="1"/>
          <w:cols w:space="425"/>
          <w:docGrid w:type="lines" w:linePitch="312"/>
        </w:sectPr>
      </w:pPr>
    </w:p>
    <w:p w:rsidR="00EB14C0" w:rsidRPr="00EB14C0" w:rsidRDefault="00EB14C0" w:rsidP="00CC65B5">
      <w:pPr>
        <w:autoSpaceDE w:val="0"/>
        <w:autoSpaceDN w:val="0"/>
        <w:adjustRightInd w:val="0"/>
        <w:spacing w:line="360" w:lineRule="auto"/>
        <w:rPr>
          <w:rStyle w:val="Char1"/>
          <w:rFonts w:ascii="Times New Roman" w:hAnsi="Times New Roman" w:cs="Times New Roman"/>
          <w:szCs w:val="24"/>
          <w:lang w:val="pt-BR"/>
        </w:rPr>
      </w:pPr>
    </w:p>
    <w:p w:rsidR="00B33024" w:rsidRPr="00EB14C0" w:rsidRDefault="00CC65B5" w:rsidP="00CC65B5">
      <w:pPr>
        <w:jc w:val="center"/>
        <w:rPr>
          <w:rFonts w:ascii="Times New Roman" w:hAnsi="Times New Roman" w:cs="Times New Roman"/>
          <w:lang w:val="pt-BR"/>
        </w:rPr>
      </w:pPr>
      <w:r w:rsidRPr="00EB14C0">
        <w:rPr>
          <w:rFonts w:ascii="Times New Roman" w:hAnsi="Times New Roman" w:cs="Times New Roman"/>
          <w:noProof/>
        </w:rPr>
        <w:drawing>
          <wp:inline distT="0" distB="0" distL="0" distR="0">
            <wp:extent cx="5560667" cy="4216342"/>
            <wp:effectExtent l="0" t="0" r="2540" b="0"/>
            <wp:docPr id="1" name="图片 1" descr="E:\论文\喜树碱处理草贪论文\SCI论文\Supplement Figure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论文\喜树碱处理草贪论文\SCI论文\Supplement Figure 1.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65964" cy="4220359"/>
                    </a:xfrm>
                    <a:prstGeom prst="rect">
                      <a:avLst/>
                    </a:prstGeom>
                    <a:noFill/>
                    <a:ln>
                      <a:noFill/>
                    </a:ln>
                  </pic:spPr>
                </pic:pic>
              </a:graphicData>
            </a:graphic>
          </wp:inline>
        </w:drawing>
      </w:r>
    </w:p>
    <w:p w:rsidR="00CC65B5" w:rsidRDefault="00CC65B5" w:rsidP="00CC65B5">
      <w:pPr>
        <w:spacing w:line="360" w:lineRule="auto"/>
        <w:rPr>
          <w:rFonts w:ascii="Times New Roman" w:hAnsi="Times New Roman" w:cs="Times New Roman"/>
          <w:lang w:val="pt-BR"/>
        </w:rPr>
      </w:pPr>
      <w:r w:rsidRPr="00EB14C0">
        <w:rPr>
          <w:rFonts w:ascii="Times New Roman" w:hAnsi="Times New Roman" w:cs="Times New Roman"/>
          <w:lang w:val="pt-BR"/>
        </w:rPr>
        <w:t xml:space="preserve">Supplement figure 1: Functional annotation of unigenes obtained from all the transcriptome data. A: The summary of unigene number annotated into NCBI NR, COG, GO, Pfam, Swiss-Prot and KEGG databases. B: The distribution of unigenes annotated to different Lepidoptera species. The top five species with most unigenes annotated to were </w:t>
      </w:r>
      <w:r w:rsidRPr="00EB14C0">
        <w:rPr>
          <w:rFonts w:ascii="Times New Roman" w:hAnsi="Times New Roman" w:cs="Times New Roman"/>
          <w:i/>
          <w:lang w:val="pt-BR"/>
        </w:rPr>
        <w:t>Spodoptera litura</w:t>
      </w:r>
      <w:r w:rsidRPr="00EB14C0">
        <w:rPr>
          <w:rFonts w:ascii="Times New Roman" w:hAnsi="Times New Roman" w:cs="Times New Roman"/>
          <w:lang w:val="pt-BR"/>
        </w:rPr>
        <w:t xml:space="preserve">, </w:t>
      </w:r>
      <w:r w:rsidRPr="00EB14C0">
        <w:rPr>
          <w:rFonts w:ascii="Times New Roman" w:hAnsi="Times New Roman" w:cs="Times New Roman"/>
          <w:i/>
          <w:lang w:val="pt-BR"/>
        </w:rPr>
        <w:t>Helicoverpa armigera</w:t>
      </w:r>
      <w:r w:rsidRPr="00EB14C0">
        <w:rPr>
          <w:rFonts w:ascii="Times New Roman" w:hAnsi="Times New Roman" w:cs="Times New Roman"/>
          <w:lang w:val="pt-BR"/>
        </w:rPr>
        <w:t xml:space="preserve">, </w:t>
      </w:r>
      <w:r w:rsidRPr="00EB14C0">
        <w:rPr>
          <w:rFonts w:ascii="Times New Roman" w:hAnsi="Times New Roman" w:cs="Times New Roman"/>
          <w:i/>
          <w:lang w:val="pt-BR"/>
        </w:rPr>
        <w:t>Trichoplusia ni</w:t>
      </w:r>
      <w:r w:rsidRPr="00EB14C0">
        <w:rPr>
          <w:rFonts w:ascii="Times New Roman" w:hAnsi="Times New Roman" w:cs="Times New Roman"/>
          <w:lang w:val="pt-BR"/>
        </w:rPr>
        <w:t xml:space="preserve">, </w:t>
      </w:r>
      <w:r w:rsidRPr="00EB14C0">
        <w:rPr>
          <w:rFonts w:ascii="Times New Roman" w:hAnsi="Times New Roman" w:cs="Times New Roman"/>
          <w:i/>
          <w:lang w:val="pt-BR"/>
        </w:rPr>
        <w:t>Heliothis virescens</w:t>
      </w:r>
      <w:r w:rsidRPr="00EB14C0">
        <w:rPr>
          <w:rFonts w:ascii="Times New Roman" w:hAnsi="Times New Roman" w:cs="Times New Roman"/>
          <w:lang w:val="pt-BR"/>
        </w:rPr>
        <w:t xml:space="preserve">, and </w:t>
      </w:r>
      <w:r w:rsidRPr="00EB14C0">
        <w:rPr>
          <w:rFonts w:ascii="Times New Roman" w:hAnsi="Times New Roman" w:cs="Times New Roman"/>
          <w:i/>
          <w:lang w:val="pt-BR"/>
        </w:rPr>
        <w:t>Eumeta japonica</w:t>
      </w:r>
      <w:r w:rsidRPr="00EB14C0">
        <w:rPr>
          <w:rFonts w:ascii="Times New Roman" w:hAnsi="Times New Roman" w:cs="Times New Roman"/>
          <w:lang w:val="pt-BR"/>
        </w:rPr>
        <w:t>. C: Gene Ontology (GO) of unigenes identified from the transcriptome data. D: Kyoto Encyclopedia of Genes and Genomes (KEGG) classification of unigenes obtained from the transcriptome data.</w:t>
      </w:r>
    </w:p>
    <w:p w:rsidR="00EB14C0" w:rsidRDefault="00EB14C0" w:rsidP="00CC65B5">
      <w:pPr>
        <w:spacing w:line="360" w:lineRule="auto"/>
        <w:rPr>
          <w:rFonts w:ascii="Times New Roman" w:hAnsi="Times New Roman" w:cs="Times New Roman"/>
          <w:lang w:val="pt-BR"/>
        </w:rPr>
      </w:pPr>
    </w:p>
    <w:p w:rsidR="00EB14C0" w:rsidRDefault="00EB14C0" w:rsidP="00CC65B5">
      <w:pPr>
        <w:spacing w:line="360" w:lineRule="auto"/>
        <w:rPr>
          <w:rFonts w:ascii="Times New Roman" w:hAnsi="Times New Roman" w:cs="Times New Roman"/>
          <w:lang w:val="pt-BR"/>
        </w:rPr>
      </w:pPr>
    </w:p>
    <w:p w:rsidR="00EB14C0" w:rsidRDefault="00EB14C0" w:rsidP="00CC65B5">
      <w:pPr>
        <w:spacing w:line="360" w:lineRule="auto"/>
        <w:rPr>
          <w:rFonts w:ascii="Times New Roman" w:hAnsi="Times New Roman" w:cs="Times New Roman"/>
          <w:lang w:val="pt-BR"/>
        </w:rPr>
      </w:pPr>
    </w:p>
    <w:p w:rsidR="00EB14C0" w:rsidRDefault="00EB14C0" w:rsidP="00CC65B5">
      <w:pPr>
        <w:spacing w:line="360" w:lineRule="auto"/>
        <w:rPr>
          <w:rFonts w:ascii="Times New Roman" w:hAnsi="Times New Roman" w:cs="Times New Roman"/>
          <w:lang w:val="pt-BR"/>
        </w:rPr>
      </w:pPr>
    </w:p>
    <w:p w:rsidR="00EB14C0" w:rsidRDefault="00EB14C0" w:rsidP="00CC65B5">
      <w:pPr>
        <w:spacing w:line="360" w:lineRule="auto"/>
        <w:rPr>
          <w:rFonts w:ascii="Times New Roman" w:hAnsi="Times New Roman" w:cs="Times New Roman"/>
          <w:lang w:val="pt-BR"/>
        </w:rPr>
      </w:pPr>
    </w:p>
    <w:p w:rsidR="00EB14C0" w:rsidRDefault="00EB14C0" w:rsidP="00CC65B5">
      <w:pPr>
        <w:spacing w:line="360" w:lineRule="auto"/>
        <w:rPr>
          <w:rFonts w:ascii="Times New Roman" w:hAnsi="Times New Roman" w:cs="Times New Roman"/>
          <w:lang w:val="pt-BR"/>
        </w:rPr>
      </w:pPr>
    </w:p>
    <w:p w:rsidR="00EB14C0" w:rsidRDefault="00EB14C0" w:rsidP="00CC65B5">
      <w:pPr>
        <w:spacing w:line="360" w:lineRule="auto"/>
        <w:rPr>
          <w:rFonts w:ascii="Times New Roman" w:hAnsi="Times New Roman" w:cs="Times New Roman"/>
          <w:lang w:val="pt-BR"/>
        </w:rPr>
      </w:pPr>
    </w:p>
    <w:p w:rsidR="00EB14C0" w:rsidRPr="00EB14C0" w:rsidRDefault="00EB14C0" w:rsidP="00CC65B5">
      <w:pPr>
        <w:spacing w:line="360" w:lineRule="auto"/>
        <w:rPr>
          <w:rFonts w:ascii="Times New Roman" w:hAnsi="Times New Roman" w:cs="Times New Roman"/>
          <w:lang w:val="pt-BR"/>
        </w:rPr>
      </w:pPr>
      <w:r w:rsidRPr="00EB14C0">
        <w:rPr>
          <w:rFonts w:ascii="Times New Roman" w:hAnsi="Times New Roman" w:cs="Times New Roman"/>
          <w:noProof/>
        </w:rPr>
        <w:lastRenderedPageBreak/>
        <w:drawing>
          <wp:inline distT="0" distB="0" distL="0" distR="0">
            <wp:extent cx="5274310" cy="2866605"/>
            <wp:effectExtent l="0" t="0" r="2540" b="0"/>
            <wp:docPr id="2" name="图片 2" descr="C:\Users\Surfaace\Desktop\Figure 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rfaace\Desktop\Figure 5.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866605"/>
                    </a:xfrm>
                    <a:prstGeom prst="rect">
                      <a:avLst/>
                    </a:prstGeom>
                    <a:noFill/>
                    <a:ln>
                      <a:noFill/>
                    </a:ln>
                  </pic:spPr>
                </pic:pic>
              </a:graphicData>
            </a:graphic>
          </wp:inline>
        </w:drawing>
      </w:r>
      <w:r w:rsidRPr="00EB14C0">
        <w:rPr>
          <w:rFonts w:ascii="Times New Roman" w:hAnsi="Times New Roman" w:cs="Times New Roman" w:hint="eastAsia"/>
          <w:szCs w:val="21"/>
        </w:rPr>
        <w:t xml:space="preserve"> </w:t>
      </w:r>
      <w:r>
        <w:rPr>
          <w:rFonts w:ascii="Times New Roman" w:hAnsi="Times New Roman" w:cs="Times New Roman"/>
          <w:szCs w:val="21"/>
        </w:rPr>
        <w:t xml:space="preserve">Supplement </w:t>
      </w:r>
      <w:r w:rsidRPr="00894A72">
        <w:rPr>
          <w:rFonts w:ascii="Times New Roman" w:hAnsi="Times New Roman" w:cs="Times New Roman" w:hint="eastAsia"/>
          <w:szCs w:val="21"/>
        </w:rPr>
        <w:t>F</w:t>
      </w:r>
      <w:r w:rsidRPr="00894A72">
        <w:rPr>
          <w:rFonts w:ascii="Times New Roman" w:hAnsi="Times New Roman" w:cs="Times New Roman"/>
          <w:szCs w:val="21"/>
        </w:rPr>
        <w:t xml:space="preserve">igure </w:t>
      </w:r>
      <w:r>
        <w:rPr>
          <w:rFonts w:ascii="Times New Roman" w:hAnsi="Times New Roman" w:cs="Times New Roman"/>
          <w:szCs w:val="21"/>
        </w:rPr>
        <w:t>2</w:t>
      </w:r>
      <w:r w:rsidRPr="00894A72">
        <w:rPr>
          <w:rFonts w:ascii="Times New Roman" w:hAnsi="Times New Roman" w:cs="Times New Roman"/>
          <w:szCs w:val="21"/>
        </w:rPr>
        <w:t>. Gene Ontology (GO) analyses of identified DEGs</w:t>
      </w:r>
      <w:r w:rsidRPr="00894A72">
        <w:rPr>
          <w:rFonts w:ascii="Times New Roman" w:hAnsi="Times New Roman" w:cs="Times New Roman"/>
          <w:szCs w:val="24"/>
        </w:rPr>
        <w:t xml:space="preserve">. A: The GO terms enriched significantly (corrected </w:t>
      </w:r>
      <w:r w:rsidRPr="00EB14C0">
        <w:rPr>
          <w:rFonts w:ascii="Times New Roman" w:hAnsi="Times New Roman" w:cs="Times New Roman"/>
          <w:i/>
          <w:szCs w:val="24"/>
        </w:rPr>
        <w:t>P</w:t>
      </w:r>
      <w:r w:rsidRPr="00894A72">
        <w:rPr>
          <w:rFonts w:ascii="Times New Roman" w:hAnsi="Times New Roman" w:cs="Times New Roman"/>
          <w:szCs w:val="24"/>
        </w:rPr>
        <w:t xml:space="preserve">-value &lt; 0.05) in midgut samples from larvae treated with 1.0 μg/g CPT. B: The GO terms enriched significantly (corrected </w:t>
      </w:r>
      <w:r w:rsidRPr="00EB14C0">
        <w:rPr>
          <w:rFonts w:ascii="Times New Roman" w:hAnsi="Times New Roman" w:cs="Times New Roman"/>
          <w:i/>
          <w:szCs w:val="24"/>
        </w:rPr>
        <w:t>P</w:t>
      </w:r>
      <w:r w:rsidRPr="00894A72">
        <w:rPr>
          <w:rFonts w:ascii="Times New Roman" w:hAnsi="Times New Roman" w:cs="Times New Roman"/>
          <w:szCs w:val="24"/>
        </w:rPr>
        <w:t>-value &lt; 0.05) in midgut samples from larvae treated with 5.0 μg/g CPT.</w:t>
      </w:r>
      <w:r w:rsidRPr="00894A72">
        <w:rPr>
          <w:rFonts w:ascii="Times New Roman" w:hAnsi="Times New Roman" w:cs="Times New Roman"/>
          <w:szCs w:val="21"/>
        </w:rPr>
        <w:t xml:space="preserve"> GO terms were classified into three main categories: biological process, cell composition and molecular function.</w:t>
      </w:r>
    </w:p>
    <w:sectPr w:rsidR="00EB14C0" w:rsidRPr="00EB14C0" w:rsidSect="00CC65B5">
      <w:pgSz w:w="11906" w:h="16838"/>
      <w:pgMar w:top="1440" w:right="1800" w:bottom="1440" w:left="1800" w:header="851" w:footer="992" w:gutter="0"/>
      <w:lnNumType w:countBy="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484E" w:rsidRDefault="0075484E" w:rsidP="00CC65B5">
      <w:r>
        <w:separator/>
      </w:r>
    </w:p>
  </w:endnote>
  <w:endnote w:type="continuationSeparator" w:id="0">
    <w:p w:rsidR="0075484E" w:rsidRDefault="0075484E" w:rsidP="00CC6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484E" w:rsidRDefault="0075484E" w:rsidP="00CC65B5">
      <w:r>
        <w:separator/>
      </w:r>
    </w:p>
  </w:footnote>
  <w:footnote w:type="continuationSeparator" w:id="0">
    <w:p w:rsidR="0075484E" w:rsidRDefault="0075484E" w:rsidP="00CC65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07A"/>
    <w:rsid w:val="000D549C"/>
    <w:rsid w:val="00124043"/>
    <w:rsid w:val="00132774"/>
    <w:rsid w:val="00150624"/>
    <w:rsid w:val="001C5D2C"/>
    <w:rsid w:val="00350B12"/>
    <w:rsid w:val="003D3FC1"/>
    <w:rsid w:val="003F31A0"/>
    <w:rsid w:val="0075484E"/>
    <w:rsid w:val="0085607A"/>
    <w:rsid w:val="009D22F4"/>
    <w:rsid w:val="00A04668"/>
    <w:rsid w:val="00B33024"/>
    <w:rsid w:val="00BD7AEE"/>
    <w:rsid w:val="00CC65B5"/>
    <w:rsid w:val="00E63EF3"/>
    <w:rsid w:val="00E879BB"/>
    <w:rsid w:val="00EB14C0"/>
    <w:rsid w:val="00F33D30"/>
    <w:rsid w:val="00F47B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C189C21-1ED5-4F23-AEA2-6B401F985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65B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C65B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C65B5"/>
    <w:rPr>
      <w:sz w:val="18"/>
      <w:szCs w:val="18"/>
    </w:rPr>
  </w:style>
  <w:style w:type="paragraph" w:styleId="a4">
    <w:name w:val="footer"/>
    <w:basedOn w:val="a"/>
    <w:link w:val="Char0"/>
    <w:uiPriority w:val="99"/>
    <w:unhideWhenUsed/>
    <w:rsid w:val="00CC65B5"/>
    <w:pPr>
      <w:tabs>
        <w:tab w:val="center" w:pos="4153"/>
        <w:tab w:val="right" w:pos="8306"/>
      </w:tabs>
      <w:snapToGrid w:val="0"/>
      <w:jc w:val="left"/>
    </w:pPr>
    <w:rPr>
      <w:sz w:val="18"/>
      <w:szCs w:val="18"/>
    </w:rPr>
  </w:style>
  <w:style w:type="character" w:customStyle="1" w:styleId="Char0">
    <w:name w:val="页脚 Char"/>
    <w:basedOn w:val="a0"/>
    <w:link w:val="a4"/>
    <w:uiPriority w:val="99"/>
    <w:rsid w:val="00CC65B5"/>
    <w:rPr>
      <w:sz w:val="18"/>
      <w:szCs w:val="18"/>
    </w:rPr>
  </w:style>
  <w:style w:type="character" w:styleId="a5">
    <w:name w:val="Hyperlink"/>
    <w:basedOn w:val="a0"/>
    <w:uiPriority w:val="99"/>
    <w:unhideWhenUsed/>
    <w:rsid w:val="00CC65B5"/>
    <w:rPr>
      <w:color w:val="0000FF"/>
      <w:u w:val="single"/>
    </w:rPr>
  </w:style>
  <w:style w:type="character" w:customStyle="1" w:styleId="Char1">
    <w:name w:val="正文 + 小四 Char"/>
    <w:aliases w:val="红色 Char Char"/>
    <w:link w:val="a6"/>
    <w:locked/>
    <w:rsid w:val="00CC65B5"/>
    <w:rPr>
      <w:rFonts w:ascii="宋体" w:eastAsia="宋体" w:hAnsi="宋体"/>
      <w:sz w:val="24"/>
    </w:rPr>
  </w:style>
  <w:style w:type="paragraph" w:customStyle="1" w:styleId="a6">
    <w:name w:val="正文 + 小四"/>
    <w:basedOn w:val="a"/>
    <w:link w:val="Char1"/>
    <w:rsid w:val="00CC65B5"/>
    <w:pPr>
      <w:widowControl/>
      <w:spacing w:before="240" w:line="340" w:lineRule="atLeast"/>
      <w:ind w:left="562" w:right="562"/>
    </w:pPr>
    <w:rPr>
      <w:rFonts w:ascii="宋体" w:eastAsia="宋体" w:hAnsi="宋体"/>
      <w:sz w:val="24"/>
    </w:rPr>
  </w:style>
  <w:style w:type="character" w:styleId="a7">
    <w:name w:val="line number"/>
    <w:basedOn w:val="a0"/>
    <w:uiPriority w:val="99"/>
    <w:semiHidden/>
    <w:unhideWhenUsed/>
    <w:rsid w:val="00CC65B5"/>
  </w:style>
  <w:style w:type="table" w:styleId="a8">
    <w:name w:val="Table Grid"/>
    <w:basedOn w:val="a1"/>
    <w:uiPriority w:val="39"/>
    <w:rsid w:val="00CC65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3344528">
      <w:bodyDiv w:val="1"/>
      <w:marLeft w:val="0"/>
      <w:marRight w:val="0"/>
      <w:marTop w:val="0"/>
      <w:marBottom w:val="0"/>
      <w:divBdr>
        <w:top w:val="none" w:sz="0" w:space="0" w:color="auto"/>
        <w:left w:val="none" w:sz="0" w:space="0" w:color="auto"/>
        <w:bottom w:val="none" w:sz="0" w:space="0" w:color="auto"/>
        <w:right w:val="none" w:sz="0" w:space="0" w:color="auto"/>
      </w:divBdr>
    </w:div>
    <w:div w:id="971910091">
      <w:bodyDiv w:val="1"/>
      <w:marLeft w:val="0"/>
      <w:marRight w:val="0"/>
      <w:marTop w:val="0"/>
      <w:marBottom w:val="0"/>
      <w:divBdr>
        <w:top w:val="none" w:sz="0" w:space="0" w:color="auto"/>
        <w:left w:val="none" w:sz="0" w:space="0" w:color="auto"/>
        <w:bottom w:val="none" w:sz="0" w:space="0" w:color="auto"/>
        <w:right w:val="none" w:sz="0" w:space="0" w:color="auto"/>
      </w:divBdr>
    </w:div>
    <w:div w:id="1564751267">
      <w:bodyDiv w:val="1"/>
      <w:marLeft w:val="0"/>
      <w:marRight w:val="0"/>
      <w:marTop w:val="0"/>
      <w:marBottom w:val="0"/>
      <w:divBdr>
        <w:top w:val="none" w:sz="0" w:space="0" w:color="auto"/>
        <w:left w:val="none" w:sz="0" w:space="0" w:color="auto"/>
        <w:bottom w:val="none" w:sz="0" w:space="0" w:color="auto"/>
        <w:right w:val="none" w:sz="0" w:space="0" w:color="auto"/>
      </w:divBdr>
    </w:div>
    <w:div w:id="1944918889">
      <w:bodyDiv w:val="1"/>
      <w:marLeft w:val="0"/>
      <w:marRight w:val="0"/>
      <w:marTop w:val="0"/>
      <w:marBottom w:val="0"/>
      <w:divBdr>
        <w:top w:val="none" w:sz="0" w:space="0" w:color="auto"/>
        <w:left w:val="none" w:sz="0" w:space="0" w:color="auto"/>
        <w:bottom w:val="none" w:sz="0" w:space="0" w:color="auto"/>
        <w:right w:val="none" w:sz="0" w:space="0" w:color="auto"/>
      </w:divBdr>
    </w:div>
    <w:div w:id="211879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webSettings" Target="webSettings.xml"/><Relationship Id="rId7" Type="http://schemas.openxmlformats.org/officeDocument/2006/relationships/image" Target="media/image1.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injtian@163.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624</Words>
  <Characters>3563</Characters>
  <Application>Microsoft Office Word</Application>
  <DocSecurity>0</DocSecurity>
  <Lines>29</Lines>
  <Paragraphs>8</Paragraphs>
  <ScaleCrop>false</ScaleCrop>
  <Company>神州网信技术有限公司</Company>
  <LinksUpToDate>false</LinksUpToDate>
  <CharactersWithSpaces>4179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Surfaace</dc:creator>
  <cp:keywords/>
  <dc:description/>
  <cp:lastModifiedBy>Surfaace</cp:lastModifiedBy>
  <cp:revision>12</cp:revision>
  <cp:lastPrinted>2020-12-16T08:53:00Z</cp:lastPrinted>
  <dcterms:created xsi:type="dcterms:W3CDTF">2020-01-27T07:04:00Z</dcterms:created>
  <dcterms:modified xsi:type="dcterms:W3CDTF">2021-04-27T08:54:00Z</dcterms:modified>
</cp:coreProperties>
</file>