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Table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S1</w:t>
      </w:r>
      <w:r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  <w:t>0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GO annotation analysis of NBS-LRR genes in GJ,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1"/>
          <w:szCs w:val="21"/>
          <w:lang w:eastAsia="zh-CN"/>
        </w:rPr>
        <w:t>XI-MH63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and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1"/>
          <w:szCs w:val="21"/>
          <w:lang w:eastAsia="zh-CN"/>
        </w:rPr>
        <w:t>XI-ZS97</w:t>
      </w:r>
      <w:r>
        <w:rPr>
          <w:rFonts w:hint="default" w:ascii="Times New Roman" w:hAnsi="Times New Roman" w:cs="Times New Roman"/>
          <w:b w:val="0"/>
          <w:bCs w:val="0"/>
          <w:i/>
          <w:iCs/>
          <w:sz w:val="21"/>
          <w:szCs w:val="21"/>
          <w:lang w:val="en-US" w:eastAsia="zh-CN"/>
        </w:rPr>
        <w:t>.</w:t>
      </w:r>
    </w:p>
    <w:tbl>
      <w:tblPr>
        <w:tblStyle w:val="4"/>
        <w:tblW w:w="8756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713"/>
        <w:gridCol w:w="2153"/>
        <w:gridCol w:w="2235"/>
        <w:gridCol w:w="94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89" w:hRule="atLeast"/>
          <w:jc w:val="center"/>
        </w:trPr>
        <w:tc>
          <w:tcPr>
            <w:tcW w:w="1711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GO level1</w:t>
            </w:r>
          </w:p>
        </w:tc>
        <w:tc>
          <w:tcPr>
            <w:tcW w:w="171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GO level2</w:t>
            </w:r>
          </w:p>
        </w:tc>
        <w:tc>
          <w:tcPr>
            <w:tcW w:w="215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All genes of three genomes which have GO terms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superscript"/>
                <w:lang w:val="en-US" w:eastAsia="zh-CN"/>
              </w:rPr>
              <w:t>1</w:t>
            </w:r>
          </w:p>
        </w:tc>
        <w:tc>
          <w:tcPr>
            <w:tcW w:w="223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lang w:val="en-US" w:eastAsia="zh-CN"/>
              </w:rPr>
              <w:t>Percentage</w:t>
            </w:r>
            <w:r>
              <w:rPr>
                <w:rFonts w:hint="default" w:ascii="Times New Roman" w:hAnsi="Times New Roman" w:cs="Times New Roman"/>
                <w:b/>
                <w:bCs/>
                <w:szCs w:val="21"/>
              </w:rPr>
              <w:t xml:space="preserve"> 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of three genomes which have GO terms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superscript"/>
                <w:lang w:val="en-US" w:eastAsia="zh-CN"/>
              </w:rPr>
              <w:t>1</w:t>
            </w:r>
          </w:p>
        </w:tc>
        <w:tc>
          <w:tcPr>
            <w:tcW w:w="94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P-value</w:t>
            </w:r>
          </w:p>
        </w:tc>
      </w:tr>
      <w:tr>
        <w:trPr>
          <w:jc w:val="center"/>
        </w:trPr>
        <w:tc>
          <w:tcPr>
            <w:tcW w:w="1711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Cellular Component</w:t>
            </w:r>
          </w:p>
        </w:tc>
        <w:tc>
          <w:tcPr>
            <w:tcW w:w="171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cell part</w:t>
            </w:r>
          </w:p>
        </w:tc>
        <w:tc>
          <w:tcPr>
            <w:tcW w:w="215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1:2:2</w:t>
            </w:r>
          </w:p>
        </w:tc>
        <w:tc>
          <w:tcPr>
            <w:tcW w:w="223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0.2:0.3:0.3</w:t>
            </w:r>
          </w:p>
        </w:tc>
        <w:tc>
          <w:tcPr>
            <w:tcW w:w="94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Cellular Component</w:t>
            </w:r>
          </w:p>
        </w:tc>
        <w:tc>
          <w:tcPr>
            <w:tcW w:w="17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cell</w:t>
            </w:r>
          </w:p>
        </w:tc>
        <w:tc>
          <w:tcPr>
            <w:tcW w:w="21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1:2:2</w:t>
            </w:r>
          </w:p>
        </w:tc>
        <w:tc>
          <w:tcPr>
            <w:tcW w:w="22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0.2:0.3:0.3</w:t>
            </w: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Cellular Component</w:t>
            </w:r>
          </w:p>
        </w:tc>
        <w:tc>
          <w:tcPr>
            <w:tcW w:w="17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organelle</w:t>
            </w:r>
          </w:p>
        </w:tc>
        <w:tc>
          <w:tcPr>
            <w:tcW w:w="21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1:2:2</w:t>
            </w:r>
          </w:p>
        </w:tc>
        <w:tc>
          <w:tcPr>
            <w:tcW w:w="22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0.2:0.3:0.3</w:t>
            </w: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Cellular Component</w:t>
            </w:r>
          </w:p>
        </w:tc>
        <w:tc>
          <w:tcPr>
            <w:tcW w:w="17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membrane</w:t>
            </w:r>
          </w:p>
        </w:tc>
        <w:tc>
          <w:tcPr>
            <w:tcW w:w="21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0:1:1</w:t>
            </w:r>
          </w:p>
        </w:tc>
        <w:tc>
          <w:tcPr>
            <w:tcW w:w="22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0.0:0.2:0.2</w:t>
            </w: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Molecular Function</w:t>
            </w:r>
          </w:p>
        </w:tc>
        <w:tc>
          <w:tcPr>
            <w:tcW w:w="17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catalytic activity</w:t>
            </w:r>
          </w:p>
        </w:tc>
        <w:tc>
          <w:tcPr>
            <w:tcW w:w="21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89:127:120</w:t>
            </w:r>
          </w:p>
        </w:tc>
        <w:tc>
          <w:tcPr>
            <w:tcW w:w="22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19.3:19.7:20.3</w:t>
            </w: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Molecular Function</w:t>
            </w:r>
          </w:p>
        </w:tc>
        <w:tc>
          <w:tcPr>
            <w:tcW w:w="17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binding</w:t>
            </w:r>
          </w:p>
        </w:tc>
        <w:tc>
          <w:tcPr>
            <w:tcW w:w="21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448:587:550</w:t>
            </w:r>
          </w:p>
        </w:tc>
        <w:tc>
          <w:tcPr>
            <w:tcW w:w="22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91.1:97.0:93.1</w:t>
            </w: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Molecular Function</w:t>
            </w:r>
          </w:p>
        </w:tc>
        <w:tc>
          <w:tcPr>
            <w:tcW w:w="17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transcription regulator activity</w:t>
            </w:r>
          </w:p>
        </w:tc>
        <w:tc>
          <w:tcPr>
            <w:tcW w:w="21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1:5:5</w:t>
            </w:r>
          </w:p>
        </w:tc>
        <w:tc>
          <w:tcPr>
            <w:tcW w:w="22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0.2:0.8:0.8</w:t>
            </w: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Biological Process</w:t>
            </w:r>
          </w:p>
        </w:tc>
        <w:tc>
          <w:tcPr>
            <w:tcW w:w="17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response to stimulus</w:t>
            </w:r>
          </w:p>
        </w:tc>
        <w:tc>
          <w:tcPr>
            <w:tcW w:w="21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1:3:3</w:t>
            </w:r>
          </w:p>
        </w:tc>
        <w:tc>
          <w:tcPr>
            <w:tcW w:w="22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0.2:0.5:0.5</w:t>
            </w: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Biological Process</w:t>
            </w:r>
          </w:p>
        </w:tc>
        <w:tc>
          <w:tcPr>
            <w:tcW w:w="17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cellular process</w:t>
            </w:r>
          </w:p>
        </w:tc>
        <w:tc>
          <w:tcPr>
            <w:tcW w:w="21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91:131:124</w:t>
            </w:r>
          </w:p>
        </w:tc>
        <w:tc>
          <w:tcPr>
            <w:tcW w:w="22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19.7:20.3:21.0</w:t>
            </w: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0.876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Biological Process</w:t>
            </w:r>
          </w:p>
        </w:tc>
        <w:tc>
          <w:tcPr>
            <w:tcW w:w="17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metabolic process</w:t>
            </w:r>
          </w:p>
        </w:tc>
        <w:tc>
          <w:tcPr>
            <w:tcW w:w="21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90:132:124</w:t>
            </w:r>
          </w:p>
        </w:tc>
        <w:tc>
          <w:tcPr>
            <w:tcW w:w="22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19.5:20.5:21.0</w:t>
            </w: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Biological Process</w:t>
            </w:r>
          </w:p>
        </w:tc>
        <w:tc>
          <w:tcPr>
            <w:tcW w:w="17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biological regulation</w:t>
            </w:r>
          </w:p>
        </w:tc>
        <w:tc>
          <w:tcPr>
            <w:tcW w:w="21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2:9:10</w:t>
            </w:r>
          </w:p>
        </w:tc>
        <w:tc>
          <w:tcPr>
            <w:tcW w:w="22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0.4:1.4:1.7</w:t>
            </w: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Biological Process</w:t>
            </w:r>
          </w:p>
        </w:tc>
        <w:tc>
          <w:tcPr>
            <w:tcW w:w="17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regulation of biological process</w:t>
            </w:r>
          </w:p>
        </w:tc>
        <w:tc>
          <w:tcPr>
            <w:tcW w:w="21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2:9:10</w:t>
            </w:r>
          </w:p>
        </w:tc>
        <w:tc>
          <w:tcPr>
            <w:tcW w:w="22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0.4:1.4:1.7</w:t>
            </w: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Biological Process</w:t>
            </w:r>
          </w:p>
        </w:tc>
        <w:tc>
          <w:tcPr>
            <w:tcW w:w="17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signaling</w:t>
            </w:r>
          </w:p>
        </w:tc>
        <w:tc>
          <w:tcPr>
            <w:tcW w:w="21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1:2:2</w:t>
            </w:r>
          </w:p>
        </w:tc>
        <w:tc>
          <w:tcPr>
            <w:tcW w:w="22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0.2:0.3:0.3</w:t>
            </w: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</w:t>
            </w:r>
          </w:p>
        </w:tc>
      </w:tr>
    </w:tbl>
    <w:p>
      <w:pPr>
        <w:spacing w:line="360" w:lineRule="auto"/>
        <w:rPr>
          <w:rFonts w:hint="default" w:ascii="Times New Roman" w:hAnsi="Times New Roman" w:cs="Times New Roman"/>
          <w:b w:val="0"/>
          <w:bCs w:val="0"/>
          <w:i w:val="0"/>
          <w:iCs w:val="0"/>
          <w:sz w:val="18"/>
          <w:szCs w:val="18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Note: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18"/>
          <w:szCs w:val="18"/>
          <w:vertAlign w:val="baseline"/>
          <w:lang w:val="en-US" w:eastAsia="zh-CN"/>
        </w:rPr>
        <w:t xml:space="preserve">GJ: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18"/>
          <w:szCs w:val="18"/>
          <w:vertAlign w:val="baseline"/>
          <w:lang w:eastAsia="zh-CN"/>
        </w:rPr>
        <w:t>XI-MH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18"/>
          <w:szCs w:val="18"/>
          <w:vertAlign w:val="baseline"/>
          <w:lang w:val="en-US" w:eastAsia="zh-CN"/>
        </w:rPr>
        <w:t xml:space="preserve">63: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18"/>
          <w:szCs w:val="18"/>
          <w:vertAlign w:val="baseline"/>
          <w:lang w:eastAsia="zh-CN"/>
        </w:rPr>
        <w:t>XI-ZS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18"/>
          <w:szCs w:val="18"/>
          <w:vertAlign w:val="baseline"/>
          <w:lang w:val="en-US" w:eastAsia="zh-CN"/>
        </w:rPr>
        <w:t xml:space="preserve">97; MI: Without P-value. </w:t>
      </w:r>
    </w:p>
    <w:p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@宋体">
    <w:altName w:val="华文宋体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Cambria Math">
    <w:altName w:val="Kingsoft Math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Menlo">
    <w:panose1 w:val="020B0609030804020204"/>
    <w:charset w:val="00"/>
    <w:family w:val="modern"/>
    <w:pitch w:val="default"/>
    <w:sig w:usb0="E60022FF" w:usb1="D200F9FB" w:usb2="02000028" w:usb3="00000000" w:csb0="600001DF" w:csb1="FFDF0000"/>
  </w:font>
  <w:font w:name="MS Mincho">
    <w:altName w:val="Hiragino Sans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NewRomanPS-BoldMT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Marion">
    <w:panose1 w:val="02020502060400020003"/>
    <w:charset w:val="00"/>
    <w:family w:val="auto"/>
    <w:pitch w:val="default"/>
    <w:sig w:usb0="A00000EF" w:usb1="5000205B" w:usb2="00000000" w:usb3="00000000" w:csb0="20000183" w:csb1="00000000"/>
  </w:font>
  <w:font w:name="Plantagenet Cherokee">
    <w:panose1 w:val="02020000000000000000"/>
    <w:charset w:val="00"/>
    <w:family w:val="auto"/>
    <w:pitch w:val="default"/>
    <w:sig w:usb0="80000003" w:usb1="00000000" w:usb2="00001000" w:usb3="00000000" w:csb0="200001F3" w:csb1="CDFC0000"/>
  </w:font>
  <w:font w:name="Telugu MN">
    <w:panose1 w:val="00000500000000000000"/>
    <w:charset w:val="00"/>
    <w:family w:val="auto"/>
    <w:pitch w:val="default"/>
    <w:sig w:usb0="00200001" w:usb1="0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AdvPS9788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honburi">
    <w:panose1 w:val="00000400000000000000"/>
    <w:charset w:val="00"/>
    <w:family w:val="auto"/>
    <w:pitch w:val="default"/>
    <w:sig w:usb0="01000000" w:usb1="00000000" w:usb2="00000000" w:usb3="00000000" w:csb0="20000193" w:csb1="4D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华文琥珀">
    <w:altName w:val="宋体-简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@宋体">
    <w:altName w:val="华文宋体"/>
    <w:panose1 w:val="02010600030101010101"/>
    <w:charset w:val="50"/>
    <w:family w:val="auto"/>
    <w:pitch w:val="default"/>
    <w:sig w:usb0="00000000" w:usb1="00000000" w:usb2="00000016" w:usb3="00000000" w:csb0="00040001" w:csb1="00000000"/>
  </w:font>
  <w:font w:name="@MS Mincho">
    <w:altName w:val="Hiragino Sans"/>
    <w:panose1 w:val="00000000000000000000"/>
    <w:charset w:val="80"/>
    <w:family w:val="auto"/>
    <w:pitch w:val="default"/>
    <w:sig w:usb0="00000000" w:usb1="00000000" w:usb2="00000012" w:usb3="00000000" w:csb0="0002009F" w:csb1="00000000"/>
  </w:font>
  <w:font w:name="AdvPS977E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PSA88A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PS9779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altName w:val="宋体-简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AdvPSA183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行楷">
    <w:altName w:val="行楷-简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KW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行楷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dvAlbrtusM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MT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ˎ̥">
    <w:altName w:val="苹方-简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S Mincho">
    <w:altName w:val="Hiragino Sans"/>
    <w:panose1 w:val="02020609040205080304"/>
    <w:charset w:val="00"/>
    <w:family w:val="modern"/>
    <w:pitch w:val="default"/>
    <w:sig w:usb0="00000000" w:usb1="00000000" w:usb2="08000012" w:usb3="00000000" w:csb0="0002009F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ＭＳ 明朝">
    <w:altName w:val="Hiragino Sans"/>
    <w:panose1 w:val="00000000000000000000"/>
    <w:charset w:val="4E"/>
    <w:family w:val="auto"/>
    <w:pitch w:val="default"/>
    <w:sig w:usb0="00000000" w:usb1="00000000" w:usb2="00000010" w:usb3="00000000" w:csb0="00020000" w:csb1="00000000"/>
  </w:font>
  <w:font w:name="Lucida Grande">
    <w:panose1 w:val="020B0600040502020204"/>
    <w:charset w:val="00"/>
    <w:family w:val="auto"/>
    <w:pitch w:val="default"/>
    <w:sig w:usb0="E1000AEF" w:usb1="5000A1FF" w:usb2="00000000" w:usb3="00000000" w:csb0="200001BF" w:csb1="4F010000"/>
  </w:font>
  <w:font w:name="ＭＳ ゴシック">
    <w:altName w:val="Thonburi"/>
    <w:panose1 w:val="00000000000000000000"/>
    <w:charset w:val="4E"/>
    <w:family w:val="auto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">
    <w:panose1 w:val="00000500000000020000"/>
    <w:charset w:val="00"/>
    <w:family w:val="auto"/>
    <w:pitch w:val="default"/>
    <w:sig w:usb0="E00002FF" w:usb1="5000205A" w:usb2="00000000" w:usb3="00000000" w:csb0="2000019F" w:csb1="4F010000"/>
  </w:font>
  <w:font w:name="Tiro Gurmukhi">
    <w:panose1 w:val="01000000000000000000"/>
    <w:charset w:val="00"/>
    <w:family w:val="auto"/>
    <w:pitch w:val="default"/>
    <w:sig w:usb0="A002002F" w:usb1="0000600A" w:usb2="00000000" w:usb3="00000000" w:csb0="00000001" w:csb1="00000000"/>
  </w:font>
  <w:font w:name="DY92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2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9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94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儷黑 Pro">
    <w:panose1 w:val="020B0500000000000000"/>
    <w:charset w:val="88"/>
    <w:family w:val="auto"/>
    <w:pitch w:val="default"/>
    <w:sig w:usb0="80000001" w:usb1="28091800" w:usb2="00000016" w:usb3="00000000" w:csb0="00100000" w:csb1="00000000"/>
  </w:font>
  <w:font w:name="Tamil Sangam MN">
    <w:panose1 w:val="00000500000000000000"/>
    <w:charset w:val="00"/>
    <w:family w:val="auto"/>
    <w:pitch w:val="default"/>
    <w:sig w:usb0="00108001" w:usb1="02000004" w:usb2="00000000" w:usb3="00000000" w:csb0="0000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Telugu Sangam MN">
    <w:panose1 w:val="00000500000000000000"/>
    <w:charset w:val="00"/>
    <w:family w:val="auto"/>
    <w:pitch w:val="default"/>
    <w:sig w:usb0="00200001" w:usb1="00000000" w:usb2="00000000" w:usb3="00000000" w:csb0="00000001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Segoe Print">
    <w:altName w:val="苹方-简"/>
    <w:panose1 w:val="02000600000000000000"/>
    <w:charset w:val="00"/>
    <w:family w:val="auto"/>
    <w:pitch w:val="default"/>
    <w:sig w:usb0="00000000" w:usb1="00000000" w:usb2="00000000" w:usb3="00000000" w:csb0="2000009F" w:csb1="47010000"/>
  </w:font>
  <w:font w:name="MS Gothic">
    <w:altName w:val="Hiragino Sans"/>
    <w:panose1 w:val="020B0609070205080204"/>
    <w:charset w:val="80"/>
    <w:family w:val="auto"/>
    <w:pitch w:val="default"/>
    <w:sig w:usb0="00000000" w:usb1="00000000" w:usb2="08000012" w:usb3="00000000" w:csb0="4002009F" w:csb1="DFD70000"/>
  </w:font>
  <w:font w:name="Times New Roman Bold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AdvOTb319c559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09c53c0a . 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ngti SC Regular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D84D48"/>
    <w:rsid w:val="1C4E30F4"/>
    <w:rsid w:val="72D84D48"/>
    <w:rsid w:val="75940B7D"/>
    <w:rsid w:val="775361BA"/>
    <w:rsid w:val="7B9CB173"/>
    <w:rsid w:val="7CED590B"/>
    <w:rsid w:val="7F5AC84C"/>
    <w:rsid w:val="BE7F63AB"/>
    <w:rsid w:val="FEDAD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5">
    <w:name w:val="font81"/>
    <w:basedOn w:val="2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6">
    <w:name w:val="font71"/>
    <w:basedOn w:val="2"/>
    <w:qFormat/>
    <w:uiPriority w:val="0"/>
    <w:rPr>
      <w:rFonts w:hint="default" w:ascii="Times New Roman" w:hAnsi="Times New Roman" w:cs="Times New Roman"/>
      <w:b/>
      <w:color w:val="000000"/>
      <w:sz w:val="21"/>
      <w:szCs w:val="21"/>
      <w:u w:val="none"/>
    </w:rPr>
  </w:style>
  <w:style w:type="character" w:customStyle="1" w:styleId="7">
    <w:name w:val="font11"/>
    <w:basedOn w:val="2"/>
    <w:qFormat/>
    <w:uiPriority w:val="0"/>
    <w:rPr>
      <w:rFonts w:hint="default" w:ascii="Times New Roman" w:hAnsi="Times New Roman" w:cs="Times New Roman"/>
      <w:i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Office_3.6.0.5672_F1E327BC-269C-435d-A152-05C5408002CA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2020-12-28T20:02:00Z</dcterms:created>
  <dc:creator>Wei Chendan</dc:creator>
  <cp:lastModifiedBy>weichendan</cp:lastModifiedBy>
  <dcterms:modified xsi:type="dcterms:W3CDTF">2021-05-23T10:19:10Z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