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right"/>
        <w:textAlignment w:val="auto"/>
        <w:outlineLvl w:val="9"/>
        <w:rPr>
          <w:rFonts w:ascii="Times New Roman" w:hAnsi="Times New Roman" w:eastAsia="宋体" w:cs="Times New Roman"/>
          <w:b/>
          <w:sz w:val="36"/>
          <w:szCs w:val="36"/>
          <w:highlight w:val="none"/>
          <w:lang w:bidi="ar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highlight w:val="none"/>
          <w:lang w:val="en-US" w:eastAsia="zh-CN" w:bidi="ar"/>
        </w:rPr>
        <w:t>Supplemental Text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right"/>
        <w:textAlignment w:val="auto"/>
        <w:outlineLvl w:val="9"/>
        <w:rPr>
          <w:rFonts w:ascii="Times New Roman" w:hAnsi="Times New Roman" w:eastAsia="宋体" w:cs="Times New Roman"/>
          <w:b/>
          <w:sz w:val="36"/>
          <w:szCs w:val="36"/>
          <w:highlight w:val="none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ascii="Times New Roman" w:hAnsi="Times New Roman" w:eastAsia="宋体" w:cs="Times New Roman"/>
          <w:b/>
          <w:kern w:val="0"/>
          <w:sz w:val="36"/>
          <w:szCs w:val="36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36"/>
          <w:szCs w:val="36"/>
          <w:highlight w:val="none"/>
        </w:rPr>
        <w:t>Conversion between 100-million-year-old duplicated genes contributes to rice subspecies divergence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ascii="Times New Roman" w:hAnsi="Times New Roman" w:eastAsia="MS Mincho" w:cs="Times New Roman"/>
          <w:kern w:val="0"/>
          <w:sz w:val="24"/>
          <w:highlight w:val="none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highlight w:val="none"/>
        </w:rPr>
      </w:pPr>
      <w:r>
        <w:rPr>
          <w:rFonts w:ascii="Times New Roman" w:hAnsi="Times New Roman" w:eastAsia="MS Mincho" w:cs="Times New Roman"/>
          <w:kern w:val="0"/>
          <w:sz w:val="24"/>
          <w:highlight w:val="none"/>
          <w:lang w:bidi="ar"/>
        </w:rPr>
        <w:t>Chendan Wei</w:t>
      </w:r>
      <w:r>
        <w:rPr>
          <w:rFonts w:ascii="Times New Roman" w:hAnsi="Times New Roman" w:eastAsia="MS Mincho" w:cs="Times New Roman"/>
          <w:kern w:val="0"/>
          <w:sz w:val="24"/>
          <w:highlight w:val="none"/>
          <w:vertAlign w:val="superscript"/>
          <w:lang w:bidi="ar"/>
        </w:rPr>
        <w:t>1,</w:t>
      </w:r>
      <w:r>
        <w:rPr>
          <w:rFonts w:ascii="Times New Roman" w:hAnsi="Times New Roman" w:eastAsia="宋体" w:cs="Times New Roman"/>
          <w:szCs w:val="21"/>
          <w:highlight w:val="none"/>
          <w:vertAlign w:val="superscript"/>
          <w:lang w:bidi="ar"/>
        </w:rPr>
        <w:t>†</w:t>
      </w:r>
      <w:r>
        <w:rPr>
          <w:rFonts w:ascii="Times New Roman" w:hAnsi="Times New Roman" w:eastAsia="MS Mincho" w:cs="Times New Roman"/>
          <w:kern w:val="0"/>
          <w:sz w:val="24"/>
          <w:highlight w:val="none"/>
          <w:lang w:bidi="ar"/>
        </w:rPr>
        <w:t>, Zhenyi Wang</w:t>
      </w:r>
      <w:r>
        <w:rPr>
          <w:rFonts w:ascii="Times New Roman" w:hAnsi="Times New Roman" w:eastAsia="MS Mincho" w:cs="Times New Roman"/>
          <w:kern w:val="0"/>
          <w:sz w:val="24"/>
          <w:highlight w:val="none"/>
          <w:vertAlign w:val="superscript"/>
          <w:lang w:bidi="ar"/>
        </w:rPr>
        <w:t>1,</w:t>
      </w:r>
      <w:r>
        <w:rPr>
          <w:rFonts w:ascii="Times New Roman" w:hAnsi="Times New Roman" w:eastAsia="宋体" w:cs="Times New Roman"/>
          <w:szCs w:val="21"/>
          <w:highlight w:val="none"/>
          <w:vertAlign w:val="superscript"/>
          <w:lang w:bidi="ar"/>
        </w:rPr>
        <w:t>†</w:t>
      </w:r>
      <w:r>
        <w:rPr>
          <w:rFonts w:ascii="Times New Roman" w:hAnsi="Times New Roman" w:eastAsia="MS Mincho" w:cs="Times New Roman"/>
          <w:kern w:val="0"/>
          <w:sz w:val="24"/>
          <w:highlight w:val="none"/>
          <w:lang w:bidi="ar"/>
        </w:rPr>
        <w:t xml:space="preserve">, 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Jianyu Wang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1,</w:t>
      </w:r>
      <w:r>
        <w:rPr>
          <w:rFonts w:ascii="Times New Roman" w:hAnsi="Times New Roman" w:eastAsia="宋体" w:cs="Times New Roman"/>
          <w:szCs w:val="21"/>
          <w:highlight w:val="none"/>
          <w:vertAlign w:val="superscript"/>
          <w:lang w:bidi="ar"/>
        </w:rPr>
        <w:t>†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Jia Teng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Shaoqi Shen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Qimeng Xiao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Shoutong Bao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Yishan Feng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Yan Zhang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Yuxian Li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1,2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Sangrong Sun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1,2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Yuanshuai Yue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Chunyang Wu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Yanli Wang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Tianning Zhou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Wenbo Xu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Jigao Yu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2,3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Li Wang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1,*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, Jinpeng Wang</w:t>
      </w: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1,2,3, 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eastAsia="宋体" w:cs="Times New Roman"/>
          <w:sz w:val="24"/>
          <w:highlight w:val="none"/>
          <w:vertAlign w:val="superscript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  <w:vertAlign w:val="superscript"/>
          <w:lang w:bidi="ar"/>
        </w:rPr>
        <w:t>†</w:t>
      </w:r>
      <w:r>
        <w:rPr>
          <w:rFonts w:ascii="Times New Roman" w:hAnsi="Times New Roman" w:eastAsia="宋体" w:cs="Times New Roman"/>
          <w:sz w:val="24"/>
          <w:highlight w:val="none"/>
          <w:lang w:bidi="ar"/>
        </w:rPr>
        <w:t>These authors contributed equally to this work.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  <w:vertAlign w:val="superscript"/>
          <w:lang w:bidi="ar"/>
        </w:rPr>
        <w:t>*</w:t>
      </w:r>
      <w:r>
        <w:rPr>
          <w:rFonts w:ascii="Times New Roman" w:hAnsi="Times New Roman" w:eastAsia="宋体" w:cs="Times New Roman"/>
          <w:color w:val="000000"/>
          <w:sz w:val="24"/>
          <w:highlight w:val="none"/>
          <w:lang w:bidi="ar"/>
        </w:rPr>
        <w:t xml:space="preserve">Address correspondence to Jinpeng Wang (Email: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"mailto:wangjinpeng@ibcas.ac.cn" </w:instrText>
      </w:r>
      <w:r>
        <w:rPr>
          <w:highlight w:val="none"/>
        </w:rPr>
        <w:fldChar w:fldCharType="separate"/>
      </w:r>
      <w:r>
        <w:rPr>
          <w:rStyle w:val="9"/>
          <w:rFonts w:ascii="Times New Roman" w:hAnsi="Times New Roman" w:cs="Times New Roman"/>
          <w:kern w:val="0"/>
          <w:sz w:val="24"/>
          <w:highlight w:val="none"/>
        </w:rPr>
        <w:t>wangjinpeng@ibcas.ac.cn</w:t>
      </w:r>
      <w:r>
        <w:rPr>
          <w:rStyle w:val="9"/>
          <w:rFonts w:ascii="Times New Roman" w:hAnsi="Times New Roman" w:cs="Times New Roman"/>
          <w:kern w:val="0"/>
          <w:sz w:val="24"/>
          <w:highlight w:val="none"/>
        </w:rPr>
        <w:fldChar w:fldCharType="end"/>
      </w:r>
      <w:r>
        <w:rPr>
          <w:rFonts w:ascii="Times New Roman" w:hAnsi="Times New Roman" w:eastAsia="宋体" w:cs="Times New Roman"/>
          <w:color w:val="000000"/>
          <w:sz w:val="24"/>
          <w:highlight w:val="none"/>
          <w:lang w:bidi="ar"/>
        </w:rPr>
        <w:t xml:space="preserve">) </w:t>
      </w:r>
      <w:r>
        <w:rPr>
          <w:rFonts w:ascii="Times New Roman" w:hAnsi="Times New Roman" w:eastAsia="宋体" w:cs="Times New Roman"/>
          <w:sz w:val="24"/>
          <w:highlight w:val="none"/>
          <w:lang w:bidi="ar"/>
        </w:rPr>
        <w:t>and Li Wang (</w:t>
      </w:r>
      <w:r>
        <w:rPr>
          <w:rFonts w:ascii="Times New Roman" w:hAnsi="Times New Roman" w:eastAsia="宋体" w:cs="Times New Roman"/>
          <w:color w:val="000000"/>
          <w:sz w:val="24"/>
          <w:highlight w:val="none"/>
          <w:lang w:bidi="ar"/>
        </w:rPr>
        <w:t xml:space="preserve">Email: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"mailto:wlsh219@126.com" </w:instrText>
      </w:r>
      <w:r>
        <w:rPr>
          <w:highlight w:val="none"/>
        </w:rPr>
        <w:fldChar w:fldCharType="separate"/>
      </w:r>
      <w:r>
        <w:rPr>
          <w:rStyle w:val="9"/>
          <w:rFonts w:ascii="Times New Roman" w:hAnsi="Times New Roman" w:cs="Times New Roman"/>
          <w:sz w:val="24"/>
          <w:highlight w:val="none"/>
        </w:rPr>
        <w:t>wlsh219@126.com</w:t>
      </w:r>
      <w:r>
        <w:rPr>
          <w:rStyle w:val="9"/>
          <w:rFonts w:ascii="Times New Roman" w:hAnsi="Times New Roman" w:cs="Times New Roman"/>
          <w:sz w:val="24"/>
          <w:highlight w:val="none"/>
        </w:rPr>
        <w:fldChar w:fldCharType="end"/>
      </w:r>
      <w:r>
        <w:rPr>
          <w:rFonts w:ascii="Times New Roman" w:hAnsi="Times New Roman" w:eastAsia="宋体" w:cs="Times New Roman"/>
          <w:color w:val="000000"/>
          <w:sz w:val="24"/>
          <w:highlight w:val="none"/>
          <w:lang w:bidi="ar"/>
        </w:rPr>
        <w:t>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20" w:right="0" w:rightChars="0" w:hanging="120" w:hangingChars="50"/>
        <w:textAlignment w:val="auto"/>
        <w:outlineLvl w:val="9"/>
        <w:rPr>
          <w:rFonts w:ascii="Times New Roman" w:hAnsi="Times New Roman" w:cs="Times New Roman"/>
          <w:kern w:val="0"/>
          <w:sz w:val="24"/>
          <w:highlight w:val="none"/>
          <w:vertAlign w:val="superscrip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20" w:right="0" w:rightChars="0" w:hanging="120" w:hangingChars="50"/>
        <w:textAlignment w:val="auto"/>
        <w:outlineLvl w:val="9"/>
        <w:rPr>
          <w:rFonts w:ascii="Times New Roman" w:hAnsi="Times New Roman" w:cs="Times New Roman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>School of Life Sciences, and Center for Genomics and Computational Biology, North China University of Science and Technology, Tangshan, Hebei 063000,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20" w:right="0" w:rightChars="0" w:hanging="120" w:hangingChars="50"/>
        <w:jc w:val="left"/>
        <w:textAlignment w:val="auto"/>
        <w:outlineLvl w:val="9"/>
        <w:rPr>
          <w:rFonts w:ascii="Times New Roman" w:hAnsi="Times New Roman" w:cs="Times New Roman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kern w:val="0"/>
          <w:sz w:val="24"/>
          <w:highlight w:val="none"/>
          <w:vertAlign w:val="superscript"/>
          <w:lang w:bidi="ar"/>
        </w:rPr>
        <w:t>2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University</w:t>
      </w:r>
      <w:r>
        <w:rPr>
          <w:rFonts w:ascii="Times New Roman" w:hAnsi="Times New Roman" w:eastAsia="宋体" w:cs="Times New Roman"/>
          <w:kern w:val="0"/>
          <w:sz w:val="24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of Chinese Academy of Sciences, Beijing 100049,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 Bold" w:hAnsi="Times New Roman Bold" w:eastAsia="宋体" w:cs="Times New Roman Bold"/>
          <w:b/>
          <w:bCs/>
          <w:sz w:val="28"/>
          <w:szCs w:val="28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4"/>
          <w:highlight w:val="none"/>
          <w:vertAlign w:val="superscript"/>
          <w:lang w:bidi="ar"/>
        </w:rPr>
        <w:t>3</w:t>
      </w:r>
      <w:r>
        <w:rPr>
          <w:rFonts w:ascii="Times New Roman" w:hAnsi="Times New Roman" w:eastAsia="宋体" w:cs="Times New Roman"/>
          <w:sz w:val="24"/>
          <w:highlight w:val="none"/>
          <w:lang w:bidi="ar"/>
        </w:rPr>
        <w:t>State Key Laboratory of Systematic and Evolutionary Botany, Institute of Botany, Chinese Academy of Science, Beijing 100093,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cs="Times New Roman"/>
          <w:sz w:val="24"/>
          <w:szCs w:val="32"/>
          <w:highlight w:val="none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sz w:val="24"/>
          <w:szCs w:val="32"/>
          <w:highlight w:val="none"/>
          <w:lang w:bidi="ar"/>
        </w:rPr>
        <w:t>Gene conversion and occurrence patterns</w:t>
      </w:r>
      <w:r>
        <w:rPr>
          <w:rFonts w:ascii="宋体" w:hAnsi="宋体" w:eastAsia="宋体" w:cs="宋体"/>
          <w:sz w:val="24"/>
          <w:highlight w:val="none"/>
          <w:lang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0"/>
        <w:jc w:val="left"/>
        <w:textAlignment w:val="auto"/>
        <w:outlineLvl w:val="9"/>
        <w:rPr>
          <w:rFonts w:ascii="Times New Roman" w:hAnsi="Times New Roman" w:cs="Times New Roman"/>
          <w:sz w:val="24"/>
          <w:szCs w:val="32"/>
          <w:highlight w:val="none"/>
        </w:rPr>
      </w:pP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The 2879 pairs of paralogues were identified between </w:t>
      </w:r>
      <w:r>
        <w:rPr>
          <w:rFonts w:ascii="Times New Roman" w:hAnsi="Times New Roman" w:eastAsia="宋体" w:cs="Times New Roman"/>
          <w:sz w:val="24"/>
          <w:szCs w:val="21"/>
          <w:highlight w:val="none"/>
          <w:lang w:bidi="ar"/>
        </w:rPr>
        <w:t>GJ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and XI-ZS97. After the divergen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val="en-US" w:bidi="ar"/>
        </w:rPr>
        <w:t xml:space="preserve">ce of GJ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and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iCs/>
          <w:sz w:val="24"/>
          <w:szCs w:val="21"/>
          <w:highlight w:val="none"/>
          <w:lang w:bidi="ar"/>
        </w:rPr>
        <w:t>XI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-ZS97, 318 pairs of 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were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converted in </w:t>
      </w:r>
      <w:r>
        <w:rPr>
          <w:rFonts w:ascii="Times New Roman" w:hAnsi="Times New Roman" w:eastAsia="宋体" w:cs="Times New Roman"/>
          <w:sz w:val="24"/>
          <w:szCs w:val="21"/>
          <w:highlight w:val="none"/>
          <w:lang w:bidi="ar"/>
        </w:rPr>
        <w:t>GJ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.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val="en-US" w:bidi="ar"/>
        </w:rPr>
        <w:t xml:space="preserve">Among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them, 12 pairs (0.42%) had underwent WCV-I (bootstrap &gt; 80%). 131 pairs (4.55%) had underwent WCV-II, and these gene pairs were further support WCV-I. Moreover, 175 pairs (6.08%) had underwent PCV, with an average DNA fragment length of 73.65 bp where were converted, and the longest fragment is 917 bp (64.08%).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And 10 pairs of 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were found to have undergone both PCV and WCV-II, which may be due to many 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>paralogues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that have further undergone repeated conversion at a more recent time after the WCV.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F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or example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,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>Oj11g0138900.01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and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>Oj12g0135500.00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may have repeatedly undergone WCV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-II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and PCV after the formation of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GJ. A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eastAsia="zh-Hans" w:bidi="ar"/>
        </w:rPr>
        <w:t>nd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t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he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 xml:space="preserve">Ks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between that pair of 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in GJ was 0.19, which was smaller than their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 xml:space="preserve">Ks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with the corresponding 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>orthologues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>Zs11g0407.01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and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>Zs12g0396.01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in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XI-ZS97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, which were 0.42 and 0.23, respectively;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and the amino acid identity ratio between that pair of paralogues was 0.48, which was larger than the corresponding orthologues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>Zs11g0407.01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(0.15) and </w:t>
      </w:r>
      <w:r>
        <w:rPr>
          <w:rFonts w:hint="default" w:ascii="Times New Roman Italic" w:hAnsi="Times New Roman Italic" w:eastAsia="宋体" w:cs="Times New Roman Italic"/>
          <w:i/>
          <w:iCs/>
          <w:sz w:val="24"/>
          <w:szCs w:val="32"/>
          <w:highlight w:val="none"/>
          <w:lang w:bidi="ar"/>
        </w:rPr>
        <w:t>Zs12g0396.01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(0.19) in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XI-ZS97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.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After the divergen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val="en-US" w:bidi="ar"/>
        </w:rPr>
        <w:t xml:space="preserve">ce of GJ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and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iCs/>
          <w:sz w:val="24"/>
          <w:szCs w:val="21"/>
          <w:highlight w:val="none"/>
          <w:lang w:bidi="ar"/>
        </w:rPr>
        <w:t>XI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-ZS97, 403 pairs of 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were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converted in </w:t>
      </w:r>
      <w:r>
        <w:rPr>
          <w:rFonts w:ascii="Times New Roman" w:hAnsi="Times New Roman" w:eastAsia="宋体" w:cs="Times New Roman"/>
          <w:iCs/>
          <w:sz w:val="24"/>
          <w:szCs w:val="21"/>
          <w:highlight w:val="none"/>
          <w:lang w:bidi="ar"/>
        </w:rPr>
        <w:t>XI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-ZS97. Among them, 7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eastAsia="zh-Hans" w:bidi="ar"/>
        </w:rPr>
        <w:t>pairs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(0.24%)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had underwent WCV-I (bootstrap &gt; 80%). 174 pairs (6.04%) had underwent WCV-II, and these gene pairs were further supported by WCV-II. 247 pairs (8.58%) had underwent PCV, with an average length of the converted DNA fragment was 68.94bp, and the longest fragment was 612bp (33.94%). And 15 pairs were also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found to have undergone both PCV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and WCV-II.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Similar results were obtained in the comparison between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between GJ and XI-MH63, with 2788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pairs of 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between them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And 307 pairs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were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converted in GJ, more pairs of 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(436)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were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converted in XI-MH63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(</w:t>
      </w:r>
      <w:r>
        <w:rPr>
          <w:rFonts w:ascii="Times New Roman" w:hAnsi="Times New Roman" w:eastAsia="宋体" w:cs="Times New Roman"/>
          <w:b/>
          <w:sz w:val="24"/>
          <w:szCs w:val="32"/>
          <w:highlight w:val="none"/>
          <w:lang w:bidi="ar"/>
        </w:rPr>
        <w:t>Supplemental Table 2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/>
        <w:jc w:val="left"/>
        <w:textAlignment w:val="auto"/>
        <w:outlineLvl w:val="9"/>
        <w:rPr>
          <w:rFonts w:ascii="Times New Roman" w:hAnsi="Times New Roman" w:cs="Times New Roman"/>
          <w:sz w:val="24"/>
          <w:szCs w:val="32"/>
          <w:highlight w:val="none"/>
        </w:rPr>
      </w:pP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By compar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ed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the two </w:t>
      </w:r>
      <w:r>
        <w:rPr>
          <w:rFonts w:ascii="Times New Roman" w:hAnsi="Times New Roman" w:eastAsia="宋体" w:cs="Times New Roman"/>
          <w:iCs/>
          <w:sz w:val="24"/>
          <w:szCs w:val="21"/>
          <w:highlight w:val="none"/>
          <w:lang w:bidi="ar"/>
        </w:rPr>
        <w:t>XI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varieties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eastAsia="zh-Hans" w:bidi="ar"/>
        </w:rPr>
        <w:t>of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1"/>
          <w:highlight w:val="none"/>
          <w:lang w:bidi="ar"/>
        </w:rPr>
        <w:t xml:space="preserve">XI-MH63 </w:t>
      </w:r>
      <w:r>
        <w:rPr>
          <w:rFonts w:hint="eastAsia" w:ascii="Times New Roman" w:hAnsi="Times New Roman" w:eastAsia="宋体" w:cs="Times New Roman"/>
          <w:sz w:val="24"/>
          <w:szCs w:val="21"/>
          <w:highlight w:val="none"/>
          <w:lang w:eastAsia="zh-Hans" w:bidi="ar"/>
        </w:rPr>
        <w:t>and</w:t>
      </w:r>
      <w:r>
        <w:rPr>
          <w:rFonts w:ascii="Times New Roman" w:hAnsi="Times New Roman" w:eastAsia="宋体" w:cs="Times New Roman"/>
          <w:sz w:val="24"/>
          <w:szCs w:val="21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XI-ZS97, we found that gene conversion continued to occur after the formation of the varieties. In XI-ZS97, we found that 80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pairs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of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were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converted. Among them, 1 pair had underwent WCV-I with bootstrap values of 0.89 and 0.99; and 2 pairs had underwent WCV-II. The 77 pairs had underwent PCV, with an average length of the conversion DNA fragment is 71.74 bp, and the longest is 421 bp (27.68%). In </w:t>
      </w:r>
      <w:r>
        <w:rPr>
          <w:rFonts w:ascii="Times New Roman" w:hAnsi="Times New Roman" w:eastAsia="宋体" w:cs="Times New Roman"/>
          <w:sz w:val="24"/>
          <w:szCs w:val="21"/>
          <w:highlight w:val="none"/>
          <w:lang w:bidi="ar"/>
        </w:rPr>
        <w:t>XI-MH63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, we found the similar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bidi="ar"/>
        </w:rPr>
        <w:t>occurrence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of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gene conversion, with 79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pairs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32"/>
          <w:highlight w:val="none"/>
          <w:lang w:val="en-US" w:eastAsia="zh-Hans" w:bidi="ar"/>
        </w:rPr>
        <w:t>of</w:t>
      </w:r>
      <w:r>
        <w:rPr>
          <w:rFonts w:hint="default" w:ascii="Times New Roman" w:hAnsi="Times New Roman" w:eastAsia="宋体" w:cs="Times New Roman"/>
          <w:sz w:val="24"/>
          <w:szCs w:val="32"/>
          <w:highlight w:val="none"/>
          <w:lang w:eastAsia="zh-Hans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paralogues had been converted. Among them, 1 pair had underwent WCV-I, with bootstrap values of 0.93 and 0.99; 1 pair had underwent WCV-II. The 77 pairs had underwent PCV, with the average length of the conversion DNA fragment was 88.35 bp, and the longest was 1097 bp (21.23%).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Gene conversion in </w:t>
      </w:r>
      <w:r>
        <w:rPr>
          <w:rFonts w:ascii="Times New Roman" w:hAnsi="Times New Roman" w:cs="Times New Roman"/>
          <w:b/>
          <w:bCs/>
          <w:i/>
          <w:iCs/>
          <w:sz w:val="24"/>
          <w:highlight w:val="none"/>
        </w:rPr>
        <w:t>Setaria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In order to compare the pattern of gene </w:t>
      </w:r>
      <w:r>
        <w:rPr>
          <w:rFonts w:hint="eastAsia" w:ascii="Times New Roman" w:hAnsi="Times New Roman" w:cs="Times New Roman"/>
          <w:sz w:val="24"/>
          <w:highlight w:val="none"/>
          <w:lang w:eastAsia="zh-Hans"/>
        </w:rPr>
        <w:t>conversion</w:t>
      </w:r>
      <w:r>
        <w:rPr>
          <w:rFonts w:ascii="Times New Roman" w:hAnsi="Times New Roman" w:cs="Times New Roman"/>
          <w:sz w:val="24"/>
          <w:highlight w:val="none"/>
          <w:lang w:eastAsia="zh-Hans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in other species, we selected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sz w:val="24"/>
          <w:highlight w:val="none"/>
        </w:rPr>
        <w:t xml:space="preserve"> and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>Setaria viridis</w:t>
      </w:r>
      <w:r>
        <w:rPr>
          <w:rFonts w:ascii="Times New Roman" w:hAnsi="Times New Roman" w:cs="Times New Roman"/>
          <w:sz w:val="24"/>
          <w:highlight w:val="none"/>
        </w:rPr>
        <w:t xml:space="preserve"> to identify their homologous genes and infer possible gene </w:t>
      </w:r>
      <w:r>
        <w:rPr>
          <w:rFonts w:hint="eastAsia" w:ascii="Times New Roman" w:hAnsi="Times New Roman" w:cs="Times New Roman"/>
          <w:sz w:val="24"/>
          <w:highlight w:val="none"/>
          <w:lang w:eastAsia="zh-Hans"/>
        </w:rPr>
        <w:t>conversion</w:t>
      </w:r>
      <w:r>
        <w:rPr>
          <w:rFonts w:ascii="Times New Roman" w:hAnsi="Times New Roman" w:cs="Times New Roman"/>
          <w:sz w:val="24"/>
          <w:highlight w:val="none"/>
        </w:rPr>
        <w:t xml:space="preserve">. 1,352 pairs of paralogues were identified in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sz w:val="24"/>
          <w:highlight w:val="none"/>
        </w:rPr>
        <w:t xml:space="preserve">, 2,292 pairs of paralogues were identified in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>Setaria viridis.</w:t>
      </w:r>
      <w:r>
        <w:rPr>
          <w:rFonts w:ascii="Times New Roman" w:hAnsi="Times New Roman" w:cs="Times New Roman"/>
          <w:sz w:val="24"/>
          <w:highlight w:val="none"/>
        </w:rPr>
        <w:t xml:space="preserve"> 29,658 pairs of orthologues were identified between the two species, and 1,637 quartets were finally obtained. After remov</w:t>
      </w:r>
      <w:r>
        <w:rPr>
          <w:rFonts w:hint="eastAsia" w:ascii="Times New Roman" w:hAnsi="Times New Roman" w:cs="Times New Roman"/>
          <w:sz w:val="24"/>
          <w:highlight w:val="none"/>
          <w:lang w:eastAsia="zh-Hans"/>
        </w:rPr>
        <w:t>ed</w:t>
      </w:r>
      <w:r>
        <w:rPr>
          <w:rFonts w:ascii="Times New Roman" w:hAnsi="Times New Roman" w:cs="Times New Roman"/>
          <w:sz w:val="24"/>
          <w:highlight w:val="none"/>
        </w:rPr>
        <w:t xml:space="preserve"> the </w:t>
      </w:r>
      <w:r>
        <w:rPr>
          <w:rFonts w:hint="eastAsia" w:ascii="Times New Roman" w:hAnsi="Times New Roman" w:cs="Times New Roman"/>
          <w:sz w:val="24"/>
          <w:highlight w:val="none"/>
        </w:rPr>
        <w:t>highly divergent</w:t>
      </w:r>
      <w:r>
        <w:rPr>
          <w:rFonts w:ascii="Times New Roman" w:hAnsi="Times New Roman" w:cs="Times New Roman"/>
          <w:sz w:val="24"/>
          <w:highlight w:val="none"/>
        </w:rPr>
        <w:t xml:space="preserve"> sequence</w:t>
      </w:r>
      <w:r>
        <w:rPr>
          <w:rFonts w:hint="eastAsia" w:ascii="Times New Roman" w:hAnsi="Times New Roman" w:cs="Times New Roman"/>
          <w:sz w:val="24"/>
          <w:highlight w:val="none"/>
          <w:lang w:val="en-US" w:eastAsia="zh-Hans"/>
        </w:rPr>
        <w:t>s</w:t>
      </w:r>
      <w:r>
        <w:rPr>
          <w:rFonts w:ascii="Times New Roman" w:hAnsi="Times New Roman" w:cs="Times New Roman"/>
          <w:sz w:val="24"/>
          <w:highlight w:val="none"/>
        </w:rPr>
        <w:t xml:space="preserve">, 1,494 quartets 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were identified</w:t>
      </w:r>
      <w:r>
        <w:rPr>
          <w:rFonts w:ascii="Times New Roman" w:hAnsi="Times New Roman" w:cs="Times New Roman"/>
          <w:sz w:val="24"/>
          <w:highlight w:val="none"/>
        </w:rPr>
        <w:t>. There was no WCV-I</w:t>
      </w:r>
      <w:r>
        <w:rPr>
          <w:rFonts w:ascii="Times New Roman" w:hAnsi="Times New Roman" w:cs="Times New Roman"/>
          <w:sz w:val="24"/>
          <w:highlight w:val="none"/>
          <w:lang w:eastAsia="zh-Hans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in either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or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>Setaria viridis</w:t>
      </w:r>
      <w:r>
        <w:rPr>
          <w:rFonts w:ascii="Times New Roman" w:hAnsi="Times New Roman" w:cs="Times New Roman"/>
          <w:sz w:val="24"/>
          <w:highlight w:val="none"/>
        </w:rPr>
        <w:t xml:space="preserve">. There was one </w:t>
      </w:r>
      <w:r>
        <w:rPr>
          <w:rFonts w:hint="eastAsia" w:ascii="Times New Roman" w:hAnsi="Times New Roman" w:cs="Times New Roman"/>
          <w:sz w:val="24"/>
          <w:highlight w:val="none"/>
          <w:lang w:val="en-US" w:eastAsia="zh-Hans"/>
        </w:rPr>
        <w:t>pairs</w:t>
      </w:r>
      <w:r>
        <w:rPr>
          <w:rFonts w:ascii="Times New Roman" w:hAnsi="Times New Roman" w:cs="Times New Roman"/>
          <w:sz w:val="24"/>
          <w:highlight w:val="none"/>
        </w:rPr>
        <w:t xml:space="preserve"> of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had underwent </w:t>
      </w:r>
      <w:r>
        <w:rPr>
          <w:rFonts w:ascii="Times New Roman" w:hAnsi="Times New Roman" w:cs="Times New Roman"/>
          <w:sz w:val="24"/>
          <w:highlight w:val="none"/>
        </w:rPr>
        <w:t xml:space="preserve">WCV-II in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sz w:val="24"/>
          <w:highlight w:val="none"/>
        </w:rPr>
        <w:t xml:space="preserve">, while no WCV-II was inferred in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>Setaria viridis</w:t>
      </w:r>
      <w:r>
        <w:rPr>
          <w:rFonts w:ascii="Times New Roman" w:hAnsi="Times New Roman" w:cs="Times New Roman"/>
          <w:sz w:val="24"/>
          <w:highlight w:val="none"/>
        </w:rPr>
        <w:t xml:space="preserve">. Meanwhile, there were 47 pairs of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 xml:space="preserve">paralogues had underwent </w:t>
      </w:r>
      <w:r>
        <w:rPr>
          <w:rFonts w:ascii="Times New Roman" w:hAnsi="Times New Roman" w:cs="Times New Roman"/>
          <w:sz w:val="24"/>
          <w:highlight w:val="none"/>
        </w:rPr>
        <w:t xml:space="preserve">PCV in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and 84 pairs of </w:t>
      </w:r>
      <w:r>
        <w:rPr>
          <w:rFonts w:ascii="Times New Roman" w:hAnsi="Times New Roman" w:eastAsia="宋体" w:cs="Times New Roman"/>
          <w:sz w:val="24"/>
          <w:szCs w:val="32"/>
          <w:highlight w:val="none"/>
          <w:lang w:bidi="ar"/>
        </w:rPr>
        <w:t>paralogues had underwent</w:t>
      </w:r>
      <w:r>
        <w:rPr>
          <w:rFonts w:ascii="Times New Roman" w:hAnsi="Times New Roman" w:cs="Times New Roman"/>
          <w:sz w:val="24"/>
          <w:highlight w:val="none"/>
        </w:rPr>
        <w:t xml:space="preserve"> PCV in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>Setaria viridis</w:t>
      </w:r>
      <w:r>
        <w:rPr>
          <w:rFonts w:ascii="Times New Roman" w:hAnsi="Times New Roman" w:cs="Times New Roman"/>
          <w:sz w:val="24"/>
          <w:highlight w:val="none"/>
        </w:rPr>
        <w:t xml:space="preserve">. Finally, the gene conversion rate is 0.033 and 0.056 in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and in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 xml:space="preserve">Setaria viridis, </w:t>
      </w:r>
      <w:r>
        <w:rPr>
          <w:rFonts w:hint="default" w:ascii="Times New Roman" w:hAnsi="Times New Roman" w:cs="Times New Roman"/>
          <w:i w:val="0"/>
          <w:iCs w:val="0"/>
          <w:sz w:val="24"/>
          <w:highlight w:val="none"/>
          <w:lang w:eastAsia="zh-CN"/>
        </w:rPr>
        <w:t>respectively</w:t>
      </w:r>
      <w:r>
        <w:rPr>
          <w:rFonts w:ascii="Times New Roman" w:hAnsi="Times New Roman" w:cs="Times New Roman"/>
          <w:sz w:val="24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W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e found that the gene conversion rate near the telomere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in </w:t>
      </w:r>
      <w:r>
        <w:rPr>
          <w:rFonts w:hint="eastAsia" w:ascii="Times New Roman" w:hAnsi="Times New Roman" w:cs="Times New Roman"/>
          <w:i/>
          <w:iCs/>
          <w:sz w:val="24"/>
          <w:highlight w:val="none"/>
        </w:rPr>
        <w:t>Setaria italica</w:t>
      </w:r>
      <w:r>
        <w:rPr>
          <w:rFonts w:ascii="Times New Roman" w:hAnsi="Times New Roman" w:cs="Times New Roman"/>
          <w:i/>
          <w:iCs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highlight w:val="none"/>
        </w:rPr>
        <w:t xml:space="preserve">and in </w:t>
      </w:r>
      <w:r>
        <w:rPr>
          <w:rFonts w:ascii="Times New Roman Italic" w:hAnsi="Times New Roman Italic" w:cs="Times New Roman Italic"/>
          <w:i/>
          <w:iCs/>
          <w:sz w:val="24"/>
          <w:highlight w:val="none"/>
        </w:rPr>
        <w:t>Setaria viridis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 did not appear to be significantly higher than that in other regions of the chromosomes (</w:t>
      </w:r>
      <w:r>
        <w:rPr>
          <w:rFonts w:hint="default" w:ascii="Times New Roman Bold" w:hAnsi="Times New Roman Bold" w:cs="Times New Roman Bold"/>
          <w:b/>
          <w:bCs/>
          <w:sz w:val="24"/>
          <w:highlight w:val="none"/>
          <w:lang w:val="en-US" w:eastAsia="zh-CN"/>
        </w:rPr>
        <w:t>Table S15; Fig</w:t>
      </w:r>
      <w:r>
        <w:rPr>
          <w:rFonts w:hint="default" w:ascii="Times New Roman Bold" w:hAnsi="Times New Roman Bold" w:cs="Times New Roman Bold"/>
          <w:b/>
          <w:bCs/>
          <w:sz w:val="24"/>
          <w:highlight w:val="none"/>
          <w:lang w:eastAsia="zh-CN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  <w:highlight w:val="none"/>
          <w:lang w:val="en-US" w:eastAsia="zh-CN"/>
        </w:rPr>
        <w:t xml:space="preserve"> S10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). However, based on the division of rice chromosomal regions, we reanalyzed the gene conversion rate on the corresponding orthologous regions in </w:t>
      </w:r>
      <w:r>
        <w:rPr>
          <w:rFonts w:hint="default" w:ascii="Times New Roman Italic" w:hAnsi="Times New Roman Italic" w:cs="Times New Roman Italic"/>
          <w:i/>
          <w:iCs/>
          <w:sz w:val="24"/>
          <w:highlight w:val="none"/>
          <w:lang w:val="en-US" w:eastAsia="zh-CN"/>
        </w:rPr>
        <w:t>Setaria italica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 and </w:t>
      </w:r>
      <w:r>
        <w:rPr>
          <w:rFonts w:hint="default" w:ascii="Times New Roman Italic" w:hAnsi="Times New Roman Italic" w:cs="Times New Roman Italic"/>
          <w:i/>
          <w:iCs/>
          <w:sz w:val="24"/>
          <w:highlight w:val="none"/>
          <w:lang w:val="en-US" w:eastAsia="zh-CN"/>
        </w:rPr>
        <w:t>Setaria viridis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 genomes (</w:t>
      </w:r>
      <w:r>
        <w:rPr>
          <w:rFonts w:hint="default" w:ascii="Times New Roman Bold" w:hAnsi="Times New Roman Bold" w:cs="Times New Roman Bold"/>
          <w:b/>
          <w:bCs/>
          <w:sz w:val="24"/>
          <w:highlight w:val="none"/>
          <w:lang w:val="en-US" w:eastAsia="zh-CN"/>
        </w:rPr>
        <w:t>Table S16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). We also found that the similar phenomenon of higher terminal gene conversion rate was presented. We estimate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d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 a 1.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3-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fold increase in conversion rate within 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subtelomeric region of 0-2 Mb to chromosome termini in </w:t>
      </w:r>
      <w:r>
        <w:rPr>
          <w:rFonts w:hint="default" w:ascii="Times New Roman Italic" w:hAnsi="Times New Roman Italic" w:cs="Times New Roman Italic"/>
          <w:i/>
          <w:iCs/>
          <w:sz w:val="24"/>
          <w:highlight w:val="none"/>
          <w:lang w:val="en-US" w:eastAsia="zh-CN"/>
        </w:rPr>
        <w:t>Setaria italica</w:t>
      </w:r>
      <w:r>
        <w:rPr>
          <w:rFonts w:hint="default" w:ascii="Times New Roman Italic" w:hAnsi="Times New Roman Italic" w:cs="Times New Roman Italic"/>
          <w:i/>
          <w:iCs/>
          <w:sz w:val="24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(P-value = 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2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.00×10</w:t>
      </w:r>
      <w:r>
        <w:rPr>
          <w:rFonts w:hint="default" w:ascii="Times New Roman" w:hAnsi="Times New Roman" w:cs="Times New Roman"/>
          <w:sz w:val="24"/>
          <w:highlight w:val="none"/>
          <w:vertAlign w:val="superscript"/>
          <w:lang w:val="en-US" w:eastAsia="zh-CN"/>
        </w:rPr>
        <w:t>-05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, permutation).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In </w:t>
      </w:r>
      <w:r>
        <w:rPr>
          <w:rFonts w:hint="default" w:ascii="Times New Roman Italic" w:hAnsi="Times New Roman Italic" w:cs="Times New Roman Italic"/>
          <w:i/>
          <w:iCs/>
          <w:sz w:val="24"/>
          <w:highlight w:val="none"/>
          <w:lang w:val="en-US" w:eastAsia="zh-CN"/>
        </w:rPr>
        <w:t>Setaria viridis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, 1.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2-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fold increase in conversion rate within 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subtelomeric region of 0-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4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 xml:space="preserve"> Mb to chromosome termini(P-value = 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1.0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0×10</w:t>
      </w:r>
      <w:r>
        <w:rPr>
          <w:rFonts w:hint="default" w:ascii="Times New Roman" w:hAnsi="Times New Roman" w:cs="Times New Roman"/>
          <w:sz w:val="24"/>
          <w:highlight w:val="none"/>
          <w:vertAlign w:val="superscript"/>
          <w:lang w:val="en-US" w:eastAsia="zh-CN"/>
        </w:rPr>
        <w:t>-0</w:t>
      </w:r>
      <w:r>
        <w:rPr>
          <w:rFonts w:hint="default" w:ascii="Times New Roman" w:hAnsi="Times New Roman" w:cs="Times New Roman"/>
          <w:sz w:val="24"/>
          <w:highlight w:val="none"/>
          <w:vertAlign w:val="superscript"/>
          <w:lang w:eastAsia="zh-CN"/>
        </w:rPr>
        <w:t>4</w:t>
      </w:r>
      <w:r>
        <w:rPr>
          <w:rFonts w:hint="default" w:ascii="Times New Roman" w:hAnsi="Times New Roman" w:cs="Times New Roman"/>
          <w:sz w:val="24"/>
          <w:highlight w:val="none"/>
          <w:lang w:val="en-US" w:eastAsia="zh-CN"/>
        </w:rPr>
        <w:t>, permutation)</w:t>
      </w:r>
      <w:r>
        <w:rPr>
          <w:rFonts w:hint="default" w:ascii="Times New Roman" w:hAnsi="Times New Roman" w:cs="Times New Roman"/>
          <w:sz w:val="24"/>
          <w:highlight w:val="none"/>
          <w:lang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Times New Roman Regular" w:hAnsi="Times New Roman Regular" w:eastAsia="宋体" w:cs="Times New Roman Regular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enlo">
    <w:panose1 w:val="020B0609030804020204"/>
    <w:charset w:val="00"/>
    <w:family w:val="modern"/>
    <w:pitch w:val="default"/>
    <w:sig w:usb0="E60022FF" w:usb1="D200F9FB" w:usb2="02000028" w:usb3="00000000" w:csb0="600001DF" w:csb1="FFDF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Marion">
    <w:panose1 w:val="02020502060400020003"/>
    <w:charset w:val="00"/>
    <w:family w:val="auto"/>
    <w:pitch w:val="default"/>
    <w:sig w:usb0="A00000EF" w:usb1="5000205B" w:usb2="00000000" w:usb3="00000000" w:csb0="20000183" w:csb1="00000000"/>
  </w:font>
  <w:font w:name="Plantagenet Cherokee">
    <w:panose1 w:val="02020000000000000000"/>
    <w:charset w:val="00"/>
    <w:family w:val="auto"/>
    <w:pitch w:val="default"/>
    <w:sig w:usb0="80000003" w:usb1="00000000" w:usb2="00001000" w:usb3="00000000" w:csb0="200001F3" w:csb1="CDFC0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dvPS978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琥珀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宋体">
    <w:altName w:val="华文宋体"/>
    <w:panose1 w:val="02010600030101010101"/>
    <w:charset w:val="50"/>
    <w:family w:val="auto"/>
    <w:pitch w:val="default"/>
    <w:sig w:usb0="00000000" w:usb1="00000000" w:usb2="00000016" w:usb3="00000000" w:csb0="00040001" w:csb1="00000000"/>
  </w:font>
  <w:font w:name="@MS Mincho">
    <w:altName w:val="Hiragino Sans"/>
    <w:panose1 w:val="00000000000000000000"/>
    <w:charset w:val="80"/>
    <w:family w:val="auto"/>
    <w:pitch w:val="default"/>
    <w:sig w:usb0="00000000" w:usb1="00000000" w:usb2="00000012" w:usb3="00000000" w:csb0="0002009F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dvPS977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vPSA18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vAlbrtu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altName w:val="Hiragino Sans"/>
    <w:panose1 w:val="02020609040205080304"/>
    <w:charset w:val="00"/>
    <w:family w:val="modern"/>
    <w:pitch w:val="default"/>
    <w:sig w:usb0="00000000" w:usb1="00000000" w:usb2="08000012" w:usb3="00000000" w:csb0="0002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ＭＳ ゴシック">
    <w:altName w:val="Thonburi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ro Gurmukhi">
    <w:panose1 w:val="01000000000000000000"/>
    <w:charset w:val="00"/>
    <w:family w:val="auto"/>
    <w:pitch w:val="default"/>
    <w:sig w:usb0="A002002F" w:usb1="0000600A" w:usb2="00000000" w:usb3="00000000" w:csb0="00000001" w:csb1="00000000"/>
  </w:font>
  <w:font w:name="DY9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MS Gothic">
    <w:altName w:val="Hiragino Sans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b319c5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9c53c0a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BFC6"/>
    <w:rsid w:val="001070F3"/>
    <w:rsid w:val="002A4BE6"/>
    <w:rsid w:val="002C1DEA"/>
    <w:rsid w:val="00336872"/>
    <w:rsid w:val="00341BB6"/>
    <w:rsid w:val="00353942"/>
    <w:rsid w:val="004468C9"/>
    <w:rsid w:val="008358B6"/>
    <w:rsid w:val="009365B6"/>
    <w:rsid w:val="009A335C"/>
    <w:rsid w:val="009D027A"/>
    <w:rsid w:val="00A02737"/>
    <w:rsid w:val="00A35B54"/>
    <w:rsid w:val="00A451C5"/>
    <w:rsid w:val="00AD19E8"/>
    <w:rsid w:val="00B943AA"/>
    <w:rsid w:val="00C95D29"/>
    <w:rsid w:val="00E54E89"/>
    <w:rsid w:val="00E70B70"/>
    <w:rsid w:val="00F34910"/>
    <w:rsid w:val="00F35226"/>
    <w:rsid w:val="00F95761"/>
    <w:rsid w:val="00FA789E"/>
    <w:rsid w:val="0ADC1253"/>
    <w:rsid w:val="11066877"/>
    <w:rsid w:val="12823580"/>
    <w:rsid w:val="13F668AC"/>
    <w:rsid w:val="181C3873"/>
    <w:rsid w:val="1F5FF262"/>
    <w:rsid w:val="1FEDEE26"/>
    <w:rsid w:val="205A3755"/>
    <w:rsid w:val="254D0545"/>
    <w:rsid w:val="2AFB11C3"/>
    <w:rsid w:val="2B5B5BBE"/>
    <w:rsid w:val="2BFD0448"/>
    <w:rsid w:val="2D824F47"/>
    <w:rsid w:val="33E56521"/>
    <w:rsid w:val="34582194"/>
    <w:rsid w:val="3B844EAD"/>
    <w:rsid w:val="3BF6E6B3"/>
    <w:rsid w:val="3DBF6A0B"/>
    <w:rsid w:val="3DFECD05"/>
    <w:rsid w:val="3EBD076B"/>
    <w:rsid w:val="3FAF009A"/>
    <w:rsid w:val="3FFD1D7D"/>
    <w:rsid w:val="405732DC"/>
    <w:rsid w:val="45152A96"/>
    <w:rsid w:val="45A25748"/>
    <w:rsid w:val="4FC2636C"/>
    <w:rsid w:val="50B65B06"/>
    <w:rsid w:val="53782E0E"/>
    <w:rsid w:val="557571EE"/>
    <w:rsid w:val="557854A3"/>
    <w:rsid w:val="559F3D36"/>
    <w:rsid w:val="56D94D10"/>
    <w:rsid w:val="5D9818EF"/>
    <w:rsid w:val="5EFE1E78"/>
    <w:rsid w:val="5F77752D"/>
    <w:rsid w:val="5FE3F3DC"/>
    <w:rsid w:val="61063EB8"/>
    <w:rsid w:val="62A508B4"/>
    <w:rsid w:val="637F25D3"/>
    <w:rsid w:val="688674F3"/>
    <w:rsid w:val="691058B0"/>
    <w:rsid w:val="69CE7C91"/>
    <w:rsid w:val="6BF98916"/>
    <w:rsid w:val="6CF61965"/>
    <w:rsid w:val="6E901F1D"/>
    <w:rsid w:val="6F7DB319"/>
    <w:rsid w:val="7515D833"/>
    <w:rsid w:val="75DD622B"/>
    <w:rsid w:val="77A752FF"/>
    <w:rsid w:val="77EB1238"/>
    <w:rsid w:val="77FA7EE1"/>
    <w:rsid w:val="78B230C2"/>
    <w:rsid w:val="78FC1C71"/>
    <w:rsid w:val="7AFB3EF8"/>
    <w:rsid w:val="7B75F6ED"/>
    <w:rsid w:val="7B8C08CD"/>
    <w:rsid w:val="7BA7DF94"/>
    <w:rsid w:val="7D3D5E11"/>
    <w:rsid w:val="7DE9179D"/>
    <w:rsid w:val="7E1F2787"/>
    <w:rsid w:val="7F764E73"/>
    <w:rsid w:val="7F7DF2CC"/>
    <w:rsid w:val="7FD3539C"/>
    <w:rsid w:val="7FD3EDC1"/>
    <w:rsid w:val="7FFFBFC6"/>
    <w:rsid w:val="8EEB0CD9"/>
    <w:rsid w:val="906F365B"/>
    <w:rsid w:val="977F7F1A"/>
    <w:rsid w:val="9FBA1CB8"/>
    <w:rsid w:val="ABFFD023"/>
    <w:rsid w:val="AE763C8E"/>
    <w:rsid w:val="B4FF30EF"/>
    <w:rsid w:val="B5DF5392"/>
    <w:rsid w:val="BBFF707F"/>
    <w:rsid w:val="BFFF8739"/>
    <w:rsid w:val="CEFF6EB2"/>
    <w:rsid w:val="CF13CA23"/>
    <w:rsid w:val="D35F7794"/>
    <w:rsid w:val="D3F57490"/>
    <w:rsid w:val="D3FB9F22"/>
    <w:rsid w:val="D6FDA1DC"/>
    <w:rsid w:val="D79DBB07"/>
    <w:rsid w:val="DDBB591E"/>
    <w:rsid w:val="DDF79BF8"/>
    <w:rsid w:val="DE67A878"/>
    <w:rsid w:val="DF7BF57F"/>
    <w:rsid w:val="DF871A70"/>
    <w:rsid w:val="DFFF383A"/>
    <w:rsid w:val="EAC713C5"/>
    <w:rsid w:val="EF7E9E28"/>
    <w:rsid w:val="EFFFA8CF"/>
    <w:rsid w:val="F183319B"/>
    <w:rsid w:val="F7A77E68"/>
    <w:rsid w:val="F979FF5B"/>
    <w:rsid w:val="F9FF8B59"/>
    <w:rsid w:val="FAFB831F"/>
    <w:rsid w:val="FD9F46E6"/>
    <w:rsid w:val="FEDC2A6B"/>
    <w:rsid w:val="FF7F61AA"/>
    <w:rsid w:val="FF7FDA6C"/>
    <w:rsid w:val="FFA55A61"/>
    <w:rsid w:val="FFEEFC38"/>
    <w:rsid w:val="FFFF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22"/>
    <w:qFormat/>
    <w:uiPriority w:val="0"/>
    <w:rPr>
      <w:sz w:val="18"/>
      <w:szCs w:val="18"/>
    </w:rPr>
  </w:style>
  <w:style w:type="paragraph" w:styleId="4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8">
    <w:name w:val="FollowedHyperlink"/>
    <w:basedOn w:val="7"/>
    <w:qFormat/>
    <w:uiPriority w:val="0"/>
    <w:rPr>
      <w:color w:val="954F72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styleId="10">
    <w:name w:val="annotation reference"/>
    <w:basedOn w:val="7"/>
    <w:qFormat/>
    <w:uiPriority w:val="0"/>
    <w:rPr>
      <w:sz w:val="21"/>
      <w:szCs w:val="21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3">
    <w:name w:val="图表"/>
    <w:basedOn w:val="1"/>
    <w:qFormat/>
    <w:uiPriority w:val="0"/>
  </w:style>
  <w:style w:type="character" w:customStyle="1" w:styleId="14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3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7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bscript"/>
    </w:rPr>
  </w:style>
  <w:style w:type="character" w:customStyle="1" w:styleId="18">
    <w:name w:val="font81"/>
    <w:basedOn w:val="7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19">
    <w:name w:val="font71"/>
    <w:basedOn w:val="7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20">
    <w:name w:val="font61"/>
    <w:basedOn w:val="7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  <w:vertAlign w:val="subscript"/>
    </w:rPr>
  </w:style>
  <w:style w:type="character" w:customStyle="1" w:styleId="21">
    <w:name w:val="font11"/>
    <w:basedOn w:val="7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  <w:style w:type="character" w:customStyle="1" w:styleId="22">
    <w:name w:val="批注框文本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p1"/>
    <w:basedOn w:val="1"/>
    <w:qFormat/>
    <w:uiPriority w:val="0"/>
    <w:pPr>
      <w:jc w:val="left"/>
    </w:pPr>
    <w:rPr>
      <w:rFonts w:ascii="Menlo" w:hAnsi="Menlo" w:eastAsia="Menlo" w:cs="Times New Roman"/>
      <w:color w:val="000000"/>
      <w:kern w:val="0"/>
      <w:sz w:val="22"/>
      <w:szCs w:val="22"/>
    </w:rPr>
  </w:style>
  <w:style w:type="character" w:customStyle="1" w:styleId="24">
    <w:name w:val="s1"/>
    <w:basedOn w:val="7"/>
    <w:qFormat/>
    <w:uiPriority w:val="0"/>
  </w:style>
  <w:style w:type="character" w:customStyle="1" w:styleId="25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6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7">
    <w:name w:val="List Paragraph"/>
    <w:basedOn w:val="1"/>
    <w:qFormat/>
    <w:uiPriority w:val="99"/>
    <w:pPr>
      <w:ind w:firstLine="420" w:firstLineChars="200"/>
    </w:pPr>
  </w:style>
  <w:style w:type="character" w:customStyle="1" w:styleId="28">
    <w:name w:val="15"/>
    <w:basedOn w:val="7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</w:rPr>
  </w:style>
  <w:style w:type="paragraph" w:customStyle="1" w:styleId="2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Hebei United University</Company>
  <Pages>14</Pages>
  <Words>2966</Words>
  <Characters>16909</Characters>
  <Lines>140</Lines>
  <Paragraphs>39</Paragraphs>
  <ScaleCrop>false</ScaleCrop>
  <LinksUpToDate>false</LinksUpToDate>
  <CharactersWithSpaces>19836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2020-05-17T01:57:00Z</dcterms:created>
  <dc:creator>Jinpeng Wang</dc:creator>
  <cp:lastModifiedBy>weichendan</cp:lastModifiedBy>
  <dcterms:modified xsi:type="dcterms:W3CDTF">2021-05-24T15:28:39Z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