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eastAsia="宋体" w:cs="Times New Roman"/>
          <w:b/>
          <w:kern w:val="0"/>
          <w:sz w:val="21"/>
          <w:szCs w:val="21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kern w:val="0"/>
          <w:sz w:val="21"/>
          <w:szCs w:val="21"/>
          <w:lang w:val="en-US" w:eastAsia="zh-CN" w:bidi="ar"/>
        </w:rPr>
        <w:t>S</w:t>
      </w:r>
      <w:r>
        <w:rPr>
          <w:rFonts w:ascii="Times New Roman" w:hAnsi="Times New Roman" w:eastAsia="宋体" w:cs="Times New Roman"/>
          <w:b/>
          <w:kern w:val="0"/>
          <w:sz w:val="21"/>
          <w:szCs w:val="21"/>
          <w:lang w:bidi="ar"/>
        </w:rPr>
        <w:t>2</w:t>
      </w:r>
      <w:r>
        <w:rPr>
          <w:rFonts w:ascii="Times New Roman" w:hAnsi="Times New Roman" w:eastAsia="宋体" w:cs="Times New Roman"/>
          <w:kern w:val="0"/>
          <w:sz w:val="21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bidi="ar"/>
        </w:rPr>
        <w:t xml:space="preserve">Identified quartets and 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bidi="ar"/>
        </w:rPr>
        <w:t>gene conversion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bidi="ar"/>
        </w:rPr>
        <w:t xml:space="preserve">in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GJ</w:t>
      </w:r>
      <w:r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  <w:lang w:eastAsia="zh-CN"/>
        </w:rPr>
        <w:t>XI-MH63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and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  <w:lang w:eastAsia="zh-CN"/>
        </w:rPr>
        <w:t>XI-ZS97</w:t>
      </w:r>
      <w:r>
        <w:rPr>
          <w:rFonts w:hint="default" w:ascii="Times New Roman" w:hAnsi="Times New Roman" w:cs="Times New Roman"/>
          <w:b w:val="0"/>
          <w:bCs w:val="0"/>
          <w:i/>
          <w:iCs/>
          <w:sz w:val="21"/>
          <w:szCs w:val="21"/>
          <w:lang w:val="en-US" w:eastAsia="zh-CN"/>
        </w:rPr>
        <w:t>.</w:t>
      </w:r>
    </w:p>
    <w:tbl>
      <w:tblPr>
        <w:tblStyle w:val="3"/>
        <w:tblW w:w="1398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91"/>
        <w:gridCol w:w="1190"/>
        <w:gridCol w:w="1318"/>
        <w:gridCol w:w="1288"/>
        <w:gridCol w:w="1257"/>
        <w:gridCol w:w="1440"/>
        <w:gridCol w:w="1530"/>
        <w:gridCol w:w="1439"/>
        <w:gridCol w:w="1425"/>
        <w:gridCol w:w="1409"/>
      </w:tblGrid>
      <w:tr>
        <w:trPr>
          <w:trHeight w:val="225" w:hRule="atLeast"/>
        </w:trPr>
        <w:tc>
          <w:tcPr>
            <w:tcW w:w="1691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Chromosomes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Style w:val="4"/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bidi="ar"/>
              </w:rPr>
              <w:t>of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highlight w:val="none"/>
                <w:lang w:bidi="ar"/>
              </w:rPr>
              <w:t xml:space="preserve"> 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highlight w:val="none"/>
                <w:lang w:bidi="ar"/>
              </w:rPr>
              <w:t>paralogues</w:t>
            </w:r>
          </w:p>
        </w:tc>
        <w:tc>
          <w:tcPr>
            <w:tcW w:w="1190" w:type="dxa"/>
            <w:vMerge w:val="restart"/>
            <w:tcBorders>
              <w:top w:val="single" w:color="auto" w:sz="4" w:space="0"/>
              <w:bottom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  <w:t>Quartets</w:t>
            </w:r>
          </w:p>
        </w:tc>
        <w:tc>
          <w:tcPr>
            <w:tcW w:w="5303" w:type="dxa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highlight w:val="none"/>
                <w:lang w:bidi="ar"/>
              </w:rPr>
              <w:t xml:space="preserve">Converted 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highlight w:val="none"/>
                <w:lang w:bidi="ar"/>
              </w:rPr>
              <w:t xml:space="preserve">paralogues 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highlight w:val="none"/>
                <w:lang w:bidi="ar"/>
              </w:rPr>
              <w:t xml:space="preserve">in </w:t>
            </w:r>
            <w:r>
              <w:rPr>
                <w:rStyle w:val="5"/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  <w:t>A</w:t>
            </w:r>
          </w:p>
        </w:tc>
        <w:tc>
          <w:tcPr>
            <w:tcW w:w="5803" w:type="dxa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highlight w:val="none"/>
                <w:lang w:bidi="ar"/>
              </w:rPr>
              <w:t xml:space="preserve">Converted </w:t>
            </w:r>
            <w:bookmarkStart w:id="0" w:name="_GoBack"/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highlight w:val="none"/>
                <w:lang w:bidi="ar"/>
              </w:rPr>
              <w:t>paralogs</w:t>
            </w:r>
            <w:bookmarkEnd w:id="0"/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highlight w:val="none"/>
                <w:lang w:bidi="ar"/>
              </w:rPr>
              <w:t xml:space="preserve"> in</w:t>
            </w:r>
            <w:r>
              <w:rPr>
                <w:rStyle w:val="5"/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  <w:lang w:bidi="ar"/>
              </w:rPr>
              <w:t xml:space="preserve"> </w:t>
            </w:r>
            <w:r>
              <w:rPr>
                <w:rStyle w:val="5"/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  <w:t>B</w:t>
            </w:r>
          </w:p>
        </w:tc>
      </w:tr>
      <w:tr>
        <w:trPr>
          <w:trHeight w:val="240" w:hRule="atLeast"/>
        </w:trPr>
        <w:tc>
          <w:tcPr>
            <w:tcW w:w="169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90" w:type="dxa"/>
            <w:vMerge w:val="continue"/>
            <w:tcBorders>
              <w:top w:val="single" w:color="000000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WCV-I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  <w:vertAlign w:val="superscript"/>
              </w:rPr>
              <w:t>1</w:t>
            </w:r>
          </w:p>
        </w:tc>
        <w:tc>
          <w:tcPr>
            <w:tcW w:w="128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WCV-II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  <w:vertAlign w:val="superscript"/>
              </w:rPr>
              <w:t>2</w:t>
            </w:r>
          </w:p>
        </w:tc>
        <w:tc>
          <w:tcPr>
            <w:tcW w:w="125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highlight w:val="none"/>
                <w:vertAlign w:val="superscript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PCV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  <w:vertAlign w:val="superscript"/>
              </w:rPr>
              <w:t>3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  <w:t>Total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WCV-I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  <w:vertAlign w:val="superscript"/>
              </w:rPr>
              <w:t>1</w:t>
            </w:r>
          </w:p>
        </w:tc>
        <w:tc>
          <w:tcPr>
            <w:tcW w:w="143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WCV-II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  <w:vertAlign w:val="superscript"/>
              </w:rPr>
              <w:t>2</w:t>
            </w:r>
          </w:p>
        </w:tc>
        <w:tc>
          <w:tcPr>
            <w:tcW w:w="142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PCV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  <w:vertAlign w:val="superscript"/>
              </w:rPr>
              <w:t>3</w:t>
            </w:r>
          </w:p>
        </w:tc>
        <w:tc>
          <w:tcPr>
            <w:tcW w:w="140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  <w:t>Total</w:t>
            </w:r>
          </w:p>
        </w:tc>
      </w:tr>
      <w:tr>
        <w:trPr>
          <w:trHeight w:val="285" w:hRule="atLeast"/>
        </w:trPr>
        <w:tc>
          <w:tcPr>
            <w:tcW w:w="13987" w:type="dxa"/>
            <w:gridSpan w:val="10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b/>
                <w:i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  <w:lang w:eastAsia="zh-CN" w:bidi="ar"/>
              </w:rPr>
              <w:t>XI-ZS97</w:t>
            </w:r>
            <w:r>
              <w:rPr>
                <w:rStyle w:val="6"/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vs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.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GJ</w:t>
            </w:r>
            <w:r>
              <w:rPr>
                <w:rStyle w:val="6"/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bidi="ar"/>
              </w:rPr>
              <w:t>.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chr01-chr05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791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 (0.25%）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40 (5.06%)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74 (9.36%)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116 (14.66%)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 (0.25%)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31 (3.92%)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54 (6.83%)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87 (11.00%)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chr02-chr06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431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13 (3.02%)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38 (8.82%)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51 (11.83%)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10 (2.32%)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10 (2.32%)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20 (4.64%)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chr02-chr04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379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26 (6.86%)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32 (8.44%)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58 (15.30%)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18 (4.75%)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23 (6.07%)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41 (10.82%)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chr03-chr10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242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15 (6.20%)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22 (9.09%)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37 (15.29%)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11 (4.55%)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18 (7.44%)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29 (11.98%)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chr03-chr07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332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14 (4.22%)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31 (9.34%)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45 (13.55%)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10 (3.01%)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28 (8.43%)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38 (11.45%)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chr03-chr12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83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5 (6.02%)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7 (8.43%)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12 (14.46%)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 (3.61%)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4 (4.82%)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7 (8.43%)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chr04-chr08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51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4 (7.84%)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6 (11.76%)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10 (19.61%)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 (1.96%)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 (1.96%)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 (3.92%)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chr08-chr09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281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 (0.36%)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12 (4.27%)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27 (9.61%)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40 (14.23%)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 (0.71%)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10 (3.56%)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16 (5.69%)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28 (9.96%)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chr11-chr12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289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(1.73%)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46 (15.92%)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10 (3.46%)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61 (21.11%)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(3.11%)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37 (12.80%)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21 (7.27%)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67 (23.18%)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summary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2879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175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247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429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131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175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318</w:t>
            </w:r>
          </w:p>
        </w:tc>
      </w:tr>
      <w:tr>
        <w:trPr>
          <w:trHeight w:val="285" w:hRule="atLeast"/>
        </w:trPr>
        <w:tc>
          <w:tcPr>
            <w:tcW w:w="13987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bCs/>
                <w:i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  <w:lang w:eastAsia="zh-CN" w:bidi="ar"/>
              </w:rPr>
              <w:t>XI-MH63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vs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.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GJ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chr01-chr05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675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 (0.15%)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33 (4.89%)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63 (9.33%)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97 (14.37%)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(0.44%)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30 (4.44%)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37 (5.48%)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70 (10.37%)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chr02-chr06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418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17 (4.07%)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49 (11.72%)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66 (15.79%)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11 (2.63%)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24 (5.74%)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35 (8.37%)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chr02-chr04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380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25 (6.58%)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35 (9.21%)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60 (15.79%)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17 (4.47%)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18 (4.74%)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35 (9.21%)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chr03-chr10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227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13 (5.73%)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21 (9.25%)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34 (14.98%)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11 (4.85%)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15 (6.61%)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26 (11.45%)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chr03-chr07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391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16 (4.09%)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37 (9.46%)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53 (13.55%)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10 (2.56%)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28 (7.16%)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38 (9.72%)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chr03-chr12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103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4 (3.88%)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10 (9.71%)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14 (13.59%)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 (2.91%)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7 (6.80%)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10 (9.71%)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chr04-chr08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48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4 (8.33%)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 (4.17%)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6 (12.50%)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 (4.17%)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 (4.17%)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4 (8.33%)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chr08-chr09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249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11 (4.42%)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25 (10.04%)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36 (14.46%)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10 (4.02%)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24 (9.64%)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34 (13.65%)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chr11-chr12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297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(2.69%)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50 (16.84%)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12 (4.04%)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70 (23.57%)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(2.02%)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36 (12.12%)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13 (4.38%)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55 (18.52%)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summary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2788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173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254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43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130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168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30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13987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bCs/>
                <w:i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  <w:lang w:eastAsia="zh-CN" w:bidi="ar"/>
              </w:rPr>
              <w:t>XI-ZS97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vs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  <w:lang w:eastAsia="zh-CN" w:bidi="ar"/>
              </w:rPr>
              <w:t>XI-MH63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chr01-chr05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700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26 (3.71%)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26 (3.71%)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17 (2.43%)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17 (2.43%)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chr02-chr06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427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 (0.23%)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11 (2.58%)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12 (2.81%)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12 (2.81%)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12 (2.81%)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chr02-chr04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357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6 (1.68%)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6 (1.68%)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8 (2.24%)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8 (2.24%)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chr03-chr10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240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8 (3.33%)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8 (3.33%)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9 (3.75%)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9 (3.75%)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chr03-chr07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268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13 (4.85%)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13 (4.85%)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12 (4.48%)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12 (4.48%)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chr03-chr12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21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chr04-chr08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chr08-chr09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282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6 (2.13%)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6 (2.13%)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 (1.06%)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 (1.06%)</w:t>
            </w:r>
          </w:p>
        </w:tc>
      </w:tr>
      <w:tr>
        <w:trPr>
          <w:trHeight w:val="90" w:hRule="atLeast"/>
        </w:trPr>
        <w:tc>
          <w:tcPr>
            <w:tcW w:w="16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chr11-chr12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271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 (0.37%)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 (0.37%)</w:t>
            </w:r>
          </w:p>
        </w:tc>
        <w:tc>
          <w:tcPr>
            <w:tcW w:w="12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7 (2.58%)</w:t>
            </w:r>
          </w:p>
        </w:tc>
        <w:tc>
          <w:tcPr>
            <w:tcW w:w="1440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9 (3.32%)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 (0.37%)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 (0.37%)</w:t>
            </w:r>
          </w:p>
        </w:tc>
        <w:tc>
          <w:tcPr>
            <w:tcW w:w="142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16 (5.90%)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18 (6.64%)</w:t>
            </w:r>
          </w:p>
        </w:tc>
      </w:tr>
      <w:tr>
        <w:trPr>
          <w:trHeight w:val="225" w:hRule="atLeast"/>
        </w:trPr>
        <w:tc>
          <w:tcPr>
            <w:tcW w:w="169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Summary</w:t>
            </w:r>
          </w:p>
        </w:tc>
        <w:tc>
          <w:tcPr>
            <w:tcW w:w="11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2566</w:t>
            </w:r>
          </w:p>
        </w:tc>
        <w:tc>
          <w:tcPr>
            <w:tcW w:w="13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28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257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77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80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43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425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77</w:t>
            </w:r>
          </w:p>
        </w:tc>
        <w:tc>
          <w:tcPr>
            <w:tcW w:w="140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79</w:t>
            </w:r>
          </w:p>
        </w:tc>
      </w:tr>
    </w:tbl>
    <w:p>
      <w:pPr>
        <w:spacing w:line="360" w:lineRule="auto"/>
        <w:rPr>
          <w:rFonts w:hint="eastAsia" w:ascii="Times New Roman" w:hAnsi="Times New Roman" w:cs="Times New Roman"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</w:rPr>
        <w:t>Note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 xml:space="preserve">: </w:t>
      </w:r>
      <w:r>
        <w:rPr>
          <w:rFonts w:hint="eastAsia" w:ascii="Times New Roman" w:hAnsi="Times New Roman" w:cs="Times New Roman"/>
          <w:b/>
          <w:bCs/>
          <w:sz w:val="18"/>
          <w:szCs w:val="18"/>
          <w:vertAlign w:val="superscript"/>
        </w:rPr>
        <w:t>1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>Wholly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vertAlign w:val="subscript"/>
          <w:lang w:bidi="ar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 xml:space="preserve">converted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 xml:space="preserve">paralogues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 xml:space="preserve">inferred by Ks </w:t>
      </w:r>
      <w:r>
        <w:rPr>
          <w:rFonts w:hint="eastAsia" w:ascii="Times New Roman" w:hAnsi="Times New Roman" w:cs="Times New Roman"/>
          <w:color w:val="000000"/>
          <w:kern w:val="0"/>
          <w:sz w:val="18"/>
          <w:szCs w:val="18"/>
          <w:lang w:bidi="ar"/>
        </w:rPr>
        <w:t>value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 xml:space="preserve"> as a measurement</w:t>
      </w:r>
      <w:r>
        <w:rPr>
          <w:rFonts w:hint="eastAsia" w:ascii="Times New Roman" w:hAnsi="Times New Roman" w:cs="Times New Roman"/>
          <w:color w:val="000000"/>
          <w:kern w:val="0"/>
          <w:sz w:val="18"/>
          <w:szCs w:val="18"/>
          <w:lang w:bidi="ar"/>
        </w:rPr>
        <w:t>.</w:t>
      </w:r>
    </w:p>
    <w:p>
      <w:pPr>
        <w:spacing w:line="360" w:lineRule="auto"/>
        <w:ind w:firstLine="450" w:firstLineChars="250"/>
        <w:rPr>
          <w:rFonts w:hint="eastAsia" w:ascii="Times New Roman" w:hAnsi="Times New Roman" w:cs="Times New Roman"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cs="Times New Roman"/>
          <w:color w:val="000000"/>
          <w:kern w:val="0"/>
          <w:sz w:val="18"/>
          <w:szCs w:val="18"/>
          <w:vertAlign w:val="superscript"/>
          <w:lang w:bidi="ar"/>
        </w:rPr>
        <w:t>2</w:t>
      </w:r>
      <w:r>
        <w:rPr>
          <w:rFonts w:hint="eastAsia" w:ascii="Times New Roman" w:hAnsi="Times New Roman" w:cs="Times New Roman"/>
          <w:color w:val="000000"/>
          <w:kern w:val="0"/>
          <w:sz w:val="18"/>
          <w:szCs w:val="18"/>
          <w:lang w:bidi="ar"/>
        </w:rPr>
        <w:t xml:space="preserve">Wholly converted 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bidi="ar"/>
        </w:rPr>
        <w:t xml:space="preserve">paralogues </w:t>
      </w:r>
      <w:r>
        <w:rPr>
          <w:rFonts w:hint="eastAsia" w:ascii="Times New Roman" w:hAnsi="Times New Roman" w:cs="Times New Roman"/>
          <w:color w:val="000000"/>
          <w:kern w:val="0"/>
          <w:sz w:val="18"/>
          <w:szCs w:val="18"/>
          <w:lang w:bidi="ar"/>
        </w:rPr>
        <w:t>inferred by counted the identical sites.</w:t>
      </w:r>
    </w:p>
    <w:p>
      <w:pPr>
        <w:spacing w:line="360" w:lineRule="auto"/>
        <w:ind w:firstLine="450" w:firstLineChars="25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kern w:val="0"/>
          <w:sz w:val="18"/>
          <w:szCs w:val="18"/>
          <w:vertAlign w:val="superscript"/>
          <w:lang w:bidi="ar"/>
        </w:rPr>
        <w:t>3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 xml:space="preserve">Partially converted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>paralogues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84D48"/>
    <w:rsid w:val="72D84D48"/>
    <w:rsid w:val="736CF6C2"/>
    <w:rsid w:val="B7FF5764"/>
    <w:rsid w:val="DD6F0F0F"/>
    <w:rsid w:val="F77F9055"/>
    <w:rsid w:val="FBDF3FB9"/>
    <w:rsid w:val="FFF79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2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5">
    <w:name w:val="font71"/>
    <w:basedOn w:val="2"/>
    <w:qFormat/>
    <w:uiPriority w:val="0"/>
    <w:rPr>
      <w:rFonts w:hint="default" w:ascii="Times New Roman" w:hAnsi="Times New Roman" w:cs="Times New Roman"/>
      <w:b/>
      <w:color w:val="000000"/>
      <w:sz w:val="21"/>
      <w:szCs w:val="21"/>
      <w:u w:val="none"/>
    </w:rPr>
  </w:style>
  <w:style w:type="character" w:customStyle="1" w:styleId="6">
    <w:name w:val="font11"/>
    <w:basedOn w:val="2"/>
    <w:qFormat/>
    <w:uiPriority w:val="0"/>
    <w:rPr>
      <w:rFonts w:hint="default" w:ascii="Times New Roman" w:hAnsi="Times New Roman" w:cs="Times New Roman"/>
      <w:i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2020-12-29T04:02:00Z</dcterms:created>
  <dc:creator>Wei Chendan</dc:creator>
  <cp:lastModifiedBy>weichendan</cp:lastModifiedBy>
  <dcterms:modified xsi:type="dcterms:W3CDTF">2021-05-23T09:31:11Z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