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EC0C9" w14:textId="77777777" w:rsidR="007D77BB" w:rsidRPr="007D77BB" w:rsidRDefault="007D77BB" w:rsidP="007D77BB">
      <w:pPr>
        <w:jc w:val="center"/>
        <w:rPr>
          <w:rFonts w:ascii="Times" w:hAnsi="Times"/>
          <w:b/>
          <w:bCs/>
          <w:lang w:val="en-GB"/>
        </w:rPr>
      </w:pPr>
      <w:r w:rsidRPr="007D77BB">
        <w:rPr>
          <w:rFonts w:ascii="Times" w:hAnsi="Times"/>
          <w:b/>
          <w:bCs/>
          <w:shd w:val="clear" w:color="auto" w:fill="FFFFFF"/>
        </w:rPr>
        <w:t>Gene Co-expression Network Analysis in Zebrafish Reveals Chemical Class Specific Modules</w:t>
      </w:r>
    </w:p>
    <w:p w14:paraId="69A6B496" w14:textId="77777777" w:rsidR="007D77BB" w:rsidRPr="007D77BB" w:rsidRDefault="007D77BB" w:rsidP="007D77BB">
      <w:pPr>
        <w:rPr>
          <w:rFonts w:ascii="Times" w:hAnsi="Times"/>
        </w:rPr>
      </w:pPr>
    </w:p>
    <w:p w14:paraId="3B6AC8F7" w14:textId="77777777" w:rsidR="007D77BB" w:rsidRPr="007D77BB" w:rsidRDefault="007D77BB" w:rsidP="007D77BB">
      <w:pPr>
        <w:rPr>
          <w:rFonts w:ascii="Times" w:hAnsi="Times"/>
        </w:rPr>
      </w:pPr>
    </w:p>
    <w:p w14:paraId="0AAC89D8" w14:textId="77777777" w:rsidR="007D77BB" w:rsidRPr="007D77BB" w:rsidRDefault="007D77BB" w:rsidP="007D77BB">
      <w:pPr>
        <w:rPr>
          <w:rFonts w:ascii="Times" w:hAnsi="Times"/>
        </w:rPr>
      </w:pPr>
      <w:r w:rsidRPr="007D77BB">
        <w:rPr>
          <w:rFonts w:ascii="Times" w:hAnsi="Times"/>
        </w:rPr>
        <w:t>Prarthana Shankar</w:t>
      </w:r>
      <w:r w:rsidRPr="0070648C">
        <w:rPr>
          <w:rFonts w:ascii="Times" w:eastAsia="Arial" w:hAnsi="Times"/>
          <w:bCs/>
          <w:iCs/>
          <w:sz w:val="32"/>
          <w:vertAlign w:val="superscript"/>
        </w:rPr>
        <w:t>‡</w:t>
      </w:r>
      <w:bookmarkStart w:id="0" w:name="OLE_LINK4"/>
      <w:r w:rsidRPr="0070648C">
        <w:rPr>
          <w:rFonts w:ascii="Times" w:hAnsi="Times"/>
          <w:sz w:val="32"/>
          <w:vertAlign w:val="superscript"/>
        </w:rPr>
        <w:t>1</w:t>
      </w:r>
      <w:bookmarkEnd w:id="0"/>
      <w:r w:rsidRPr="007D77BB">
        <w:rPr>
          <w:rFonts w:ascii="Times" w:hAnsi="Times"/>
        </w:rPr>
        <w:t>, Ryan S. McClure</w:t>
      </w:r>
      <w:r w:rsidRPr="0070648C">
        <w:rPr>
          <w:rFonts w:ascii="Times" w:eastAsia="Arial" w:hAnsi="Times"/>
          <w:bCs/>
          <w:iCs/>
          <w:sz w:val="32"/>
          <w:vertAlign w:val="superscript"/>
        </w:rPr>
        <w:t>‡</w:t>
      </w:r>
      <w:r w:rsidRPr="0070648C">
        <w:rPr>
          <w:rFonts w:ascii="Times" w:hAnsi="Times"/>
          <w:sz w:val="32"/>
          <w:vertAlign w:val="superscript"/>
        </w:rPr>
        <w:t>2</w:t>
      </w:r>
      <w:r w:rsidRPr="007D77BB">
        <w:rPr>
          <w:rFonts w:ascii="Times" w:hAnsi="Times"/>
        </w:rPr>
        <w:t>, Katrina M. Waters</w:t>
      </w:r>
      <w:r w:rsidRPr="0070648C">
        <w:rPr>
          <w:rFonts w:ascii="Times" w:hAnsi="Times"/>
          <w:sz w:val="32"/>
          <w:vertAlign w:val="superscript"/>
        </w:rPr>
        <w:t>2</w:t>
      </w:r>
      <w:r w:rsidRPr="007D77BB">
        <w:rPr>
          <w:rFonts w:ascii="Times" w:hAnsi="Times"/>
        </w:rPr>
        <w:t>, Robyn L. Tanguay</w:t>
      </w:r>
      <w:r w:rsidRPr="0070648C">
        <w:rPr>
          <w:rFonts w:ascii="Times" w:hAnsi="Times"/>
          <w:sz w:val="32"/>
          <w:vertAlign w:val="superscript"/>
        </w:rPr>
        <w:t>1*</w:t>
      </w:r>
    </w:p>
    <w:p w14:paraId="1830DC58" w14:textId="77777777" w:rsidR="007D77BB" w:rsidRPr="007D77BB" w:rsidRDefault="007D77BB" w:rsidP="007D77BB">
      <w:pPr>
        <w:rPr>
          <w:rFonts w:ascii="Times" w:hAnsi="Times"/>
          <w:i/>
          <w:lang w:val="en-GB"/>
        </w:rPr>
      </w:pPr>
      <w:r w:rsidRPr="0070648C">
        <w:rPr>
          <w:rFonts w:ascii="Times" w:hAnsi="Times"/>
          <w:i/>
          <w:sz w:val="32"/>
          <w:vertAlign w:val="superscript"/>
          <w:lang w:val="en-GB"/>
        </w:rPr>
        <w:t>1</w:t>
      </w:r>
      <w:r w:rsidRPr="007D77BB">
        <w:rPr>
          <w:rFonts w:ascii="Times" w:hAnsi="Times"/>
          <w:i/>
          <w:lang w:val="en-GB"/>
        </w:rPr>
        <w:t xml:space="preserve"> Department of Environmental and Molecular Tox</w:t>
      </w:r>
      <w:bookmarkStart w:id="1" w:name="_GoBack"/>
      <w:bookmarkEnd w:id="1"/>
      <w:r w:rsidRPr="007D77BB">
        <w:rPr>
          <w:rFonts w:ascii="Times" w:hAnsi="Times"/>
          <w:i/>
          <w:lang w:val="en-GB"/>
        </w:rPr>
        <w:t xml:space="preserve">icology, Oregon State University, Corvallis, OR 97331 USA </w:t>
      </w:r>
    </w:p>
    <w:p w14:paraId="2581CA47" w14:textId="77777777" w:rsidR="007D77BB" w:rsidRPr="007D77BB" w:rsidRDefault="007D77BB" w:rsidP="007D77BB">
      <w:pPr>
        <w:rPr>
          <w:rFonts w:ascii="Times" w:hAnsi="Times"/>
        </w:rPr>
      </w:pPr>
      <w:r w:rsidRPr="0070648C">
        <w:rPr>
          <w:rFonts w:ascii="Times" w:hAnsi="Times"/>
          <w:i/>
          <w:sz w:val="32"/>
          <w:vertAlign w:val="superscript"/>
          <w:lang w:val="en-GB"/>
        </w:rPr>
        <w:t>2</w:t>
      </w:r>
      <w:r w:rsidRPr="007D77BB">
        <w:rPr>
          <w:rFonts w:ascii="Times" w:hAnsi="Times"/>
          <w:i/>
          <w:lang w:val="en-GB"/>
        </w:rPr>
        <w:t xml:space="preserve"> Biological Sciences Division, </w:t>
      </w:r>
      <w:r w:rsidRPr="007D77BB">
        <w:rPr>
          <w:rFonts w:ascii="Times" w:hAnsi="Times"/>
          <w:i/>
        </w:rPr>
        <w:t>Pacific Northwest Laboratory, 902 Battelle Boulevard, P.O. Box 999, Richland, WA 99352 USA</w:t>
      </w:r>
      <w:r w:rsidRPr="007D77BB" w:rsidDel="00240314">
        <w:rPr>
          <w:rFonts w:ascii="Times" w:hAnsi="Times"/>
          <w:i/>
          <w:lang w:val="en-GB"/>
        </w:rPr>
        <w:t xml:space="preserve"> </w:t>
      </w:r>
    </w:p>
    <w:p w14:paraId="7F39C301" w14:textId="77777777" w:rsidR="007D77BB" w:rsidRPr="007D77BB" w:rsidRDefault="007D77BB" w:rsidP="007D77BB">
      <w:pPr>
        <w:rPr>
          <w:rFonts w:ascii="Times" w:hAnsi="Times"/>
        </w:rPr>
      </w:pPr>
    </w:p>
    <w:p w14:paraId="65FB0CED" w14:textId="77777777" w:rsidR="007D77BB" w:rsidRPr="007D77BB" w:rsidRDefault="007D77BB" w:rsidP="007D77BB">
      <w:pPr>
        <w:rPr>
          <w:rFonts w:ascii="Times" w:hAnsi="Times"/>
          <w:lang w:val="en-GB"/>
        </w:rPr>
      </w:pPr>
      <w:r w:rsidRPr="007D77BB">
        <w:rPr>
          <w:rFonts w:ascii="Times" w:hAnsi="Times"/>
          <w:lang w:val="en-GB"/>
        </w:rPr>
        <w:t>‡ These co-authors contributed equally to this manuscript.</w:t>
      </w:r>
    </w:p>
    <w:p w14:paraId="6B2BBAD5" w14:textId="77777777" w:rsidR="007D77BB" w:rsidRPr="007D77BB" w:rsidRDefault="007D77BB" w:rsidP="007D77BB">
      <w:pPr>
        <w:rPr>
          <w:rFonts w:ascii="Times" w:hAnsi="Times"/>
          <w:lang w:val="en-GB"/>
        </w:rPr>
      </w:pPr>
    </w:p>
    <w:p w14:paraId="07AB7C50" w14:textId="77777777" w:rsidR="007D77BB" w:rsidRPr="007D77BB" w:rsidRDefault="007D77BB" w:rsidP="007D77BB">
      <w:pPr>
        <w:rPr>
          <w:rFonts w:ascii="Times" w:hAnsi="Times"/>
          <w:lang w:val="en-GB"/>
        </w:rPr>
      </w:pPr>
    </w:p>
    <w:p w14:paraId="58CCB126" w14:textId="77777777" w:rsidR="007D77BB" w:rsidRPr="007D77BB" w:rsidRDefault="007D77BB" w:rsidP="007D77BB">
      <w:pPr>
        <w:rPr>
          <w:rFonts w:ascii="Times" w:hAnsi="Times"/>
          <w:lang w:val="en-GB"/>
        </w:rPr>
      </w:pPr>
    </w:p>
    <w:p w14:paraId="3FB4DF76" w14:textId="77777777" w:rsidR="007D77BB" w:rsidRPr="007D77BB" w:rsidRDefault="007D77BB" w:rsidP="007D77BB">
      <w:pPr>
        <w:rPr>
          <w:rFonts w:ascii="Times" w:hAnsi="Times"/>
          <w:lang w:val="en-GB"/>
        </w:rPr>
      </w:pPr>
      <w:r w:rsidRPr="007D77BB">
        <w:rPr>
          <w:rFonts w:ascii="Times" w:hAnsi="Times"/>
          <w:lang w:val="en-GB"/>
        </w:rPr>
        <w:t>* Correspondence to:</w:t>
      </w:r>
    </w:p>
    <w:p w14:paraId="18ED97D9" w14:textId="77777777" w:rsidR="007D77BB" w:rsidRPr="007D77BB" w:rsidRDefault="007D77BB" w:rsidP="007D77BB">
      <w:pPr>
        <w:rPr>
          <w:rFonts w:ascii="Times" w:hAnsi="Times"/>
          <w:lang w:val="en-GB"/>
        </w:rPr>
      </w:pPr>
      <w:r w:rsidRPr="007D77BB">
        <w:rPr>
          <w:rFonts w:ascii="Times" w:hAnsi="Times"/>
          <w:lang w:val="en-GB"/>
        </w:rPr>
        <w:t>Robyn Tanguay, Ph.D. Department of Environmental and Molecular Toxicology, the Sinnhuber Aquatic Research Laboratory 28645 East Highway 34, Oregon State University, Corvallis, OR 97333. Email: Robyn.Tanguay@oregonstate.edu, Telephone: 1-541-737-6514, Fax: 1-541-737-6074</w:t>
      </w:r>
    </w:p>
    <w:p w14:paraId="6DE71B79" w14:textId="77777777" w:rsidR="007D77BB" w:rsidRPr="007D77BB" w:rsidRDefault="007D77BB">
      <w:pPr>
        <w:rPr>
          <w:rFonts w:ascii="Times" w:hAnsi="Times"/>
        </w:rPr>
      </w:pPr>
    </w:p>
    <w:p w14:paraId="5615E146" w14:textId="77777777" w:rsidR="007D77BB" w:rsidRPr="007D77BB" w:rsidRDefault="007D77BB">
      <w:pPr>
        <w:rPr>
          <w:rFonts w:ascii="Times" w:hAnsi="Times"/>
        </w:rPr>
      </w:pPr>
    </w:p>
    <w:p w14:paraId="20701F10" w14:textId="77777777" w:rsidR="007D77BB" w:rsidRPr="007D77BB" w:rsidRDefault="007D77BB">
      <w:pPr>
        <w:rPr>
          <w:rFonts w:ascii="Times" w:hAnsi="Times"/>
        </w:rPr>
      </w:pPr>
    </w:p>
    <w:p w14:paraId="08645A1E" w14:textId="77777777" w:rsidR="0070648C" w:rsidRDefault="007D77BB" w:rsidP="007D77BB">
      <w:pPr>
        <w:jc w:val="center"/>
        <w:rPr>
          <w:rFonts w:ascii="Times" w:hAnsi="Times"/>
          <w:b/>
          <w:sz w:val="32"/>
        </w:rPr>
        <w:sectPr w:rsidR="0070648C" w:rsidSect="007D77B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7D77BB">
        <w:rPr>
          <w:rFonts w:ascii="Times" w:hAnsi="Times"/>
          <w:b/>
          <w:sz w:val="32"/>
        </w:rPr>
        <w:t>Supplementary figures</w:t>
      </w:r>
    </w:p>
    <w:p w14:paraId="0CE1F84F" w14:textId="77777777" w:rsidR="007D77BB" w:rsidRPr="007D77BB" w:rsidRDefault="007D77BB">
      <w:pPr>
        <w:rPr>
          <w:rFonts w:ascii="Times" w:hAnsi="Times"/>
          <w:b/>
          <w:bCs/>
        </w:rPr>
      </w:pPr>
    </w:p>
    <w:p w14:paraId="53FFA625" w14:textId="77777777" w:rsidR="0070648C" w:rsidRDefault="0070648C" w:rsidP="007D77BB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4279EF" wp14:editId="484C8A29">
                <wp:simplePos x="0" y="0"/>
                <wp:positionH relativeFrom="column">
                  <wp:posOffset>91440</wp:posOffset>
                </wp:positionH>
                <wp:positionV relativeFrom="paragraph">
                  <wp:posOffset>224155</wp:posOffset>
                </wp:positionV>
                <wp:extent cx="8989695" cy="5660390"/>
                <wp:effectExtent l="0" t="0" r="0" b="381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89695" cy="566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F93FB9" w14:textId="77777777" w:rsidR="0070648C" w:rsidRDefault="0070648C"/>
                          <w:p w14:paraId="470E9BA9" w14:textId="77777777" w:rsidR="0070648C" w:rsidRDefault="0070648C" w:rsidP="0070648C">
                            <w:pPr>
                              <w:rPr>
                                <w:rFonts w:ascii="Times" w:hAnsi="Times"/>
                                <w:b/>
                                <w:bCs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795FDC" wp14:editId="425F67F1">
                                  <wp:extent cx="8672392" cy="4631690"/>
                                  <wp:effectExtent l="0" t="0" r="0" b="0"/>
                                  <wp:docPr id="4" name="Picture 4" descr="/Users/prarthanashankar/Box Sync/Tanguay Lab/Transcriptomics Network Paper/Manuscript/Submission_BMC Genomics/FigureS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/Users/prarthanashankar/Box Sync/Tanguay Lab/Transcriptomics Network Paper/Manuscript/Submission_BMC Genomics/FigureS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706304" cy="46498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6767B30" w14:textId="77777777" w:rsidR="0070648C" w:rsidRDefault="0070648C" w:rsidP="0070648C">
                            <w:pPr>
                              <w:rPr>
                                <w:rFonts w:ascii="Times" w:hAnsi="Times"/>
                                <w:b/>
                                <w:bCs/>
                              </w:rPr>
                            </w:pPr>
                          </w:p>
                          <w:p w14:paraId="5A609D47" w14:textId="77777777" w:rsidR="0070648C" w:rsidRPr="007D77BB" w:rsidRDefault="0070648C" w:rsidP="0070648C">
                            <w:pPr>
                              <w:rPr>
                                <w:rFonts w:ascii="Times" w:hAnsi="Times"/>
                              </w:rPr>
                            </w:pPr>
                            <w:r w:rsidRPr="007D77BB">
                              <w:rPr>
                                <w:rFonts w:ascii="Times" w:hAnsi="Times"/>
                                <w:b/>
                                <w:bCs/>
                              </w:rPr>
                              <w:t xml:space="preserve">Figure S1.  High Centrality Network Genes.  (A) </w:t>
                            </w:r>
                            <w:r w:rsidRPr="007D77BB">
                              <w:rPr>
                                <w:rFonts w:ascii="Times" w:hAnsi="Times"/>
                              </w:rPr>
                              <w:t xml:space="preserve">Genes of high </w:t>
                            </w:r>
                            <w:proofErr w:type="spellStart"/>
                            <w:r w:rsidRPr="007D77BB">
                              <w:rPr>
                                <w:rFonts w:ascii="Times" w:hAnsi="Times"/>
                              </w:rPr>
                              <w:t>betweenness</w:t>
                            </w:r>
                            <w:proofErr w:type="spellEnd"/>
                            <w:r w:rsidRPr="007D77BB">
                              <w:rPr>
                                <w:rFonts w:ascii="Times" w:hAnsi="Times"/>
                              </w:rPr>
                              <w:t xml:space="preserve"> (top 20 ranked by </w:t>
                            </w:r>
                            <w:proofErr w:type="spellStart"/>
                            <w:r w:rsidRPr="007D77BB">
                              <w:rPr>
                                <w:rFonts w:ascii="Times" w:hAnsi="Times"/>
                              </w:rPr>
                              <w:t>betweenness</w:t>
                            </w:r>
                            <w:proofErr w:type="spellEnd"/>
                            <w:r w:rsidRPr="007D77BB">
                              <w:rPr>
                                <w:rFonts w:ascii="Times" w:hAnsi="Times"/>
                              </w:rPr>
                              <w:t xml:space="preserve">) are indicated as larger green nodes in the network. </w:t>
                            </w:r>
                            <w:r w:rsidRPr="007D77BB">
                              <w:rPr>
                                <w:rFonts w:ascii="Times" w:hAnsi="Times"/>
                                <w:b/>
                                <w:bCs/>
                              </w:rPr>
                              <w:t>(B)</w:t>
                            </w:r>
                            <w:r w:rsidRPr="007D77BB">
                              <w:rPr>
                                <w:rFonts w:ascii="Times" w:hAnsi="Times"/>
                              </w:rPr>
                              <w:t xml:space="preserve"> Genes of high degree (top 20 ranked by degree) are indicated as larger red nodes in the network. </w:t>
                            </w:r>
                          </w:p>
                          <w:p w14:paraId="477E9984" w14:textId="77777777" w:rsidR="0070648C" w:rsidRDefault="007064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4279EF"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7.2pt;margin-top:17.65pt;width:707.85pt;height:4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" filled="f" stroked="f">
                <v:textbox>
                  <w:txbxContent>
                    <w:p w14:paraId="7AF93FB9" w14:textId="77777777" w:rsidR="0070648C" w:rsidRDefault="0070648C"/>
                    <w:p w14:paraId="470E9BA9" w14:textId="77777777" w:rsidR="0070648C" w:rsidRDefault="0070648C" w:rsidP="0070648C">
                      <w:pPr>
                        <w:rPr>
                          <w:rFonts w:ascii="Times" w:hAnsi="Times"/>
                          <w:b/>
                          <w:bCs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3795FDC" wp14:editId="425F67F1">
                            <wp:extent cx="8672392" cy="4631690"/>
                            <wp:effectExtent l="0" t="0" r="0" b="0"/>
                            <wp:docPr id="4" name="Picture 4" descr="/Users/prarthanashankar/Box Sync/Tanguay Lab/Transcriptomics Network Paper/Manuscript/Submission_BMC Genomics/FigureS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/Users/prarthanashankar/Box Sync/Tanguay Lab/Transcriptomics Network Paper/Manuscript/Submission_BMC Genomics/FigureS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706304" cy="46498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6767B30" w14:textId="77777777" w:rsidR="0070648C" w:rsidRDefault="0070648C" w:rsidP="0070648C">
                      <w:pPr>
                        <w:rPr>
                          <w:rFonts w:ascii="Times" w:hAnsi="Times"/>
                          <w:b/>
                          <w:bCs/>
                        </w:rPr>
                      </w:pPr>
                    </w:p>
                    <w:p w14:paraId="5A609D47" w14:textId="77777777" w:rsidR="0070648C" w:rsidRPr="007D77BB" w:rsidRDefault="0070648C" w:rsidP="0070648C">
                      <w:pPr>
                        <w:rPr>
                          <w:rFonts w:ascii="Times" w:hAnsi="Times"/>
                        </w:rPr>
                      </w:pPr>
                      <w:r w:rsidRPr="007D77BB">
                        <w:rPr>
                          <w:rFonts w:ascii="Times" w:hAnsi="Times"/>
                          <w:b/>
                          <w:bCs/>
                        </w:rPr>
                        <w:t xml:space="preserve">Figure S1.  High Centrality Network Genes.  (A) </w:t>
                      </w:r>
                      <w:r w:rsidRPr="007D77BB">
                        <w:rPr>
                          <w:rFonts w:ascii="Times" w:hAnsi="Times"/>
                        </w:rPr>
                        <w:t xml:space="preserve">Genes of high </w:t>
                      </w:r>
                      <w:proofErr w:type="spellStart"/>
                      <w:r w:rsidRPr="007D77BB">
                        <w:rPr>
                          <w:rFonts w:ascii="Times" w:hAnsi="Times"/>
                        </w:rPr>
                        <w:t>betweenness</w:t>
                      </w:r>
                      <w:proofErr w:type="spellEnd"/>
                      <w:r w:rsidRPr="007D77BB">
                        <w:rPr>
                          <w:rFonts w:ascii="Times" w:hAnsi="Times"/>
                        </w:rPr>
                        <w:t xml:space="preserve"> (top 20 ranked by </w:t>
                      </w:r>
                      <w:proofErr w:type="spellStart"/>
                      <w:r w:rsidRPr="007D77BB">
                        <w:rPr>
                          <w:rFonts w:ascii="Times" w:hAnsi="Times"/>
                        </w:rPr>
                        <w:t>betweenness</w:t>
                      </w:r>
                      <w:proofErr w:type="spellEnd"/>
                      <w:r w:rsidRPr="007D77BB">
                        <w:rPr>
                          <w:rFonts w:ascii="Times" w:hAnsi="Times"/>
                        </w:rPr>
                        <w:t xml:space="preserve">) are indicated as larger green nodes in the network. </w:t>
                      </w:r>
                      <w:r w:rsidRPr="007D77BB">
                        <w:rPr>
                          <w:rFonts w:ascii="Times" w:hAnsi="Times"/>
                          <w:b/>
                          <w:bCs/>
                        </w:rPr>
                        <w:t>(B)</w:t>
                      </w:r>
                      <w:r w:rsidRPr="007D77BB">
                        <w:rPr>
                          <w:rFonts w:ascii="Times" w:hAnsi="Times"/>
                        </w:rPr>
                        <w:t xml:space="preserve"> Genes of high degree (top 20 ranked by degree) are indicated as larger red nodes in the network. </w:t>
                      </w:r>
                    </w:p>
                    <w:p w14:paraId="477E9984" w14:textId="77777777" w:rsidR="0070648C" w:rsidRDefault="0070648C"/>
                  </w:txbxContent>
                </v:textbox>
                <w10:wrap type="square"/>
              </v:shape>
            </w:pict>
          </mc:Fallback>
        </mc:AlternateContent>
      </w:r>
    </w:p>
    <w:p w14:paraId="1195C32B" w14:textId="77777777" w:rsidR="0070648C" w:rsidRDefault="0070648C" w:rsidP="007D77BB">
      <w:pPr>
        <w:rPr>
          <w:rFonts w:ascii="Times" w:hAnsi="Times"/>
          <w:b/>
          <w:bCs/>
        </w:rPr>
      </w:pPr>
    </w:p>
    <w:p w14:paraId="396D0769" w14:textId="77777777" w:rsidR="007D77BB" w:rsidRPr="007D77BB" w:rsidRDefault="007D77BB">
      <w:pPr>
        <w:rPr>
          <w:rFonts w:ascii="Times" w:hAnsi="Times"/>
        </w:rPr>
      </w:pPr>
    </w:p>
    <w:sectPr w:rsidR="007D77BB" w:rsidRPr="007D77BB" w:rsidSect="0070648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BB"/>
    <w:rsid w:val="001227A6"/>
    <w:rsid w:val="00396F96"/>
    <w:rsid w:val="00581E1F"/>
    <w:rsid w:val="0070648C"/>
    <w:rsid w:val="007D77BB"/>
    <w:rsid w:val="00A3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B385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117</Words>
  <Characters>668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Shankar, Prarthana</dc:creator>
  <cp:keywords/>
  <dc:description/>
  <cp:lastModifiedBy>Shankar, Prarthana</cp:lastModifiedBy>
  <cp:revision>1</cp:revision>
  <dcterms:created xsi:type="dcterms:W3CDTF">2021-04-07T16:12:00Z</dcterms:created>
  <dcterms:modified xsi:type="dcterms:W3CDTF">2021-04-07T16:27:00Z</dcterms:modified>
</cp:coreProperties>
</file>