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68645" w14:textId="77777777" w:rsidR="003A0D2B" w:rsidRDefault="00634BB1">
      <w:pPr>
        <w:keepNext/>
        <w:keepLines/>
        <w:pBdr>
          <w:top w:val="nil"/>
          <w:left w:val="nil"/>
          <w:bottom w:val="nil"/>
          <w:right w:val="nil"/>
          <w:between w:val="nil"/>
        </w:pBdr>
        <w:spacing w:after="160" w:line="259" w:lineRule="auto"/>
        <w:jc w:val="center"/>
        <w:rPr>
          <w:b/>
          <w:color w:val="000000"/>
          <w:sz w:val="40"/>
          <w:szCs w:val="40"/>
        </w:rPr>
      </w:pPr>
      <w:bookmarkStart w:id="0" w:name="_heading=h.30j0zll" w:colFirst="0" w:colLast="0"/>
      <w:bookmarkEnd w:id="0"/>
      <w:r>
        <w:rPr>
          <w:rFonts w:eastAsia="Arial"/>
          <w:b/>
          <w:color w:val="000000"/>
          <w:sz w:val="40"/>
          <w:szCs w:val="40"/>
        </w:rPr>
        <w:t>Supporting Information for</w:t>
      </w:r>
    </w:p>
    <w:p w14:paraId="0D69D624" w14:textId="77777777" w:rsidR="003A0D2B" w:rsidRDefault="00634BB1">
      <w:pPr>
        <w:keepNext/>
        <w:keepLines/>
        <w:pBdr>
          <w:top w:val="nil"/>
          <w:left w:val="nil"/>
          <w:bottom w:val="nil"/>
          <w:right w:val="nil"/>
          <w:between w:val="nil"/>
        </w:pBdr>
        <w:spacing w:after="160" w:line="259" w:lineRule="auto"/>
        <w:jc w:val="center"/>
        <w:rPr>
          <w:b/>
          <w:color w:val="000000"/>
          <w:sz w:val="40"/>
          <w:szCs w:val="40"/>
        </w:rPr>
      </w:pPr>
      <w:r>
        <w:rPr>
          <w:rFonts w:eastAsia="Arial"/>
          <w:b/>
          <w:color w:val="000000"/>
          <w:sz w:val="40"/>
          <w:szCs w:val="40"/>
        </w:rPr>
        <w:t>The taxonomic distribution of histamine-secreting bacteria in the human gut microbiome</w:t>
      </w:r>
    </w:p>
    <w:p w14:paraId="3048EB16" w14:textId="77777777" w:rsidR="003A0D2B" w:rsidRDefault="00634BB1">
      <w:pPr>
        <w:jc w:val="center"/>
        <w:rPr>
          <w:b/>
          <w:sz w:val="24"/>
          <w:szCs w:val="24"/>
        </w:rPr>
        <w:sectPr w:rsidR="003A0D2B">
          <w:pgSz w:w="12240" w:h="15840"/>
          <w:pgMar w:top="1440" w:right="1440" w:bottom="1440" w:left="1440" w:header="720" w:footer="720" w:gutter="0"/>
          <w:pgNumType w:start="0"/>
          <w:cols w:space="720"/>
        </w:sectPr>
      </w:pPr>
      <w:proofErr w:type="spellStart"/>
      <w:r>
        <w:rPr>
          <w:b/>
          <w:sz w:val="24"/>
          <w:szCs w:val="24"/>
        </w:rPr>
        <w:t>Zhongyu</w:t>
      </w:r>
      <w:proofErr w:type="spellEnd"/>
      <w:r>
        <w:rPr>
          <w:b/>
          <w:sz w:val="24"/>
          <w:szCs w:val="24"/>
        </w:rPr>
        <w:t xml:space="preserve"> </w:t>
      </w:r>
      <w:proofErr w:type="spellStart"/>
      <w:r>
        <w:rPr>
          <w:b/>
          <w:sz w:val="24"/>
          <w:szCs w:val="24"/>
        </w:rPr>
        <w:t>Mou</w:t>
      </w:r>
      <w:proofErr w:type="spellEnd"/>
      <w:r>
        <w:rPr>
          <w:b/>
          <w:sz w:val="24"/>
          <w:szCs w:val="24"/>
        </w:rPr>
        <w:t xml:space="preserve">, Yiyan Yang, A. Brantley Hall, </w:t>
      </w:r>
      <w:proofErr w:type="spellStart"/>
      <w:r>
        <w:rPr>
          <w:b/>
          <w:sz w:val="24"/>
          <w:szCs w:val="24"/>
        </w:rPr>
        <w:t>Xiaofang</w:t>
      </w:r>
      <w:proofErr w:type="spellEnd"/>
      <w:r>
        <w:rPr>
          <w:b/>
          <w:sz w:val="24"/>
          <w:szCs w:val="24"/>
        </w:rPr>
        <w:t xml:space="preserve"> Jiang</w:t>
      </w:r>
    </w:p>
    <w:p w14:paraId="786F73D2" w14:textId="77777777" w:rsidR="003A0D2B" w:rsidRDefault="00634BB1">
      <w:pPr>
        <w:keepNext/>
        <w:keepLines/>
        <w:pBdr>
          <w:top w:val="nil"/>
          <w:left w:val="nil"/>
          <w:bottom w:val="nil"/>
          <w:right w:val="nil"/>
          <w:between w:val="nil"/>
        </w:pBdr>
        <w:spacing w:before="480" w:after="120" w:line="240" w:lineRule="auto"/>
        <w:jc w:val="both"/>
        <w:rPr>
          <w:b/>
          <w:color w:val="000000"/>
          <w:sz w:val="28"/>
          <w:szCs w:val="28"/>
        </w:rPr>
      </w:pPr>
      <w:bookmarkStart w:id="1" w:name="_heading=h.1fob9te" w:colFirst="0" w:colLast="0"/>
      <w:bookmarkEnd w:id="1"/>
      <w:r>
        <w:rPr>
          <w:rFonts w:eastAsia="Arial"/>
          <w:b/>
          <w:color w:val="000000"/>
          <w:sz w:val="28"/>
          <w:szCs w:val="28"/>
        </w:rPr>
        <w:lastRenderedPageBreak/>
        <w:t>Supplementary Tables</w:t>
      </w:r>
    </w:p>
    <w:p w14:paraId="66BB2E68" w14:textId="6AB35946" w:rsidR="003A0D2B" w:rsidRDefault="00634BB1">
      <w:pPr>
        <w:keepNext/>
        <w:keepLines/>
        <w:pBdr>
          <w:top w:val="nil"/>
          <w:left w:val="nil"/>
          <w:bottom w:val="nil"/>
          <w:right w:val="nil"/>
          <w:between w:val="nil"/>
        </w:pBdr>
        <w:spacing w:before="360" w:after="80" w:line="240" w:lineRule="auto"/>
        <w:rPr>
          <w:b/>
          <w:color w:val="000000"/>
        </w:rPr>
      </w:pPr>
      <w:bookmarkStart w:id="2" w:name="_heading=h.3znysh7" w:colFirst="0" w:colLast="0"/>
      <w:bookmarkEnd w:id="2"/>
      <w:r>
        <w:rPr>
          <w:rFonts w:eastAsia="Arial"/>
          <w:b/>
          <w:color w:val="000000"/>
        </w:rPr>
        <w:t xml:space="preserve">Table S1. </w:t>
      </w:r>
      <w:r w:rsidR="005C391C" w:rsidRPr="00001608">
        <w:rPr>
          <w:rFonts w:eastAsia="Arial"/>
          <w:b/>
          <w:color w:val="FF0000"/>
        </w:rPr>
        <w:t>Putative</w:t>
      </w:r>
      <w:r w:rsidR="005C391C">
        <w:rPr>
          <w:rFonts w:eastAsia="Arial"/>
          <w:b/>
          <w:color w:val="000000"/>
        </w:rPr>
        <w:t xml:space="preserve"> </w:t>
      </w:r>
      <w:r w:rsidR="008745A4">
        <w:rPr>
          <w:rFonts w:eastAsia="Arial"/>
          <w:b/>
          <w:color w:val="000000"/>
        </w:rPr>
        <w:t>h</w:t>
      </w:r>
      <w:r>
        <w:rPr>
          <w:rFonts w:eastAsia="Arial"/>
          <w:b/>
          <w:color w:val="000000"/>
        </w:rPr>
        <w:t>istamine-secreting bacteria (HSB) species identified in GTDB.</w:t>
      </w:r>
    </w:p>
    <w:p w14:paraId="35F03402" w14:textId="77777777" w:rsidR="003A0D2B" w:rsidRDefault="00634BB1">
      <w:r>
        <w:t>see additional file: Table_S1.xlsx</w:t>
      </w:r>
    </w:p>
    <w:p w14:paraId="5B07FD9A" w14:textId="188B19AE" w:rsidR="003A0D2B" w:rsidRDefault="00634BB1">
      <w:pPr>
        <w:keepNext/>
        <w:keepLines/>
        <w:pBdr>
          <w:top w:val="nil"/>
          <w:left w:val="nil"/>
          <w:bottom w:val="nil"/>
          <w:right w:val="nil"/>
          <w:between w:val="nil"/>
        </w:pBdr>
        <w:spacing w:before="360" w:after="80" w:line="240" w:lineRule="auto"/>
        <w:rPr>
          <w:b/>
          <w:color w:val="000000"/>
        </w:rPr>
      </w:pPr>
      <w:r>
        <w:rPr>
          <w:rFonts w:eastAsia="Arial"/>
          <w:b/>
          <w:color w:val="000000"/>
        </w:rPr>
        <w:t xml:space="preserve">Table S2. Experimentally </w:t>
      </w:r>
      <w:r w:rsidR="008F1682" w:rsidRPr="008F1682">
        <w:rPr>
          <w:rFonts w:eastAsia="Arial" w:hint="eastAsia"/>
          <w:b/>
          <w:color w:val="FF0000"/>
        </w:rPr>
        <w:t>putative</w:t>
      </w:r>
      <w:r w:rsidR="008F1682">
        <w:rPr>
          <w:rFonts w:eastAsia="Arial"/>
          <w:b/>
          <w:color w:val="000000"/>
        </w:rPr>
        <w:t xml:space="preserve"> </w:t>
      </w:r>
      <w:r>
        <w:rPr>
          <w:rFonts w:eastAsia="Arial"/>
          <w:b/>
          <w:color w:val="000000"/>
        </w:rPr>
        <w:t>verified histamine-secreting bacteria (HSB) species.</w:t>
      </w:r>
    </w:p>
    <w:p w14:paraId="5C98E4B8" w14:textId="77777777" w:rsidR="003A0D2B" w:rsidRDefault="00634BB1">
      <w:r>
        <w:t>see additional file: Table_S2.xlsx</w:t>
      </w:r>
      <w:bookmarkStart w:id="3" w:name="_GoBack"/>
      <w:bookmarkEnd w:id="3"/>
    </w:p>
    <w:p w14:paraId="708B56A2" w14:textId="6B7274A3" w:rsidR="003A0D2B" w:rsidRDefault="00634BB1">
      <w:pPr>
        <w:keepNext/>
        <w:keepLines/>
        <w:pBdr>
          <w:top w:val="nil"/>
          <w:left w:val="nil"/>
          <w:bottom w:val="nil"/>
          <w:right w:val="nil"/>
          <w:between w:val="nil"/>
        </w:pBdr>
        <w:spacing w:before="360" w:after="80" w:line="240" w:lineRule="auto"/>
        <w:rPr>
          <w:b/>
          <w:color w:val="000000"/>
        </w:rPr>
      </w:pPr>
      <w:r>
        <w:rPr>
          <w:rFonts w:eastAsia="Arial"/>
          <w:b/>
          <w:color w:val="000000"/>
        </w:rPr>
        <w:t xml:space="preserve">Table S3. </w:t>
      </w:r>
      <w:r w:rsidR="00001608" w:rsidRPr="00974AE1">
        <w:rPr>
          <w:rFonts w:eastAsia="Arial"/>
          <w:b/>
          <w:color w:val="FF0000"/>
        </w:rPr>
        <w:t>Puta</w:t>
      </w:r>
      <w:r w:rsidR="00974AE1" w:rsidRPr="00974AE1">
        <w:rPr>
          <w:rFonts w:eastAsia="Arial"/>
          <w:b/>
          <w:color w:val="FF0000"/>
        </w:rPr>
        <w:t>t</w:t>
      </w:r>
      <w:r w:rsidR="00001608" w:rsidRPr="00974AE1">
        <w:rPr>
          <w:rFonts w:eastAsia="Arial"/>
          <w:b/>
          <w:color w:val="FF0000"/>
        </w:rPr>
        <w:t>ive</w:t>
      </w:r>
      <w:r w:rsidR="00001608">
        <w:rPr>
          <w:rFonts w:eastAsia="Arial"/>
          <w:b/>
          <w:color w:val="000000"/>
        </w:rPr>
        <w:t xml:space="preserve"> h</w:t>
      </w:r>
      <w:r>
        <w:rPr>
          <w:rFonts w:eastAsia="Arial"/>
          <w:b/>
          <w:color w:val="000000"/>
        </w:rPr>
        <w:t>istamine-secreting bacteria (HSB) species identified in UHGG.</w:t>
      </w:r>
    </w:p>
    <w:p w14:paraId="2C87855B" w14:textId="77777777" w:rsidR="003A0D2B" w:rsidRDefault="00634BB1">
      <w:r>
        <w:t>see additional file: Table_S3.xlsx</w:t>
      </w:r>
    </w:p>
    <w:p w14:paraId="6613BB50" w14:textId="77777777" w:rsidR="003A0D2B" w:rsidRDefault="00634BB1">
      <w:pPr>
        <w:keepNext/>
        <w:keepLines/>
        <w:pBdr>
          <w:top w:val="nil"/>
          <w:left w:val="nil"/>
          <w:bottom w:val="nil"/>
          <w:right w:val="nil"/>
          <w:between w:val="nil"/>
        </w:pBdr>
        <w:spacing w:before="360" w:after="80" w:line="240" w:lineRule="auto"/>
        <w:rPr>
          <w:b/>
          <w:color w:val="000000"/>
        </w:rPr>
      </w:pPr>
      <w:r>
        <w:rPr>
          <w:rFonts w:eastAsia="Arial"/>
          <w:b/>
          <w:color w:val="000000"/>
        </w:rPr>
        <w:t>Table S4. Enriched HSB of UHGG in IBD studies. This table corresponds to the species in Figure 3 of the main text.</w:t>
      </w:r>
    </w:p>
    <w:p w14:paraId="1E05E24D" w14:textId="06CE08D1" w:rsidR="003A0D2B" w:rsidRDefault="00634BB1">
      <w:r>
        <w:t>see additional file: Table_S4.</w:t>
      </w:r>
      <w:r w:rsidR="003D5851">
        <w:t>xlsx</w:t>
      </w:r>
    </w:p>
    <w:p w14:paraId="62C76F93" w14:textId="77777777" w:rsidR="003A0D2B" w:rsidRDefault="00634BB1">
      <w:pPr>
        <w:keepNext/>
        <w:keepLines/>
        <w:pBdr>
          <w:top w:val="nil"/>
          <w:left w:val="nil"/>
          <w:bottom w:val="nil"/>
          <w:right w:val="nil"/>
          <w:between w:val="nil"/>
        </w:pBdr>
        <w:spacing w:before="360" w:after="80" w:line="240" w:lineRule="auto"/>
        <w:rPr>
          <w:b/>
          <w:color w:val="000000"/>
        </w:rPr>
      </w:pPr>
      <w:bookmarkStart w:id="4" w:name="_heading=h.tyjcwt" w:colFirst="0" w:colLast="0"/>
      <w:bookmarkEnd w:id="4"/>
      <w:r>
        <w:rPr>
          <w:rFonts w:eastAsia="Arial"/>
          <w:b/>
          <w:color w:val="000000"/>
        </w:rPr>
        <w:t>Table S5. One-tailed two-proportion Z tests for enriched HSB of UHGG in IBD and CRC studies. This table corresponds to the enriched proportion in Figure 3 of the main text.</w:t>
      </w:r>
    </w:p>
    <w:p w14:paraId="18103ECF" w14:textId="4F6F78B8" w:rsidR="003A0D2B" w:rsidRDefault="00634BB1">
      <w:r>
        <w:t>see additional file: Table_S5.</w:t>
      </w:r>
      <w:r w:rsidR="00D42F9E">
        <w:t>xlsx</w:t>
      </w:r>
    </w:p>
    <w:p w14:paraId="42464DF6" w14:textId="77777777" w:rsidR="003A0D2B" w:rsidRDefault="003A0D2B">
      <w:pPr>
        <w:rPr>
          <w:b/>
          <w:sz w:val="28"/>
          <w:szCs w:val="28"/>
        </w:rPr>
      </w:pPr>
    </w:p>
    <w:p w14:paraId="1E29AA24" w14:textId="77777777" w:rsidR="003A0D2B" w:rsidRDefault="00634BB1">
      <w:pPr>
        <w:tabs>
          <w:tab w:val="left" w:pos="1452"/>
        </w:tabs>
        <w:rPr>
          <w:sz w:val="28"/>
          <w:szCs w:val="28"/>
        </w:rPr>
      </w:pPr>
      <w:bookmarkStart w:id="5" w:name="_heading=h.2et92p0" w:colFirst="0" w:colLast="0"/>
      <w:bookmarkEnd w:id="5"/>
      <w:r>
        <w:rPr>
          <w:sz w:val="28"/>
          <w:szCs w:val="28"/>
        </w:rPr>
        <w:tab/>
      </w:r>
    </w:p>
    <w:p w14:paraId="3F70DD67" w14:textId="77777777" w:rsidR="003A0D2B" w:rsidRDefault="00634BB1">
      <w:pPr>
        <w:keepNext/>
        <w:keepLines/>
        <w:pBdr>
          <w:top w:val="nil"/>
          <w:left w:val="nil"/>
          <w:bottom w:val="nil"/>
          <w:right w:val="nil"/>
          <w:between w:val="nil"/>
        </w:pBdr>
        <w:spacing w:before="480" w:after="120" w:line="240" w:lineRule="auto"/>
        <w:jc w:val="both"/>
        <w:rPr>
          <w:b/>
          <w:color w:val="000000"/>
          <w:sz w:val="28"/>
          <w:szCs w:val="28"/>
        </w:rPr>
      </w:pPr>
      <w:r>
        <w:rPr>
          <w:rFonts w:eastAsia="Arial"/>
          <w:b/>
          <w:color w:val="000000"/>
          <w:sz w:val="28"/>
          <w:szCs w:val="28"/>
        </w:rPr>
        <w:lastRenderedPageBreak/>
        <w:t>Supplementary Figures</w:t>
      </w:r>
    </w:p>
    <w:p w14:paraId="28C2E5E8" w14:textId="77777777" w:rsidR="004D1465" w:rsidRDefault="00634BB1">
      <w:pPr>
        <w:rPr>
          <w:color w:val="000000"/>
        </w:rPr>
      </w:pPr>
      <w:r>
        <w:rPr>
          <w:noProof/>
        </w:rPr>
        <w:drawing>
          <wp:inline distT="0" distB="0" distL="0" distR="0" wp14:anchorId="084645FC" wp14:editId="0AF79823">
            <wp:extent cx="5943600" cy="4924425"/>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4924425"/>
                    </a:xfrm>
                    <a:prstGeom prst="rect">
                      <a:avLst/>
                    </a:prstGeom>
                    <a:ln/>
                  </pic:spPr>
                </pic:pic>
              </a:graphicData>
            </a:graphic>
          </wp:inline>
        </w:drawing>
      </w:r>
      <w:r>
        <w:rPr>
          <w:b/>
          <w:color w:val="000000"/>
        </w:rPr>
        <w:t>Figure S1. Distribution of putative histamine-secreting bacteria across the Unified Human Gastrointestinal Genome (UHGG) collection.</w:t>
      </w:r>
      <w:r>
        <w:rPr>
          <w:color w:val="000000"/>
        </w:rPr>
        <w:t xml:space="preserve"> A phylogenetic tree of </w:t>
      </w:r>
      <w:proofErr w:type="spellStart"/>
      <w:r>
        <w:rPr>
          <w:color w:val="000000"/>
        </w:rPr>
        <w:t>pyruvoyl</w:t>
      </w:r>
      <w:proofErr w:type="spellEnd"/>
      <w:r>
        <w:rPr>
          <w:color w:val="000000"/>
        </w:rPr>
        <w:t xml:space="preserve">-dependent histamine-secreting bacteria across the 4,644 genomes of the representative UHGG collection. Branch length was turned off. Phyla are labeled by color strip. Fill colors of the pie charts correspond to the strain-specificity of histamine-secreting bacteria and the relative size of the </w:t>
      </w:r>
      <w:r>
        <w:rPr>
          <w:color w:val="000000"/>
        </w:rPr>
        <w:lastRenderedPageBreak/>
        <w:t>pie charts represents the total number of strains in species pan</w:t>
      </w:r>
      <w:r>
        <w:t xml:space="preserve"> </w:t>
      </w:r>
      <w:r>
        <w:rPr>
          <w:color w:val="000000"/>
        </w:rPr>
        <w:t>genomes.</w:t>
      </w:r>
      <w:r>
        <w:rPr>
          <w:noProof/>
        </w:rPr>
        <w:drawing>
          <wp:inline distT="0" distB="0" distL="0" distR="0" wp14:anchorId="5794240C" wp14:editId="6937B613">
            <wp:extent cx="5943600" cy="4288155"/>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4288155"/>
                    </a:xfrm>
                    <a:prstGeom prst="rect">
                      <a:avLst/>
                    </a:prstGeom>
                    <a:ln/>
                  </pic:spPr>
                </pic:pic>
              </a:graphicData>
            </a:graphic>
          </wp:inline>
        </w:drawing>
      </w:r>
    </w:p>
    <w:p w14:paraId="67EA8657" w14:textId="32DECF49" w:rsidR="003A0D2B" w:rsidRDefault="00634BB1">
      <w:pPr>
        <w:rPr>
          <w:sz w:val="24"/>
          <w:szCs w:val="24"/>
        </w:rPr>
        <w:sectPr w:rsidR="003A0D2B">
          <w:pgSz w:w="12240" w:h="15840"/>
          <w:pgMar w:top="1440" w:right="1440" w:bottom="1440" w:left="1440" w:header="720" w:footer="720" w:gutter="0"/>
          <w:cols w:space="720"/>
        </w:sectPr>
      </w:pPr>
      <w:r>
        <w:rPr>
          <w:b/>
          <w:color w:val="000000"/>
        </w:rPr>
        <w:t>Figure S2.</w:t>
      </w:r>
      <w:r>
        <w:rPr>
          <w:color w:val="000000"/>
        </w:rPr>
        <w:t xml:space="preserve"> </w:t>
      </w:r>
      <w:r>
        <w:rPr>
          <w:b/>
          <w:color w:val="000000"/>
        </w:rPr>
        <w:t>Alignment between putative histidine decarboxylases and the crystal structure and conserved active residues.</w:t>
      </w:r>
      <w:r>
        <w:rPr>
          <w:color w:val="000000"/>
        </w:rPr>
        <w:t xml:space="preserve"> (A) The alignment between template </w:t>
      </w:r>
      <w:r>
        <w:rPr>
          <w:i/>
          <w:color w:val="000000"/>
        </w:rPr>
        <w:t xml:space="preserve">Lactobacillus </w:t>
      </w:r>
      <w:proofErr w:type="spellStart"/>
      <w:r>
        <w:rPr>
          <w:i/>
          <w:color w:val="000000"/>
        </w:rPr>
        <w:t>saerimneri</w:t>
      </w:r>
      <w:proofErr w:type="spellEnd"/>
      <w:r>
        <w:rPr>
          <w:i/>
          <w:color w:val="000000"/>
        </w:rPr>
        <w:t xml:space="preserve"> 30a</w:t>
      </w:r>
      <w:r>
        <w:rPr>
          <w:color w:val="000000"/>
        </w:rPr>
        <w:t xml:space="preserve"> (PDB: 1PYA) in pink and the homology 3D model of HSB Clostridium perfringens in cyan. Ba</w:t>
      </w:r>
      <w:r>
        <w:t xml:space="preserve">ckbone root mean square deviation (RMSD) using </w:t>
      </w:r>
      <w:proofErr w:type="spellStart"/>
      <w:r>
        <w:t>Py</w:t>
      </w:r>
      <w:r>
        <w:rPr>
          <w:color w:val="000000"/>
        </w:rPr>
        <w:t>mol</w:t>
      </w:r>
      <w:proofErr w:type="spellEnd"/>
      <w:r>
        <w:rPr>
          <w:color w:val="000000"/>
        </w:rPr>
        <w:t xml:space="preserve"> align method is shown. (B) Key residues of </w:t>
      </w:r>
      <w:r>
        <w:rPr>
          <w:i/>
          <w:color w:val="000000"/>
        </w:rPr>
        <w:t xml:space="preserve">Lactobacillus </w:t>
      </w:r>
      <w:proofErr w:type="spellStart"/>
      <w:r>
        <w:rPr>
          <w:i/>
          <w:color w:val="000000"/>
        </w:rPr>
        <w:t>saerimneri</w:t>
      </w:r>
      <w:proofErr w:type="spellEnd"/>
      <w:r>
        <w:rPr>
          <w:i/>
          <w:color w:val="000000"/>
        </w:rPr>
        <w:t xml:space="preserve"> 30a.</w:t>
      </w:r>
      <w:r>
        <w:rPr>
          <w:color w:val="000000"/>
        </w:rPr>
        <w:t xml:space="preserve"> (C) Multiple sequence alignment between selected </w:t>
      </w:r>
      <w:proofErr w:type="spellStart"/>
      <w:r>
        <w:rPr>
          <w:color w:val="000000"/>
        </w:rPr>
        <w:t>hdcA</w:t>
      </w:r>
      <w:proofErr w:type="spellEnd"/>
      <w:r>
        <w:rPr>
          <w:color w:val="000000"/>
        </w:rPr>
        <w:t xml:space="preserve"> genes in putative </w:t>
      </w:r>
      <w:proofErr w:type="spellStart"/>
      <w:r>
        <w:rPr>
          <w:color w:val="000000"/>
        </w:rPr>
        <w:t>pyruvoyl</w:t>
      </w:r>
      <w:proofErr w:type="spellEnd"/>
      <w:r>
        <w:rPr>
          <w:color w:val="000000"/>
        </w:rPr>
        <w:t xml:space="preserve">-dependent HSB in GTDB and </w:t>
      </w:r>
      <w:r>
        <w:rPr>
          <w:i/>
          <w:color w:val="000000"/>
        </w:rPr>
        <w:t xml:space="preserve">Lactobacillus </w:t>
      </w:r>
      <w:proofErr w:type="spellStart"/>
      <w:r>
        <w:rPr>
          <w:i/>
          <w:color w:val="000000"/>
        </w:rPr>
        <w:t>saerimneri</w:t>
      </w:r>
      <w:proofErr w:type="spellEnd"/>
      <w:r>
        <w:rPr>
          <w:i/>
          <w:color w:val="000000"/>
        </w:rPr>
        <w:t xml:space="preserve"> 30a.</w:t>
      </w:r>
      <w:r>
        <w:rPr>
          <w:color w:val="000000"/>
        </w:rPr>
        <w:t xml:space="preserve"> Key residues are highlighted.</w:t>
      </w:r>
    </w:p>
    <w:p w14:paraId="741D353B" w14:textId="77777777" w:rsidR="002C7F72" w:rsidRDefault="00634BB1">
      <w:pPr>
        <w:rPr>
          <w:b/>
          <w:sz w:val="24"/>
          <w:szCs w:val="24"/>
        </w:rPr>
      </w:pPr>
      <w:r>
        <w:rPr>
          <w:b/>
          <w:noProof/>
          <w:sz w:val="24"/>
          <w:szCs w:val="24"/>
        </w:rPr>
        <w:lastRenderedPageBreak/>
        <w:drawing>
          <wp:inline distT="0" distB="0" distL="0" distR="0" wp14:anchorId="1950EF51" wp14:editId="50F9A5EE">
            <wp:extent cx="5943600" cy="5001260"/>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5001260"/>
                    </a:xfrm>
                    <a:prstGeom prst="rect">
                      <a:avLst/>
                    </a:prstGeom>
                    <a:ln/>
                  </pic:spPr>
                </pic:pic>
              </a:graphicData>
            </a:graphic>
          </wp:inline>
        </w:drawing>
      </w:r>
      <w:r>
        <w:rPr>
          <w:b/>
          <w:sz w:val="24"/>
          <w:szCs w:val="24"/>
        </w:rPr>
        <w:t xml:space="preserve"> </w:t>
      </w:r>
    </w:p>
    <w:p w14:paraId="2B30B436" w14:textId="051AE704" w:rsidR="003A0D2B" w:rsidRPr="00B6272C" w:rsidRDefault="00634BB1">
      <w:pPr>
        <w:rPr>
          <w:color w:val="000000"/>
        </w:rPr>
      </w:pPr>
      <w:r w:rsidRPr="00B6272C">
        <w:rPr>
          <w:b/>
        </w:rPr>
        <w:t xml:space="preserve">Figure S3. Phylogenetic tree of pyruvyl-dependent </w:t>
      </w:r>
      <w:proofErr w:type="spellStart"/>
      <w:r w:rsidRPr="00B6272C">
        <w:rPr>
          <w:b/>
        </w:rPr>
        <w:t>hdcA</w:t>
      </w:r>
      <w:proofErr w:type="spellEnd"/>
      <w:r w:rsidRPr="00B6272C">
        <w:rPr>
          <w:b/>
        </w:rPr>
        <w:t xml:space="preserve"> of putative histamine-secreting bacteria (HSB) in GTDB.</w:t>
      </w:r>
      <w:r w:rsidRPr="00B6272C">
        <w:t xml:space="preserve"> </w:t>
      </w:r>
      <w:r w:rsidRPr="00B6272C">
        <w:rPr>
          <w:color w:val="000000"/>
        </w:rPr>
        <w:t>Phyla are labeled by color strip. The corresponding antiporters were labeled by color circles.</w:t>
      </w:r>
    </w:p>
    <w:p w14:paraId="067E5815" w14:textId="77777777" w:rsidR="003A0D2B" w:rsidRDefault="003A0D2B">
      <w:pPr>
        <w:jc w:val="center"/>
      </w:pPr>
    </w:p>
    <w:p w14:paraId="3805D6A6" w14:textId="77777777" w:rsidR="003A0D2B" w:rsidRDefault="00634BB1">
      <w:pPr>
        <w:jc w:val="center"/>
      </w:pPr>
      <w:r>
        <w:rPr>
          <w:noProof/>
        </w:rPr>
        <w:lastRenderedPageBreak/>
        <w:drawing>
          <wp:inline distT="114300" distB="114300" distL="114300" distR="114300" wp14:anchorId="145F7B72" wp14:editId="2E0F920B">
            <wp:extent cx="5338763" cy="6288446"/>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338763" cy="6288446"/>
                    </a:xfrm>
                    <a:prstGeom prst="rect">
                      <a:avLst/>
                    </a:prstGeom>
                    <a:ln/>
                  </pic:spPr>
                </pic:pic>
              </a:graphicData>
            </a:graphic>
          </wp:inline>
        </w:drawing>
      </w:r>
    </w:p>
    <w:p w14:paraId="757887B0" w14:textId="38D53E55" w:rsidR="00B6272C" w:rsidRPr="00634BB1" w:rsidRDefault="00B6272C" w:rsidP="00B6272C">
      <w:pPr>
        <w:spacing w:after="200"/>
        <w:jc w:val="both"/>
        <w:rPr>
          <w:color w:val="FF0000"/>
        </w:rPr>
      </w:pPr>
      <w:r w:rsidRPr="00634BB1">
        <w:rPr>
          <w:b/>
          <w:color w:val="FF0000"/>
        </w:rPr>
        <w:t>Figure S4. Histidine decarboxylase operon abundance for IBD (top panel) and CRC (bottom panel) studies.</w:t>
      </w:r>
      <w:r w:rsidRPr="00634BB1">
        <w:rPr>
          <w:rFonts w:eastAsia="Arial Unicode MS"/>
          <w:color w:val="FF0000"/>
        </w:rPr>
        <w:t xml:space="preserve"> HDC operon abundance was measured in units of counts per million reads mapped (CPM). One-sided Wilcoxon’s rank-sum test with continuity correction was performed to test the difference of the histidine decarboxylase operon abundance in the patient's sample compared to the healthy control and the p values were labeled with asterisks (ns for p &gt; 0.05; * for p ≤ 0.05; ** for p ≤ 0.01; *** for p ≤ 0.001 and **** for p ≤ 0.0001).</w:t>
      </w:r>
    </w:p>
    <w:p w14:paraId="530880E9" w14:textId="017CF36C" w:rsidR="003A0D2B" w:rsidRPr="00B6272C" w:rsidRDefault="003A0D2B">
      <w:pPr>
        <w:rPr>
          <w:sz w:val="24"/>
          <w:szCs w:val="24"/>
        </w:rPr>
      </w:pPr>
    </w:p>
    <w:sectPr w:rsidR="003A0D2B" w:rsidRPr="00B6272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4CDE2" w14:textId="77777777" w:rsidR="00F25E48" w:rsidRDefault="00F25E48" w:rsidP="003D5851">
      <w:pPr>
        <w:spacing w:line="240" w:lineRule="auto"/>
      </w:pPr>
      <w:r>
        <w:separator/>
      </w:r>
    </w:p>
  </w:endnote>
  <w:endnote w:type="continuationSeparator" w:id="0">
    <w:p w14:paraId="1D0B8047" w14:textId="77777777" w:rsidR="00F25E48" w:rsidRDefault="00F25E48" w:rsidP="003D58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406AF" w14:textId="77777777" w:rsidR="00F25E48" w:rsidRDefault="00F25E48" w:rsidP="003D5851">
      <w:pPr>
        <w:spacing w:line="240" w:lineRule="auto"/>
      </w:pPr>
      <w:r>
        <w:separator/>
      </w:r>
    </w:p>
  </w:footnote>
  <w:footnote w:type="continuationSeparator" w:id="0">
    <w:p w14:paraId="6CB25448" w14:textId="77777777" w:rsidR="00F25E48" w:rsidRDefault="00F25E48" w:rsidP="003D58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D2B"/>
    <w:rsid w:val="00001608"/>
    <w:rsid w:val="00013DE0"/>
    <w:rsid w:val="000C057D"/>
    <w:rsid w:val="00100A3B"/>
    <w:rsid w:val="002277D0"/>
    <w:rsid w:val="002C7F72"/>
    <w:rsid w:val="003A0D2B"/>
    <w:rsid w:val="003D5851"/>
    <w:rsid w:val="003F38EE"/>
    <w:rsid w:val="004D1465"/>
    <w:rsid w:val="005C391C"/>
    <w:rsid w:val="005C53D9"/>
    <w:rsid w:val="006049BA"/>
    <w:rsid w:val="00634BB1"/>
    <w:rsid w:val="00741751"/>
    <w:rsid w:val="008745A4"/>
    <w:rsid w:val="008F1682"/>
    <w:rsid w:val="00974AE1"/>
    <w:rsid w:val="009C4DF9"/>
    <w:rsid w:val="00B6272C"/>
    <w:rsid w:val="00D42F9E"/>
    <w:rsid w:val="00E55BD9"/>
    <w:rsid w:val="00F25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75EBC"/>
  <w15:docId w15:val="{41520EB9-4B7C-4F95-8DF6-112E6F6C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line="240" w:lineRule="auto"/>
      <w:jc w:val="both"/>
      <w:outlineLvl w:val="0"/>
    </w:pPr>
    <w:rPr>
      <w:b/>
      <w:sz w:val="28"/>
      <w:szCs w:val="28"/>
    </w:rPr>
  </w:style>
  <w:style w:type="paragraph" w:styleId="2">
    <w:name w:val="heading 2"/>
    <w:basedOn w:val="a"/>
    <w:next w:val="a"/>
    <w:uiPriority w:val="9"/>
    <w:semiHidden/>
    <w:unhideWhenUsed/>
    <w:qFormat/>
    <w:pPr>
      <w:keepNext/>
      <w:keepLines/>
      <w:spacing w:before="360" w:after="80" w:line="240" w:lineRule="auto"/>
      <w:jc w:val="both"/>
      <w:outlineLvl w:val="1"/>
    </w:pPr>
    <w:rPr>
      <w:b/>
    </w:rPr>
  </w:style>
  <w:style w:type="paragraph" w:styleId="3">
    <w:name w:val="heading 3"/>
    <w:basedOn w:val="a"/>
    <w:next w:val="a"/>
    <w:uiPriority w:val="9"/>
    <w:semiHidden/>
    <w:unhideWhenUsed/>
    <w:qFormat/>
    <w:pPr>
      <w:keepNext/>
      <w:keepLines/>
      <w:spacing w:before="280" w:after="80" w:line="240" w:lineRule="auto"/>
      <w:jc w:val="both"/>
      <w:outlineLvl w:val="2"/>
    </w:pPr>
    <w:rPr>
      <w:u w:val="single"/>
    </w:rPr>
  </w:style>
  <w:style w:type="paragraph" w:styleId="4">
    <w:name w:val="heading 4"/>
    <w:basedOn w:val="a"/>
    <w:next w:val="a"/>
    <w:uiPriority w:val="9"/>
    <w:semiHidden/>
    <w:unhideWhenUsed/>
    <w:qFormat/>
    <w:pPr>
      <w:keepNext/>
      <w:keepLines/>
      <w:spacing w:before="240" w:after="40" w:line="240" w:lineRule="auto"/>
      <w:jc w:val="both"/>
      <w:outlineLvl w:val="3"/>
    </w:pPr>
    <w:rPr>
      <w:i/>
    </w:rPr>
  </w:style>
  <w:style w:type="paragraph" w:styleId="5">
    <w:name w:val="heading 5"/>
    <w:basedOn w:val="a"/>
    <w:next w:val="a"/>
    <w:uiPriority w:val="9"/>
    <w:semiHidden/>
    <w:unhideWhenUsed/>
    <w:qFormat/>
    <w:pPr>
      <w:keepNext/>
      <w:keepLines/>
      <w:spacing w:before="160" w:after="200" w:line="240" w:lineRule="auto"/>
      <w:jc w:val="both"/>
      <w:outlineLvl w:val="4"/>
    </w:pPr>
    <w:rPr>
      <w:sz w:val="18"/>
      <w:szCs w:val="18"/>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after="320"/>
    </w:pPr>
    <w:rPr>
      <w:rFonts w:eastAsia="Arial"/>
      <w:color w:val="666666"/>
      <w:sz w:val="30"/>
      <w:szCs w:val="30"/>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character" w:styleId="a7">
    <w:name w:val="Hyperlink"/>
    <w:basedOn w:val="a0"/>
    <w:uiPriority w:val="99"/>
    <w:unhideWhenUsed/>
    <w:rsid w:val="003E412F"/>
    <w:rPr>
      <w:color w:val="0000FF" w:themeColor="hyperlink"/>
      <w:u w:val="single"/>
    </w:rPr>
  </w:style>
  <w:style w:type="character" w:styleId="a8">
    <w:name w:val="Unresolved Mention"/>
    <w:basedOn w:val="a0"/>
    <w:uiPriority w:val="99"/>
    <w:semiHidden/>
    <w:unhideWhenUsed/>
    <w:rsid w:val="003E412F"/>
    <w:rPr>
      <w:color w:val="605E5C"/>
      <w:shd w:val="clear" w:color="auto" w:fill="E1DFDD"/>
    </w:r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CellMar>
        <w:left w:w="0" w:type="dxa"/>
        <w:right w:w="0" w:type="dxa"/>
      </w:tblCellMar>
    </w:tblPr>
  </w:style>
  <w:style w:type="paragraph" w:styleId="ab">
    <w:name w:val="annotation text"/>
    <w:basedOn w:val="a"/>
    <w:link w:val="ac"/>
    <w:uiPriority w:val="99"/>
    <w:unhideWhenUsed/>
    <w:pPr>
      <w:spacing w:line="240" w:lineRule="auto"/>
    </w:pPr>
    <w:rPr>
      <w:sz w:val="20"/>
      <w:szCs w:val="20"/>
    </w:rPr>
  </w:style>
  <w:style w:type="character" w:customStyle="1" w:styleId="ac">
    <w:name w:val="批注文字 字符"/>
    <w:basedOn w:val="a0"/>
    <w:link w:val="ab"/>
    <w:uiPriority w:val="99"/>
    <w:rPr>
      <w:sz w:val="20"/>
      <w:szCs w:val="20"/>
    </w:rPr>
  </w:style>
  <w:style w:type="character" w:styleId="ad">
    <w:name w:val="annotation reference"/>
    <w:basedOn w:val="a0"/>
    <w:uiPriority w:val="99"/>
    <w:semiHidden/>
    <w:unhideWhenUsed/>
    <w:rPr>
      <w:sz w:val="16"/>
      <w:szCs w:val="16"/>
    </w:rPr>
  </w:style>
  <w:style w:type="paragraph" w:styleId="ae">
    <w:name w:val="annotation subject"/>
    <w:basedOn w:val="ab"/>
    <w:next w:val="ab"/>
    <w:link w:val="af"/>
    <w:uiPriority w:val="99"/>
    <w:semiHidden/>
    <w:unhideWhenUsed/>
    <w:rsid w:val="00D903D4"/>
    <w:rPr>
      <w:b/>
      <w:bCs/>
    </w:rPr>
  </w:style>
  <w:style w:type="character" w:customStyle="1" w:styleId="af">
    <w:name w:val="批注主题 字符"/>
    <w:basedOn w:val="ac"/>
    <w:link w:val="ae"/>
    <w:uiPriority w:val="99"/>
    <w:semiHidden/>
    <w:rsid w:val="00D903D4"/>
    <w:rPr>
      <w:b/>
      <w:bCs/>
      <w:sz w:val="20"/>
      <w:szCs w:val="20"/>
    </w:rPr>
  </w:style>
  <w:style w:type="table" w:customStyle="1" w:styleId="af0">
    <w:basedOn w:val="a1"/>
    <w:tblPr>
      <w:tblStyleRowBandSize w:val="1"/>
      <w:tblStyleColBandSize w:val="1"/>
      <w:tblCellMar>
        <w:left w:w="0" w:type="dxa"/>
        <w:right w:w="0" w:type="dxa"/>
      </w:tblCellMar>
    </w:tblPr>
  </w:style>
  <w:style w:type="table" w:customStyle="1" w:styleId="af1">
    <w:basedOn w:val="a1"/>
    <w:tblPr>
      <w:tblStyleRowBandSize w:val="1"/>
      <w:tblStyleColBandSize w:val="1"/>
      <w:tblCellMar>
        <w:left w:w="0" w:type="dxa"/>
        <w:right w:w="0" w:type="dxa"/>
      </w:tblCellMar>
    </w:tblPr>
  </w:style>
  <w:style w:type="table" w:customStyle="1" w:styleId="af2">
    <w:basedOn w:val="a1"/>
    <w:tblPr>
      <w:tblStyleRowBandSize w:val="1"/>
      <w:tblStyleColBandSize w:val="1"/>
      <w:tblCellMar>
        <w:left w:w="0" w:type="dxa"/>
        <w:right w:w="0" w:type="dxa"/>
      </w:tblCellMar>
    </w:tblPr>
  </w:style>
  <w:style w:type="table" w:customStyle="1" w:styleId="af3">
    <w:basedOn w:val="a1"/>
    <w:tblPr>
      <w:tblStyleRowBandSize w:val="1"/>
      <w:tblStyleColBandSize w:val="1"/>
      <w:tblCellMar>
        <w:left w:w="0" w:type="dxa"/>
        <w:right w:w="0" w:type="dxa"/>
      </w:tblCellMar>
    </w:tblPr>
  </w:style>
  <w:style w:type="table" w:customStyle="1" w:styleId="af4">
    <w:basedOn w:val="a1"/>
    <w:tblPr>
      <w:tblStyleRowBandSize w:val="1"/>
      <w:tblStyleColBandSize w:val="1"/>
      <w:tblCellMar>
        <w:left w:w="0" w:type="dxa"/>
        <w:right w:w="0" w:type="dxa"/>
      </w:tblCellMar>
    </w:tblPr>
  </w:style>
  <w:style w:type="table" w:customStyle="1" w:styleId="af5">
    <w:basedOn w:val="a1"/>
    <w:tblPr>
      <w:tblStyleRowBandSize w:val="1"/>
      <w:tblStyleColBandSize w:val="1"/>
      <w:tblCellMar>
        <w:left w:w="0" w:type="dxa"/>
        <w:right w:w="0" w:type="dxa"/>
      </w:tblCellMar>
    </w:tblPr>
  </w:style>
  <w:style w:type="paragraph" w:styleId="af6">
    <w:name w:val="header"/>
    <w:basedOn w:val="a"/>
    <w:link w:val="af7"/>
    <w:uiPriority w:val="99"/>
    <w:unhideWhenUsed/>
    <w:rsid w:val="00F10FB8"/>
    <w:pPr>
      <w:pBdr>
        <w:bottom w:val="single" w:sz="6" w:space="1" w:color="auto"/>
      </w:pBdr>
      <w:tabs>
        <w:tab w:val="center" w:pos="4153"/>
        <w:tab w:val="right" w:pos="8306"/>
      </w:tabs>
      <w:snapToGrid w:val="0"/>
      <w:spacing w:line="240" w:lineRule="auto"/>
      <w:jc w:val="center"/>
    </w:pPr>
    <w:rPr>
      <w:sz w:val="18"/>
      <w:szCs w:val="18"/>
    </w:rPr>
  </w:style>
  <w:style w:type="character" w:customStyle="1" w:styleId="af7">
    <w:name w:val="页眉 字符"/>
    <w:basedOn w:val="a0"/>
    <w:link w:val="af6"/>
    <w:uiPriority w:val="99"/>
    <w:rsid w:val="00F10FB8"/>
    <w:rPr>
      <w:sz w:val="18"/>
      <w:szCs w:val="18"/>
    </w:rPr>
  </w:style>
  <w:style w:type="paragraph" w:styleId="af8">
    <w:name w:val="footer"/>
    <w:basedOn w:val="a"/>
    <w:link w:val="af9"/>
    <w:uiPriority w:val="99"/>
    <w:unhideWhenUsed/>
    <w:rsid w:val="00F10FB8"/>
    <w:pPr>
      <w:tabs>
        <w:tab w:val="center" w:pos="4153"/>
        <w:tab w:val="right" w:pos="8306"/>
      </w:tabs>
      <w:snapToGrid w:val="0"/>
      <w:spacing w:line="240" w:lineRule="auto"/>
    </w:pPr>
    <w:rPr>
      <w:sz w:val="18"/>
      <w:szCs w:val="18"/>
    </w:rPr>
  </w:style>
  <w:style w:type="character" w:customStyle="1" w:styleId="af9">
    <w:name w:val="页脚 字符"/>
    <w:basedOn w:val="a0"/>
    <w:link w:val="af8"/>
    <w:uiPriority w:val="99"/>
    <w:rsid w:val="00F10FB8"/>
    <w:rPr>
      <w:sz w:val="18"/>
      <w:szCs w:val="18"/>
    </w:rPr>
  </w:style>
  <w:style w:type="paragraph" w:styleId="afa">
    <w:name w:val="Balloon Text"/>
    <w:basedOn w:val="a"/>
    <w:link w:val="afb"/>
    <w:uiPriority w:val="99"/>
    <w:semiHidden/>
    <w:unhideWhenUsed/>
    <w:rsid w:val="005C391C"/>
    <w:pPr>
      <w:spacing w:line="240" w:lineRule="auto"/>
    </w:pPr>
    <w:rPr>
      <w:sz w:val="18"/>
      <w:szCs w:val="18"/>
    </w:rPr>
  </w:style>
  <w:style w:type="character" w:customStyle="1" w:styleId="afb">
    <w:name w:val="批注框文本 字符"/>
    <w:basedOn w:val="a0"/>
    <w:link w:val="afa"/>
    <w:uiPriority w:val="99"/>
    <w:semiHidden/>
    <w:rsid w:val="005C39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mLeemcZaPt2adIRp2GoFNPj/LQ==">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dc:creator>
  <cp:lastModifiedBy>Yiyan Yang</cp:lastModifiedBy>
  <cp:revision>20</cp:revision>
  <dcterms:created xsi:type="dcterms:W3CDTF">2021-03-31T20:02:00Z</dcterms:created>
  <dcterms:modified xsi:type="dcterms:W3CDTF">2021-08-24T15:20:00Z</dcterms:modified>
</cp:coreProperties>
</file>