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0BDB5" w14:textId="64CD7A3E" w:rsidR="00E40564" w:rsidRPr="00E40564" w:rsidRDefault="00E40564" w:rsidP="00E40564">
      <w:pPr>
        <w:spacing w:after="0" w:line="480" w:lineRule="auto"/>
        <w:jc w:val="both"/>
      </w:pPr>
      <w:r w:rsidRPr="00E40564">
        <w:rPr>
          <w:b/>
          <w:bCs/>
        </w:rPr>
        <w:t>Supplementary Table 5</w:t>
      </w:r>
      <w:bookmarkStart w:id="0" w:name="_GoBack"/>
      <w:bookmarkEnd w:id="0"/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1936"/>
        <w:gridCol w:w="1036"/>
        <w:gridCol w:w="1559"/>
        <w:gridCol w:w="1701"/>
        <w:gridCol w:w="1560"/>
        <w:gridCol w:w="3285"/>
        <w:gridCol w:w="3944"/>
      </w:tblGrid>
      <w:tr w:rsidR="00E40564" w:rsidRPr="00E40564" w14:paraId="3964132A" w14:textId="77777777" w:rsidTr="00AC71A0">
        <w:trPr>
          <w:trHeight w:val="204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7E0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Unigene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B20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PHI No.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939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Sequence homology 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459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Phytopathogens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A8B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Gene knockout result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917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Predicted protein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FDA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Protein domain</w:t>
            </w:r>
          </w:p>
        </w:tc>
      </w:tr>
      <w:tr w:rsidR="00E40564" w:rsidRPr="00E40564" w14:paraId="10BA9273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F2C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DN22201_c0_g1_i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1.g17051.t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587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PHI:3216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B27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MoCDIP4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1B8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E36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effector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2DC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BFJ69_g4370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D27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hydrolase, family 61</w:t>
            </w:r>
          </w:p>
        </w:tc>
      </w:tr>
      <w:tr w:rsidR="00E40564" w:rsidRPr="00E40564" w14:paraId="661A1F32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107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DN5768_c0_g1_i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1.g19843.t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1C3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PHI:3216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780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MoCDIP4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00B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C04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effector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36F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BFJ69_g6260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932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Glycoside hydrolase, family 61 (AA9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CAZyme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)</w:t>
            </w:r>
          </w:p>
        </w:tc>
      </w:tr>
      <w:tr w:rsidR="00E40564" w:rsidRPr="00E40564" w14:paraId="28086CB9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A29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NODE_107.g3183.t1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99F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PHI:3216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C49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MoCDIP4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AF1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39C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effector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967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Putative endo-beta-1,4-glucanase D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CAF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Cellulose-binding domain, fungal</w:t>
            </w:r>
          </w:p>
        </w:tc>
      </w:tr>
      <w:tr w:rsidR="00E40564" w:rsidRPr="00E40564" w14:paraId="641AF427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C1A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NODE_302.g6444.t1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482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EED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PemG1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928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947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effector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AAD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BFJ69_g6142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A4C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Stm1-like, N-terminal</w:t>
            </w:r>
          </w:p>
        </w:tc>
      </w:tr>
      <w:tr w:rsidR="00E40564" w:rsidRPr="00E40564" w14:paraId="1A2B35F1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6D2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DN17673_c0_g1_i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1.g17447.t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947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PHI:1227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5EB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FGSG_06089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282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B36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DEE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Transcription-associated protein 1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A97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Belongs to the PI3 PI4-kinase family</w:t>
            </w:r>
          </w:p>
        </w:tc>
      </w:tr>
      <w:tr w:rsidR="00E40564" w:rsidRPr="00E40564" w14:paraId="6859505C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0DC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NODE_103.g12525.t1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8F9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PHI:1569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4B9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GzOB009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322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E36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E3D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50S ribosomal protein L2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B22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Ribosomal Proteins L2, RNA binding domain</w:t>
            </w:r>
          </w:p>
        </w:tc>
      </w:tr>
      <w:tr w:rsidR="00E40564" w:rsidRPr="00E40564" w14:paraId="16FBEBD7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D85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NODE_218.g15716.t1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C2F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PHI:1226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835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FGSG_05845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284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0D0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7CB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Serine/threonine-protein kinase psk1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863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E40564" w:rsidRPr="00E40564" w14:paraId="1C9EBC2D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5F7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NODE_384.g7504.t1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03B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PHI:1546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845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GzMyb010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811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DD4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lethal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57D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chromatin modification-like protein VID21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CBE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Homeobox-like domain superfamily</w:t>
            </w:r>
          </w:p>
        </w:tc>
      </w:tr>
      <w:tr w:rsidR="00E40564" w:rsidRPr="00E40564" w14:paraId="1D71A764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D5B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DN15496_c0_g1_i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1.g46603.t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101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PHI:4639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51A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Cbp1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B96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8BB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E45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FOXG_02597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DD0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NodB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homology domain</w:t>
            </w:r>
          </w:p>
        </w:tc>
      </w:tr>
      <w:tr w:rsidR="00E40564" w:rsidRPr="00E40564" w14:paraId="674605FF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5F0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DN2055_c0_g1_i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1.g9790.t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5B4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PHI:4475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187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MoTup1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7CF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6F8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F07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probable CPC2 protein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4F0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WD domain, G-beta repeat</w:t>
            </w:r>
          </w:p>
        </w:tc>
      </w:tr>
      <w:tr w:rsidR="00E40564" w:rsidRPr="00E40564" w14:paraId="606AA89E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F4A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DN21863_c0_g1_i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1.g14013.t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B5E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8BA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CPK1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26E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Colletotrichum_lagenaria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D7C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331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cAMP-dependent protein kinase type 2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349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domain-cAMP-dependent protein kinase</w:t>
            </w:r>
          </w:p>
        </w:tc>
      </w:tr>
      <w:tr w:rsidR="00E40564" w:rsidRPr="00E40564" w14:paraId="1838E672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9E9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DN3038_c0_g1_i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1.g381.t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2E5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D86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Mopex14_(MGG_01028)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C93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AB0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409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FOIG_06146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2C1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Peroxisome membrane anchor protein Pex14p, N-terminal</w:t>
            </w:r>
          </w:p>
        </w:tc>
      </w:tr>
      <w:tr w:rsidR="00E40564" w:rsidRPr="00E40564" w14:paraId="4C2430E2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66B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DN3953_c0_g1_i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1.g1628.t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BF3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60D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TOXF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28D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Bipolaris_zeicola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7DB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FB5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FOCG_05131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251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Aminotransferase class IV</w:t>
            </w:r>
          </w:p>
        </w:tc>
      </w:tr>
      <w:tr w:rsidR="00E40564" w:rsidRPr="00E40564" w14:paraId="401F38EC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312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NODE_135.g3788.t1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AA5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PHI:3375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B6A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FgSte50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D44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5BE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F07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FOQG_00510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7BA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Sterile alpha motif/pointed domain superfamily</w:t>
            </w:r>
          </w:p>
        </w:tc>
      </w:tr>
      <w:tr w:rsidR="00E40564" w:rsidRPr="00E40564" w14:paraId="59044A25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7B7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NODE_138.g14072.t1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6EB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PHI:8884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F39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aroG1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EB2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Ralstonia_solanacearum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33D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C92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Phospho-2-dehydro-3-deoxyheptonate aldolase, tyrosine-inhibited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543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DHAP synthase, class 1</w:t>
            </w:r>
          </w:p>
        </w:tc>
      </w:tr>
      <w:tr w:rsidR="00E40564" w:rsidRPr="00E40564" w14:paraId="3C95AAE6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65E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NODE_182.g4648.t1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11E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D9A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Mohik5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031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4E2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8B2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BFJ71_g2358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34D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Protein kinase domain-Histidine kinase,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dimerisation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/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phosphoacceptor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E40564" w:rsidRPr="00E40564" w14:paraId="4904BD23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FE4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NODE_294.g6342.t1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3FD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B30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PBC1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2B6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Pyrenopeziza_brassicae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891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61F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cutinase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318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Cutinase</w:t>
            </w:r>
            <w:proofErr w:type="spellEnd"/>
          </w:p>
        </w:tc>
      </w:tr>
      <w:tr w:rsidR="00E40564" w:rsidRPr="00E40564" w14:paraId="6BC03ECF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C60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38.g1450.t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AE7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PHI:2387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2CC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ACL2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BF9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CFA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85B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ATP-citrate synthase subunit 2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A89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ATP-citrate synthase, citrate-binding domain</w:t>
            </w:r>
          </w:p>
        </w:tc>
      </w:tr>
      <w:tr w:rsidR="00E40564" w:rsidRPr="00E40564" w14:paraId="657FE189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6D8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NODE_395.g7629.t1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D3B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015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FOW2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6BB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Fusarium_oxysporum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E28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5FB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BFJ69_g5063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D7A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Transcription factor domain, fungi</w:t>
            </w:r>
          </w:p>
        </w:tc>
      </w:tr>
      <w:tr w:rsidR="00E40564" w:rsidRPr="00E40564" w14:paraId="7C9FB5B7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2ED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NODE_429.g8017.t1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DC4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PHI:365__PHI:2267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83B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MLS1__Mls1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908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Parastagonospora_nodorum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092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A22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malate synthase,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glyoxysomal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320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Malate synthase</w:t>
            </w:r>
          </w:p>
        </w:tc>
      </w:tr>
      <w:tr w:rsidR="00E40564" w:rsidRPr="00E40564" w14:paraId="0BA807C4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2DD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54.g1909.t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241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51E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TOXF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E25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Bipolaris_zeicola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028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213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Putative branched-chain-amino-acid aminotransferase TOXF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718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Branched-chain amino acid aminotransferase II</w:t>
            </w:r>
          </w:p>
        </w:tc>
      </w:tr>
      <w:tr w:rsidR="00E40564" w:rsidRPr="00E40564" w14:paraId="65A49F2A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A00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54.g1911.t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09E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PHI:4475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A31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MoTup1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F64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203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D13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FOXG_08701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131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WD domain, G-beta repeat</w:t>
            </w:r>
          </w:p>
        </w:tc>
      </w:tr>
      <w:tr w:rsidR="00E40564" w:rsidRPr="00E40564" w14:paraId="73992F5A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FC7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71.g2345.t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B59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BFE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CST1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42F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Colletotrichum_lagenaria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824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E71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Transcription factor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steA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DB7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fingers C2H2 - Ste12</w:t>
            </w:r>
          </w:p>
        </w:tc>
      </w:tr>
      <w:tr w:rsidR="00E40564" w:rsidRPr="00E40564" w14:paraId="09375E21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7D7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NODE_815.g11287.t1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1C1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PHI:4639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753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Cbp1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131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AEE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A17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Bifunctional xylanase/deacetylase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525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NodB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homology domain</w:t>
            </w:r>
          </w:p>
        </w:tc>
      </w:tr>
      <w:tr w:rsidR="00E40564" w:rsidRPr="00E40564" w14:paraId="5E14B066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CF2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86.g2691.t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3F9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6CF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MoARG1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86D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84E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849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Argininosuccinate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synthase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5E6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Argininosuccinate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synthase</w:t>
            </w:r>
          </w:p>
        </w:tc>
      </w:tr>
      <w:tr w:rsidR="00E40564" w:rsidRPr="00E40564" w14:paraId="0D64BE6E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1E5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NODE_887.g11755.t1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791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PHI:6331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BCF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VdCYP1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711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Verticillium_dahliae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961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9BB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BFJ67_g9277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C83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Cytochrome P450 superfamily</w:t>
            </w:r>
          </w:p>
        </w:tc>
      </w:tr>
      <w:tr w:rsidR="00E40564" w:rsidRPr="00E40564" w14:paraId="546450CF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359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93.g2856.t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9B1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PHI:9357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059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Fgleu1_(FGSG_09589)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674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8DB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9D6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Aconitate hydratase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10B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Aconitase, mitochondrial-like</w:t>
            </w:r>
          </w:p>
        </w:tc>
      </w:tr>
      <w:tr w:rsidR="00E40564" w:rsidRPr="00E40564" w14:paraId="2066CAEC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EE5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DN5393_c0_g1_i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1.g11683.t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457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PHI:2115__PHI:4494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E4B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Annexin_A7__AnnA7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E4F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E98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3F1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Annexin A11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BED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Annexin repeat</w:t>
            </w:r>
          </w:p>
        </w:tc>
      </w:tr>
      <w:tr w:rsidR="00E40564" w:rsidRPr="00E40564" w14:paraId="172C3B74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758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NODE_109.g12879.t1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CC4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PHI:2145__PHI:9180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B2E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MoSSADH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__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MoSSADH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_(MGG_01230)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61F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2C3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601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Aldehyde dehydrogenase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6D4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Aldehyde dehydrogenase, C-terminal</w:t>
            </w:r>
          </w:p>
        </w:tc>
      </w:tr>
      <w:tr w:rsidR="00E40564" w:rsidRPr="00E40564" w14:paraId="41B2B239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9D1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NODE_708.g10527.t1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68C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PHI:2145__PHI:9180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952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MoSSADH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__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MoSSADH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_(MGG_01230)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B4F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3F5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loss_of_pathogenicity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39A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betaine-aldehyde dehydrogenase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CE2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Aldehyde dehydrogenase domain</w:t>
            </w:r>
          </w:p>
        </w:tc>
      </w:tr>
      <w:tr w:rsidR="00E40564" w:rsidRPr="00E40564" w14:paraId="2370BB51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03A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NODE_101.g12451.t1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154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5AB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Psimpa1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56E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Phytophthora_sojae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D04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114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uncharacterized protein FVRRES_11925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851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Importin-alpha, importin-beta-binding domain</w:t>
            </w:r>
          </w:p>
        </w:tc>
      </w:tr>
      <w:tr w:rsidR="00E40564" w:rsidRPr="00E40564" w14:paraId="32C2ABBF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E4D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NODE_103.g12546.t1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2B2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4F1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Spe-Sdh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F4D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44A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C03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saccharopine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dehydrogenase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0B9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Saccharopine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dehydrogenase, NADP binding domain</w:t>
            </w:r>
          </w:p>
        </w:tc>
      </w:tr>
      <w:tr w:rsidR="00E40564" w:rsidRPr="00E40564" w14:paraId="42C5F176" w14:textId="77777777" w:rsidTr="00AC71A0">
        <w:trPr>
          <w:trHeight w:val="204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9D0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NODE_105.g12650.t1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B27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PHI:1364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5D9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GzC2H024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517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979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94D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FOC1_g10010447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925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 C2H2-type</w:t>
            </w:r>
          </w:p>
        </w:tc>
      </w:tr>
      <w:tr w:rsidR="00E40564" w:rsidRPr="00E40564" w14:paraId="13C17F06" w14:textId="77777777" w:rsidTr="00AC71A0">
        <w:trPr>
          <w:trHeight w:val="204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130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lastRenderedPageBreak/>
              <w:t>NODE_112.g12973.t1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171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54E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MSY1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C8D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913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90F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Putative 5-methyltetrahydropteroyltriglutamate--homocysteine methyltransferase 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315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Cobalamin-independent methionine synthase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MetE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, C-terminal/archaeal</w:t>
            </w:r>
          </w:p>
        </w:tc>
      </w:tr>
      <w:tr w:rsidR="00E40564" w:rsidRPr="00E40564" w14:paraId="6EA26FF0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D28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NODE_114.g3331.t1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A4F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7CD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FOW1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B19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Fusarium_oxysporum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CFC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CB6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Citrate/oxoglutarate carrier protein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38D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Mitochondrial substrate/solute carrier</w:t>
            </w:r>
          </w:p>
        </w:tc>
      </w:tr>
      <w:tr w:rsidR="00E40564" w:rsidRPr="00E40564" w14:paraId="41E6E5C1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303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NODE_117.g3408.t1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7D4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PHI:2240__PHI:4586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2D4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Srt1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4C9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4AF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BBF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Putative glucose transporter rco-3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1BE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facilitator, sugar transporter-like</w:t>
            </w:r>
          </w:p>
        </w:tc>
      </w:tr>
      <w:tr w:rsidR="00E40564" w:rsidRPr="00E40564" w14:paraId="350EA34C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FFB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NODE_118.g13250.t1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112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PHI:9282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FBA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mfsG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_(BCIN_06g00026)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561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Botrytis_cinerea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861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58F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BFJ65_g8824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383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 superfamily</w:t>
            </w:r>
          </w:p>
        </w:tc>
      </w:tr>
      <w:tr w:rsidR="00E40564" w:rsidRPr="00E40564" w14:paraId="3FE65073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644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NODE_118.g3423.t1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4D6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PHI:3914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89C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Sdh1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AE0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Parastagonospora_nodorum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EDE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C3A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succinate-semialdehyde dehydrogenase (NADP+)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B61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Aldehyde dehydrogenase, C-terminal</w:t>
            </w:r>
          </w:p>
        </w:tc>
      </w:tr>
      <w:tr w:rsidR="00E40564" w:rsidRPr="00E40564" w14:paraId="1194CDED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246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NODE_121.g3503.t1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F22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PHI:8858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1DA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VdSSEP1_(VDAG-08100)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6FE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Verticillium_dahliae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ECF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EB0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Minor extracellular protease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vpr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014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Peptidase S8/S53 domain</w:t>
            </w:r>
          </w:p>
        </w:tc>
      </w:tr>
      <w:tr w:rsidR="00E40564" w:rsidRPr="00E40564" w14:paraId="7537F7B3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C6C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NODE_121.g3504.t1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A2C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PHI:2920__PHI:9074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26E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FET3-1__fet3-1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427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Colletotrichum_graminicola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A0E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BD6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Laccase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E45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Multicopper oxidase, type 2</w:t>
            </w:r>
          </w:p>
        </w:tc>
      </w:tr>
      <w:tr w:rsidR="00E40564" w:rsidRPr="00E40564" w14:paraId="0F6F3DF9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8D0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NODE_122.g13452.t1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414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PHI:8037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09E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Fvlds1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614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Fusarium_verticillioides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6E0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05B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BFJ69_g6430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6C1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Haem peroxidase superfamily</w:t>
            </w:r>
          </w:p>
        </w:tc>
      </w:tr>
      <w:tr w:rsidR="00E40564" w:rsidRPr="00E40564" w14:paraId="7843FA52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3E2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NODE_122.g3508.t1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C0C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6A6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SPM1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E2E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A5B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2EB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Alkaline proteinase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3F1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Peptidase S8/S53 domain</w:t>
            </w:r>
          </w:p>
        </w:tc>
      </w:tr>
      <w:tr w:rsidR="00E40564" w:rsidRPr="00E40564" w14:paraId="3159E8F0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243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NODE_126.g13618.t1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E2C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6D2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FGRRES_16221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17C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35D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FE3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BFJ69_g6466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F7F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integral membrane protein</w:t>
            </w:r>
          </w:p>
        </w:tc>
      </w:tr>
      <w:tr w:rsidR="00E40564" w:rsidRPr="00E40564" w14:paraId="123BE215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19D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NODE_131.g13830.t1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91C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EB2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katG2_(FGSG_12369)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A2F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CF8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045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catalase-peroxidase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D5A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Haem peroxidase</w:t>
            </w:r>
          </w:p>
        </w:tc>
      </w:tr>
      <w:tr w:rsidR="00E40564" w:rsidRPr="00E40564" w14:paraId="3D9BFB3B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F4C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NODE_131.g13839.t1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61A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75A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ADE5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F7A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06B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02F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FOXG_10535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493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Phosphoribosylglycinamide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synthetase, C-domain</w:t>
            </w:r>
          </w:p>
        </w:tc>
      </w:tr>
      <w:tr w:rsidR="00E40564" w:rsidRPr="00E40564" w14:paraId="58C8ADB4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D30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NODE_135.g13955.t1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E5F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1B2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D91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Nectria_haematococca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A99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9B3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pectate lyase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5DC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Pectate lyase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PlyH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/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PlyE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-like</w:t>
            </w:r>
          </w:p>
        </w:tc>
      </w:tr>
      <w:tr w:rsidR="00E40564" w:rsidRPr="00E40564" w14:paraId="17BCD82C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A96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NODE_135.g13958.t1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EA0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9E5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MoSFl1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C90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AFD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CD2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BFJ65_g11160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442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Heat shock factor (HSF)-type, DNA-binding</w:t>
            </w:r>
          </w:p>
        </w:tc>
      </w:tr>
      <w:tr w:rsidR="00E40564" w:rsidRPr="00E40564" w14:paraId="37FC5C65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C13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NODE_135.g3794.t1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1B6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PHI:5068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B9C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MCC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D6D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1EF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BA0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Pyruvate carboxylase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7A2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Pyruvate carboxylase</w:t>
            </w:r>
          </w:p>
        </w:tc>
      </w:tr>
      <w:tr w:rsidR="00E40564" w:rsidRPr="00E40564" w14:paraId="4FDF3C02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53B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NODE_136.g14003.t1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DF0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0A0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GzHMG002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6DE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88A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2F1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BFJ71_g7230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00B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High mobility group box domain</w:t>
            </w:r>
          </w:p>
        </w:tc>
      </w:tr>
      <w:tr w:rsidR="00E40564" w:rsidRPr="00E40564" w14:paraId="228F9127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016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14.g638.t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9CB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F41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PELD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489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Nectria_haematococca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412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C0B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Putative pectate lyase F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26F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Pectate lyase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PlyH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/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PlyE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-like</w:t>
            </w:r>
          </w:p>
        </w:tc>
      </w:tr>
      <w:tr w:rsidR="00E40564" w:rsidRPr="00E40564" w14:paraId="0F9F84BB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457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14.g646.t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6D8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PHI:5393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92C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B15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Fusarium_oxysporum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4D6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0B6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FOCG_08422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8E5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Glyoxal oxidase, N-terminal</w:t>
            </w:r>
          </w:p>
        </w:tc>
      </w:tr>
      <w:tr w:rsidR="00E40564" w:rsidRPr="00E40564" w14:paraId="14952A15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C27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NODE_143.g14261.t1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227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PHI:4491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74A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SHM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8F7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F0F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5C3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serine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hydroxymethyltransferase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, mitochondrial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EA3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Serine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hydroxymethyltransferase</w:t>
            </w:r>
            <w:proofErr w:type="spellEnd"/>
          </w:p>
        </w:tc>
      </w:tr>
      <w:tr w:rsidR="00E40564" w:rsidRPr="00E40564" w14:paraId="3C59FBA0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22E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NODE_146.g14329.t1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9F0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PHI:1188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C8B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(Sc_Sak1)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703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CB1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0F4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CAMKK protein kinase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ADF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domain-CAMKK</w:t>
            </w:r>
          </w:p>
        </w:tc>
      </w:tr>
      <w:tr w:rsidR="00E40564" w:rsidRPr="00E40564" w14:paraId="170552EA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F36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NODE_147.g14377.t1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AA4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PHI:1641__PHI:2434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328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FgFlbA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184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359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336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FOXG_08482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DEA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RGS domain</w:t>
            </w:r>
          </w:p>
        </w:tc>
      </w:tr>
      <w:tr w:rsidR="00E40564" w:rsidRPr="00E40564" w14:paraId="5BD5E49A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9A1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NODE_160.g4261.t1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88A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PHI:1093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154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FGSG_02077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737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EC3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502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uncharacterized protein FMAN_11213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745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CFEM domain</w:t>
            </w:r>
          </w:p>
        </w:tc>
      </w:tr>
      <w:tr w:rsidR="00E40564" w:rsidRPr="00E40564" w14:paraId="10F6594A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CE3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NODE_166.g14923.t1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4F3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3AD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MGG_04582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0AC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F80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749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Putative beta-glucosidase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btgE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BB3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 superfamily</w:t>
            </w:r>
          </w:p>
        </w:tc>
      </w:tr>
      <w:tr w:rsidR="00E40564" w:rsidRPr="00E40564" w14:paraId="36CFB764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238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NODE_180.g4632.t1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D6D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41F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(Sc_Sat4)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43C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097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2FF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HAL protein kinase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E10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Protein kinase domain-HAL </w:t>
            </w:r>
          </w:p>
        </w:tc>
      </w:tr>
      <w:tr w:rsidR="00E40564" w:rsidRPr="00E40564" w14:paraId="4931124B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35E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NODE_181.g4638.t1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5F5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766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FgLAI12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5FB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855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F5C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FOMG_17002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FD6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Haem peroxidase superfamily</w:t>
            </w:r>
          </w:p>
        </w:tc>
      </w:tr>
      <w:tr w:rsidR="00E40564" w:rsidRPr="00E40564" w14:paraId="72BCAA7E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9CF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NODE_211.g5124.t1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81C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853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MoLys2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35C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D06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EE7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L-2-aminoadipate reductase large subunit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063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L-2-aminoadipate reductase</w:t>
            </w:r>
          </w:p>
        </w:tc>
      </w:tr>
      <w:tr w:rsidR="00E40564" w:rsidRPr="00E40564" w14:paraId="3B4E628A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870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NODE_235.g5493.t1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FD0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C05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SQL2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EE4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96C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DFC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FOIG_07922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F28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guanine-nucleotide exchange factors catalytic domain (Ras-GTPase)</w:t>
            </w:r>
          </w:p>
        </w:tc>
      </w:tr>
      <w:tr w:rsidR="00E40564" w:rsidRPr="00E40564" w14:paraId="239C4E69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09C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NODE_238.g5556.t1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A8E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PHI:7143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73B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FvCYP1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3C1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Fusarium_verticillioides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3D8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AD8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Peptidyl-prolyl cis-trans isomerase, mitochondrial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D81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Cyclophilin-type peptidyl-prolyl cis-trans isomerase domain</w:t>
            </w:r>
          </w:p>
        </w:tc>
      </w:tr>
      <w:tr w:rsidR="00E40564" w:rsidRPr="00E40564" w14:paraId="421E1D8E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CF2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NODE_244.g15881.t1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460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A1D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EMP1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197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765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DE5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BFJ65_g720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D87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glycosyl-phosphatidyl-inositol-anchored membrane family (GPI)</w:t>
            </w:r>
          </w:p>
        </w:tc>
      </w:tr>
      <w:tr w:rsidR="00E40564" w:rsidRPr="00E40564" w14:paraId="04E216D6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AD4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26.g1114.t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245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8D4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MoLys2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9F6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44D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761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BFJ65_g3552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968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AMP-dependent synthetase/ligase</w:t>
            </w:r>
          </w:p>
        </w:tc>
      </w:tr>
      <w:tr w:rsidR="00E40564" w:rsidRPr="00E40564" w14:paraId="2EE03967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B60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NODE_260.g5879.t1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23C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PHI:1382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5F3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GzC2H045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67B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FA4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7C5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BFJ66_g7086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B83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 C2H2-type</w:t>
            </w:r>
          </w:p>
        </w:tc>
      </w:tr>
      <w:tr w:rsidR="00E40564" w:rsidRPr="00E40564" w14:paraId="3B244AAD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DDF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NODE_262.g5900.t1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136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A1E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purL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_(Dda3937_03379)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9B5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Dickeya_dadantii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4DE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47F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Phosphoribosylformylglycinamidine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synthase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DA8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Phosphoribosylformylglycinamidine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synthase, N-terminal</w:t>
            </w:r>
          </w:p>
        </w:tc>
      </w:tr>
      <w:tr w:rsidR="00E40564" w:rsidRPr="00E40564" w14:paraId="09CDCFFA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911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NODE_270.g6015.t1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C25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PHI:1090__PHI:1163__PHI:3893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A39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FgEBR1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370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3F0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5C9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FOC1_g10012848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E82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Zn (2)-C6 fungal-type DNA-binding domain superfamily</w:t>
            </w:r>
          </w:p>
        </w:tc>
      </w:tr>
      <w:tr w:rsidR="00E40564" w:rsidRPr="00E40564" w14:paraId="2D0ADED7" w14:textId="77777777" w:rsidTr="00AC71A0">
        <w:trPr>
          <w:trHeight w:val="204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591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NODE_273.g6061.t1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058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BFA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nrc-2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E2B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F11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81A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AGC/RSK/RSK-UNCLASSIFIED protein kinase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BBE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domain-AGC</w:t>
            </w:r>
          </w:p>
        </w:tc>
      </w:tr>
      <w:tr w:rsidR="00E40564" w:rsidRPr="00E40564" w14:paraId="7617BF2B" w14:textId="77777777" w:rsidTr="00AC71A0">
        <w:trPr>
          <w:trHeight w:val="204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9CC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lastRenderedPageBreak/>
              <w:t>NODE_279.g6151.t1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1F8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PHI:2058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7D9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LHS1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29B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765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190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probable heat shock protein 70 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26D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Heat shock protein 70 family</w:t>
            </w:r>
          </w:p>
        </w:tc>
      </w:tr>
      <w:tr w:rsidR="00E40564" w:rsidRPr="00E40564" w14:paraId="133A42CA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CB0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NODE_300.g6429.t1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E54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3DD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MGG_10702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312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BE9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B39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BFJ65_g12933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EC9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 superfamily</w:t>
            </w:r>
          </w:p>
        </w:tc>
      </w:tr>
      <w:tr w:rsidR="00E40564" w:rsidRPr="00E40564" w14:paraId="2A81CFED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0DA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NODE_303.g6449.t1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C54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BC7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UKC1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027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466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EB2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FPOA_00733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370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domain-AGC-kinase</w:t>
            </w:r>
          </w:p>
        </w:tc>
      </w:tr>
      <w:tr w:rsidR="00E40564" w:rsidRPr="00E40564" w14:paraId="5301AC91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7C6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NODE_315.g6612.t1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7C4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334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CBL1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B8B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AFA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869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cystathionine beta-lyase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592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Cys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/Met metabolism, pyridoxal phosphate-dependent enzyme</w:t>
            </w:r>
          </w:p>
        </w:tc>
      </w:tr>
      <w:tr w:rsidR="00E40564" w:rsidRPr="00E40564" w14:paraId="1ACFACFD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258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NODE_341.g6976.t1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456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PHI:382__PHI:2233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C9E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SMU1__Smu1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7DF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EE1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597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STE/STE20/PAKA protein kinase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3EA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E40564" w:rsidRPr="00E40564" w14:paraId="63BED10E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1B1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NODE_348.g7058.t1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D9A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161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endo-1_4-beta-xylanase_[GH10_family]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473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370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2C8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endoglucanase type F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4D7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 family 10 domain</w:t>
            </w:r>
          </w:p>
        </w:tc>
      </w:tr>
      <w:tr w:rsidR="00E40564" w:rsidRPr="00E40564" w14:paraId="47A20501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E59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36.g1409.t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CEF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PHI:5068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6A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MCC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92A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6A3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2C4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probable acetyl-CoA carboxylase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822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Acetyl-CoA carboxylase, central domain</w:t>
            </w:r>
          </w:p>
        </w:tc>
      </w:tr>
      <w:tr w:rsidR="00E40564" w:rsidRPr="00E40564" w14:paraId="5D32467E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C91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NODE_364.g7273.t1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178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868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ICL1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1BC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0A2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022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isocitrate lyase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F5D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Isocitrate lyase</w:t>
            </w:r>
          </w:p>
        </w:tc>
      </w:tr>
      <w:tr w:rsidR="00E40564" w:rsidRPr="00E40564" w14:paraId="70B6B681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469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NODE_370.g7338.t1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ABA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PHI:2240__PHI:4586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35E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Srt1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D20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709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3C5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Maltose permease MAL61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FBB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facilitator, sugar transporter-like</w:t>
            </w:r>
          </w:p>
        </w:tc>
      </w:tr>
      <w:tr w:rsidR="00E40564" w:rsidRPr="00E40564" w14:paraId="0D231E30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6C0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NODE_407.g7776.t1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F11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PHI:3973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705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B9C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Colletotrichum_gloeosporioides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521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3DE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FOXG_16638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C94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Aspartic peptidase A1 family</w:t>
            </w:r>
          </w:p>
        </w:tc>
      </w:tr>
      <w:tr w:rsidR="00E40564" w:rsidRPr="00E40564" w14:paraId="68A12099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C60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NODE_407.g7784.t1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6D1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PHI:2976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BDB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CgOPT1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A4F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Colletotrichum_gloeosporioides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6EC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AAB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Oligopeptide transporter 3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2F1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Oligopeptide transporter, OPT superfamily</w:t>
            </w:r>
          </w:p>
        </w:tc>
      </w:tr>
      <w:tr w:rsidR="00E40564" w:rsidRPr="00E40564" w14:paraId="1870DA49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78B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NODE_451.g8245.t1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6E0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PHI:7281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A096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PsINV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FF8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Puccinia_striiformis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881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638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acid beta-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fructofuranosidase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precursor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053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hydrolase, family 32</w:t>
            </w:r>
          </w:p>
        </w:tc>
      </w:tr>
      <w:tr w:rsidR="00E40564" w:rsidRPr="00E40564" w14:paraId="4529E8A4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EB2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NODE_458.g8310.t1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04D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PHI:7741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7A4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FreB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FAC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Verticillium_dahliae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DAF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09B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FOCG_09313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C9B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Ferric reductase, NAD binding domain</w:t>
            </w:r>
          </w:p>
        </w:tc>
      </w:tr>
      <w:tr w:rsidR="00E40564" w:rsidRPr="00E40564" w14:paraId="64C93641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A4C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48.g1739.t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784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292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Spe-Sdh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D1A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B42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77D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spermidine synthase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0D6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Spermidine/spermine synthases</w:t>
            </w:r>
          </w:p>
        </w:tc>
      </w:tr>
      <w:tr w:rsidR="00E40564" w:rsidRPr="00E40564" w14:paraId="3D25D7A0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55E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NODE_493.g8684.t1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1CD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PHI:2240__PHI:4586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439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Srt1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8EA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E52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CBE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Putative quinate permease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837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facilitator, sugar transporter-like</w:t>
            </w:r>
          </w:p>
        </w:tc>
      </w:tr>
      <w:tr w:rsidR="00E40564" w:rsidRPr="00E40564" w14:paraId="3A0126A7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F0D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NODE_509.g8836.t1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282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DF2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GzC2H047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935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397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6C8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FOXG_01756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A99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 C2H2-type</w:t>
            </w:r>
          </w:p>
        </w:tc>
      </w:tr>
      <w:tr w:rsidR="00E40564" w:rsidRPr="00E40564" w14:paraId="2DFD0FD6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A70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NODE_526.g8974.t1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0FD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2DE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MGG_04556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DFD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F3E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D8B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BFJ69_g1507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A37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Polyketide synthase,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enoylreductase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E40564" w:rsidRPr="00E40564" w14:paraId="3FEEE651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504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NODE_540.g9103.t1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448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PHI:5826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CFB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GIV4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A5C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C9D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05D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FOC1_g10003508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F74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integral membrane protein</w:t>
            </w:r>
          </w:p>
        </w:tc>
      </w:tr>
      <w:tr w:rsidR="00E40564" w:rsidRPr="00E40564" w14:paraId="552F7E99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84D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NODE_544.g9152.t1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4C7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PHI:2351__PHI:2353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86A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AMT1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227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037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590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probable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hnRNP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arginine N-methyltransferase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549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arginine N-methyltransferase</w:t>
            </w:r>
          </w:p>
        </w:tc>
      </w:tr>
      <w:tr w:rsidR="00E40564" w:rsidRPr="00E40564" w14:paraId="52002AF5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879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56.g1959.t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1AF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877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ODC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EB5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Parastagonospora_nodorum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C76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F57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ornithine decarboxylase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B1E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Orn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/DAP/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Arg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decarboxylase 2, C-terminal</w:t>
            </w:r>
          </w:p>
        </w:tc>
      </w:tr>
      <w:tr w:rsidR="00E40564" w:rsidRPr="00E40564" w14:paraId="4C76334C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E7D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NODE_566.g9354.t1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55E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620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PTH11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925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BC2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954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BFJ65_g17320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D93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Carbohydrate-binding,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CenC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-like</w:t>
            </w:r>
          </w:p>
        </w:tc>
      </w:tr>
      <w:tr w:rsidR="00E40564" w:rsidRPr="00E40564" w14:paraId="5AC12FE4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C63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NODE_592.g9595.t1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3E5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PHI:2921__PHI:9075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9FB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FET3-2__fet3-2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2E7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Colletotrichum_graminicola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FA3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2DA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FOCG_01584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657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Multicopper oxidase, type 2</w:t>
            </w:r>
          </w:p>
        </w:tc>
      </w:tr>
      <w:tr w:rsidR="00E40564" w:rsidRPr="00E40564" w14:paraId="0DA42FBF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175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NODE_611.g9752.t1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4D4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PHI:1209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B99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FGSG_04770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092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10D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66B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BFJ70_g4924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475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E40564" w:rsidRPr="00E40564" w14:paraId="7ADFADB1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57C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NODE_617.g9818.t1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394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ED1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Pcipg2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BA8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Phytophthora_capsici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0D8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0CA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putative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exopolygalacturonase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X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FC6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hydrolase, family 28</w:t>
            </w:r>
          </w:p>
        </w:tc>
      </w:tr>
      <w:tr w:rsidR="00E40564" w:rsidRPr="00E40564" w14:paraId="3EBB7A0D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5AE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62.g2116.t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688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PHI:8646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E31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FgLDHL2_(FGSG_16220)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0AF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C4D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981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L-lactate dehydrogenase (cytochrome)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98D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Cytochrome b5-like heme/steroid binding domain</w:t>
            </w:r>
          </w:p>
        </w:tc>
      </w:tr>
      <w:tr w:rsidR="00E40564" w:rsidRPr="00E40564" w14:paraId="079F1008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078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NODE_630.g9918.t1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D3B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DF8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FGSG_00792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262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EC0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A3E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CAMK/CAMKL/KIN4 protein kinase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FEC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domain-CAMK/CAMKL/KIN4 protein kinase</w:t>
            </w:r>
          </w:p>
        </w:tc>
      </w:tr>
      <w:tr w:rsidR="00E40564" w:rsidRPr="00E40564" w14:paraId="2082858C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C06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NODE_661.g10166.t1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CDF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PHI:3816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872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GSN1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56B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5E4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8AE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glycogen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E04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Glycogen synthase</w:t>
            </w:r>
          </w:p>
        </w:tc>
      </w:tr>
      <w:tr w:rsidR="00E40564" w:rsidRPr="00E40564" w14:paraId="6341783D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1FB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NODE_664.g10193.t1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200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PHI:6261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362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PsAAT3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BFE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Phytophthora_sojae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CD5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673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aspartate aminotransferase, mitochondrial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1A5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Aspartate/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other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aminotransferase</w:t>
            </w:r>
          </w:p>
        </w:tc>
      </w:tr>
      <w:tr w:rsidR="00E40564" w:rsidRPr="00E40564" w14:paraId="7C92767D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B22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NODE_684.g10350.t1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1F0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PHI:5480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D9C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MoPyr5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F5D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177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17D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orotate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phosphoribosyltransferase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E85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Phosphoribosyltransferase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E40564" w:rsidRPr="00E40564" w14:paraId="029C3586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9E6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NODE_706.g10510.t1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E58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PHI:1422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6B0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GzC2H090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5A8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0AB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08B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BFJ69_g14025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E55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Dual specificity protein phosphatase domain</w:t>
            </w:r>
          </w:p>
        </w:tc>
      </w:tr>
      <w:tr w:rsidR="00E40564" w:rsidRPr="00E40564" w14:paraId="4F162C6B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F82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74.g2420.t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929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PHI:4658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771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FgHXK1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03A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E40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A98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Hexokinase-1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506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Hexokinase, N-terminal</w:t>
            </w:r>
          </w:p>
        </w:tc>
      </w:tr>
      <w:tr w:rsidR="00E40564" w:rsidRPr="00E40564" w14:paraId="4C0388B9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F1E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74.g2421.t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9CA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PHI:5472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ABC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MoDeam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F91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B9C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B38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Glucosamine-6-phosphate isomerase 1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CF9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Glucosamine-6-phosphate isomerase</w:t>
            </w:r>
          </w:p>
        </w:tc>
      </w:tr>
      <w:tr w:rsidR="00E40564" w:rsidRPr="00E40564" w14:paraId="058E63DD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110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NODE_801.g11185.t1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072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B74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FGRRES_16221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4E3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969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C2B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FOCG_11444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39A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Cation/H+ exchanger</w:t>
            </w:r>
          </w:p>
        </w:tc>
      </w:tr>
      <w:tr w:rsidR="00E40564" w:rsidRPr="00E40564" w14:paraId="7CDD4752" w14:textId="77777777" w:rsidTr="00AC71A0">
        <w:trPr>
          <w:trHeight w:val="204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C9C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NODE_804.g11207.t1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F0B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PHI:2432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EF7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FgRgsA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E24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720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AE3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BFJ71_g14823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957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RGS domain superfamily</w:t>
            </w:r>
          </w:p>
        </w:tc>
      </w:tr>
      <w:tr w:rsidR="00E40564" w:rsidRPr="00E40564" w14:paraId="6E2E5ADC" w14:textId="77777777" w:rsidTr="00AC71A0">
        <w:trPr>
          <w:trHeight w:val="204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203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lastRenderedPageBreak/>
              <w:t>NODE_852.g11557.t1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52A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79C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Peroxisomal_copper_amine_oxidase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7CD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259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F77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Peroxisomal primary amine oxidase 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4F2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Copper amine oxidase, N3-terminal</w:t>
            </w:r>
          </w:p>
        </w:tc>
      </w:tr>
      <w:tr w:rsidR="00E40564" w:rsidRPr="00E40564" w14:paraId="7FFA091A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9AC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NODE_877.g11700.t1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19F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PHI:2240__PHI:4586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B42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Srt1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287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3C9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0F8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MFS transporter, SP family, general alpha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glucoside:H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+ symporter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4B8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facilitator, sugar transporter-like</w:t>
            </w:r>
          </w:p>
        </w:tc>
      </w:tr>
      <w:tr w:rsidR="00E40564" w:rsidRPr="00E40564" w14:paraId="74CEC866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17E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NODE_930.g12005.t1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546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0E6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FvSCP1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D80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Fusarium_verticillioides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E82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D97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Protein PRY1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AEB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Allergen V5/Tpx-1-related, conserved site</w:t>
            </w:r>
          </w:p>
        </w:tc>
      </w:tr>
      <w:tr w:rsidR="00E40564" w:rsidRPr="00E40564" w14:paraId="29210448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EA4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NODE_937.g12042.t1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EED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FB9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VdSkn7_(VDAG_02250)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32D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Verticillium_dahliae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36A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278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FOXG_08113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EF2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Heat shock factor (HSF)-type, DNA-binding</w:t>
            </w:r>
          </w:p>
        </w:tc>
      </w:tr>
      <w:tr w:rsidR="00E40564" w:rsidRPr="00E40564" w14:paraId="590334EB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0D9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NODE_953.g12125.t1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D54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PHI:7173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285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HiC-15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3F4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Verticillium_dahliae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F87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6C4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BFJ70_g17240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120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Cytochrome P450</w:t>
            </w:r>
          </w:p>
        </w:tc>
      </w:tr>
      <w:tr w:rsidR="00E40564" w:rsidRPr="00E40564" w14:paraId="0DE74A3F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FE0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DN10792_c0_g1_i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1.g14344.t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1B0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PHI:8753__PHI:8806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C15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MoChia1_(MGG_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08054)_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_MoChi1_(MGG_08054)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2D9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7F7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36B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chitinase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408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 family 18, catalytic domain</w:t>
            </w:r>
          </w:p>
        </w:tc>
      </w:tr>
      <w:tr w:rsidR="00E40564" w:rsidRPr="00E40564" w14:paraId="0196A240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062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DN1099_c0_g1_i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3.g12518.t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4FD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F74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MoGIS2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F2A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CF6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AC9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cellular nucleic acid-binding protein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CE3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finger, CCHC-type</w:t>
            </w:r>
          </w:p>
        </w:tc>
      </w:tr>
      <w:tr w:rsidR="00E40564" w:rsidRPr="00E40564" w14:paraId="5EC954E8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2B8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DN11486_c0_g1_i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1.g22387.t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597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PHI:7194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647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WISH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01D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2D6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DCC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BFJ71_g5446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648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E40564" w:rsidRPr="00E40564" w14:paraId="62A585A0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2EC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DN12051_c0_g1_i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1.g25002.t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112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2FF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(Sc_Sat4)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4F8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DED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587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BFJ68_g10659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BBA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E40564" w:rsidRPr="00E40564" w14:paraId="29BED3BB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3F7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DN12928_c0_g1_i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1.g17060.t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7B9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5B1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EB3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Nectria_haematococca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264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12F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pectate lyase 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394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Pectate lyase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PlyH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/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PlyE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-like</w:t>
            </w:r>
          </w:p>
        </w:tc>
      </w:tr>
      <w:tr w:rsidR="00E40564" w:rsidRPr="00E40564" w14:paraId="7DE53DA3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6C7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DN14440_c0_g1_i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1.g6409.t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38F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5CB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PELB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964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Colletotrichum_gloeosporioides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B5D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662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probable pectate lyase 1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9B5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Pectate lyase</w:t>
            </w:r>
          </w:p>
        </w:tc>
      </w:tr>
      <w:tr w:rsidR="00E40564" w:rsidRPr="00E40564" w14:paraId="5E160161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83E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DN14830_c0_g1_i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1.g1783.t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587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PHI:1641__PHI:2434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7AE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FgFlbA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619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5CF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1C0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Developmental regulator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flbA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AC7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RGS domain</w:t>
            </w:r>
          </w:p>
        </w:tc>
      </w:tr>
      <w:tr w:rsidR="00E40564" w:rsidRPr="00E40564" w14:paraId="3CCC1C97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C50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DN14875_c0_g1_i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1.g1799.t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486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6D5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AOX1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496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Passalora_fulva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B18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771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alcohol oxidase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73A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Glucose-methanol-choline oxidoreductase, C-terminal</w:t>
            </w:r>
          </w:p>
        </w:tc>
      </w:tr>
      <w:tr w:rsidR="00E40564" w:rsidRPr="00E40564" w14:paraId="182C3CCF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A7A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DN16882_c0_g1_i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1.g17133.t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2AA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394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MoLys2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7F9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5DB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B5D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L-aminoadipate-semialdehyde dehydrogenase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68D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AMP-dependent synthetase/ligase</w:t>
            </w:r>
          </w:p>
        </w:tc>
      </w:tr>
      <w:tr w:rsidR="00E40564" w:rsidRPr="00E40564" w14:paraId="6E7B7ADF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862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DN1845_c0_g1_i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1.g8290.t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2FE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B7A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MoGIS2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FEC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E21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AFB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related to hexamer-binding protein HEXBP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3EF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finger, CCHC-type</w:t>
            </w:r>
          </w:p>
        </w:tc>
      </w:tr>
      <w:tr w:rsidR="00E40564" w:rsidRPr="00E40564" w14:paraId="7B78D85E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A1A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DN21448_c0_g1_i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1.g24394.t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E85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PHI:7651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602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FgPR-IL-4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04F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A20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2EB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FOXG_09795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3CB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Golgi-associated plant pathogenesis-related protein 1, SCP domain</w:t>
            </w:r>
          </w:p>
        </w:tc>
      </w:tr>
      <w:tr w:rsidR="00E40564" w:rsidRPr="00E40564" w14:paraId="214E5518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835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DN22050_c0_g1_i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1.g12132.t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576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F59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MoHox4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458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10E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6B1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BFJ68_g12493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B85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PTP type protein phosphatase</w:t>
            </w:r>
          </w:p>
        </w:tc>
      </w:tr>
      <w:tr w:rsidR="00E40564" w:rsidRPr="00E40564" w14:paraId="47A6A749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46B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DN240_c0_g1_i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7.g53575.t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DCB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FFD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GzC2H007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02B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335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A36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FOTG_08741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06C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Zinc finger C2H2-type</w:t>
            </w:r>
          </w:p>
        </w:tc>
      </w:tr>
      <w:tr w:rsidR="00E40564" w:rsidRPr="00E40564" w14:paraId="7615B676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79E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DN3037_c0_g1_i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1.g494.t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743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PHI:2911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D97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Ss-pth2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82C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Sclerotinia_sclerotiorum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746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FC5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Putative mitochondrial carnitine O-acetyltransferase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718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Choline/carnitine acyltransferase domain</w:t>
            </w:r>
          </w:p>
        </w:tc>
      </w:tr>
      <w:tr w:rsidR="00E40564" w:rsidRPr="00E40564" w14:paraId="5E2D6CC0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CC5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DN3427_c0_g1_i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1.g22725.t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3E9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96F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FDB2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94D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DEE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40F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fatty acid synthase subunit beta, fungi type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707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Fatty acid synthase</w:t>
            </w:r>
          </w:p>
        </w:tc>
      </w:tr>
      <w:tr w:rsidR="00E40564" w:rsidRPr="00E40564" w14:paraId="426B10D8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E97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DN3858_c0_g1_i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1.g24643.t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C99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PHI:6594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F73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carA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731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Pseudomonas_syringae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F95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5D5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Protein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pyrABCN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707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Carbamoyl-phosphate synthase large subunit,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CPSase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E40564" w:rsidRPr="00E40564" w14:paraId="7BC1B777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0E3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DN6092_c0_g1_i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1.g4240.t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B48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FA6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482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Nectria_haematococca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7D4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D69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BFJ65_g13903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823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Pectate lyase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PlyH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/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PlyE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-like</w:t>
            </w:r>
          </w:p>
        </w:tc>
      </w:tr>
      <w:tr w:rsidR="00E40564" w:rsidRPr="00E40564" w14:paraId="02EBD949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415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DN6672_c0_g1_i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3.g4829.t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BE2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42B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AreA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60C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Fusarium_oxysporum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298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165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Nitrogen regulatory protein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areA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B9D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Nitrogen regulatory protein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areA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, GATA-like domain</w:t>
            </w:r>
          </w:p>
        </w:tc>
      </w:tr>
      <w:tr w:rsidR="00E40564" w:rsidRPr="00E40564" w14:paraId="6F57EA0E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670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DN7_c0_g1_i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1.g11254.t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BF5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A15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HEX1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183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C3C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B1C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BFJ69_g10702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2A5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Hex1, S1 domain</w:t>
            </w:r>
          </w:p>
        </w:tc>
      </w:tr>
      <w:tr w:rsidR="00E40564" w:rsidRPr="00E40564" w14:paraId="1B3E1E33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04B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DN7808_c0_g1_i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2.g20895.t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959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PHI:1917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730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GzZC232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AD5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A07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035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Transcriptional regulatory protein pro-1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632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Zn (2)-C6 fungal-type DNA-binding domain</w:t>
            </w:r>
          </w:p>
        </w:tc>
      </w:tr>
      <w:tr w:rsidR="00E40564" w:rsidRPr="00E40564" w14:paraId="4A367E44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392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DN829_c0_g1_i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3.g25626.t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A67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PHI:8924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15C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FgPLD1_(FGSG_09917)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DC7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A58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1B2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Phospholipase D1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DC0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Phospholipase D/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Transphosphatidylase</w:t>
            </w:r>
            <w:proofErr w:type="spellEnd"/>
          </w:p>
        </w:tc>
      </w:tr>
      <w:tr w:rsidR="00E40564" w:rsidRPr="00E40564" w14:paraId="55EBF86D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E29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DN8509_c0_g1_i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1.g19857.t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F70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98A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MoLYS20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672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D1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162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Homocitrate synthase, mitochondrial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3B0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Pyruvate carboxyltransferase</w:t>
            </w:r>
          </w:p>
        </w:tc>
      </w:tr>
      <w:tr w:rsidR="00E40564" w:rsidRPr="00E40564" w14:paraId="29C96F22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48D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DN895_c0_g1_i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1.g25451.t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02E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2FB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MoPRX1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14A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AD2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4EE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probable PRX1-mitochondrial isoform of thioredoxin peroxidase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451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Alkyl hydroperoxide reductase subunit C/ Thiol specific antioxidant</w:t>
            </w:r>
          </w:p>
        </w:tc>
      </w:tr>
      <w:tr w:rsidR="00E40564" w:rsidRPr="00E40564" w14:paraId="7873E205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401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DN912_c0_g1_i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1.g4102.t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C34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PHI:3945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ECC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XC_2203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8FD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Xanthomonas_campestris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2D7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A39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Nucleoside diphosphate kinase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DFB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Nucleoside diphosphate kinase</w:t>
            </w:r>
          </w:p>
        </w:tc>
      </w:tr>
      <w:tr w:rsidR="00E40564" w:rsidRPr="00E40564" w14:paraId="537878F8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D8E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DN930_c1_g1_i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1.g3810.t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A56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PHI:5471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377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MoDac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B2A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B14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8C0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Putative N-acetylglucosamine-6-phosphate deacetylase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206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N-acetylglucosamine-6-phosphate deacetylase</w:t>
            </w:r>
          </w:p>
        </w:tc>
      </w:tr>
      <w:tr w:rsidR="00E40564" w:rsidRPr="00E40564" w14:paraId="447C65C7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A29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NODE_350.g7094.t1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C5F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3EC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ACC_deaminase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_(VDAG_10392)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E17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Verticillium_dahliae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656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EBB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putative 1-aminocyclopropane-1-carboxylate deaminase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E0D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1-aminocyclopropane-1-carboxylate deaminase</w:t>
            </w:r>
          </w:p>
        </w:tc>
      </w:tr>
      <w:tr w:rsidR="00E40564" w:rsidRPr="00E40564" w14:paraId="3A417501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517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NODE_434.g8073.t1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473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PHI:2315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3FC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ChLae1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7D6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Bipolaris_maydis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9BA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007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FOXG_13466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573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S-adenosyl-L-methionine-dependent methyltransferase</w:t>
            </w:r>
          </w:p>
        </w:tc>
      </w:tr>
      <w:tr w:rsidR="00E40564" w:rsidRPr="00E40564" w14:paraId="15DEDB4A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7EA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NODE_556.g9273.t1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BDF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PHI:2364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526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tom1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BAB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Fusarium_oxysporum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1B9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DF5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endo-1,4-beta-xylanase C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611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 family 10 domain</w:t>
            </w:r>
          </w:p>
        </w:tc>
      </w:tr>
      <w:tr w:rsidR="00E40564" w:rsidRPr="00E40564" w14:paraId="301D6C84" w14:textId="77777777" w:rsidTr="00AC71A0">
        <w:trPr>
          <w:trHeight w:val="204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610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NODE_600.g9660.t1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22E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PHI:1335__PHI:3110__PHI:3</w:t>
            </w: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lastRenderedPageBreak/>
              <w:t>808__PHI:4244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D2F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lastRenderedPageBreak/>
              <w:t>GzbZIP017__FgATF1__Atf1__FgOS-2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CF1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169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A76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BFJ71_g13304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E5C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bZIP_ATF2</w:t>
            </w:r>
          </w:p>
        </w:tc>
      </w:tr>
      <w:tr w:rsidR="00E40564" w:rsidRPr="00E40564" w14:paraId="699CE27B" w14:textId="77777777" w:rsidTr="00AC71A0">
        <w:trPr>
          <w:trHeight w:val="204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D56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NODE_158.g4225.t1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94E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PHI:1200__PHI:4587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3CA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(Gsk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3)_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_Fgk3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D19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A8E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B8D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Calcium-dependent protein kinase 4 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3E8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Protein kinase domain</w:t>
            </w:r>
          </w:p>
        </w:tc>
      </w:tr>
      <w:tr w:rsidR="00E40564" w:rsidRPr="00E40564" w14:paraId="5CFD9778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800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NODE_208.g5090.t1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0D6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PHI:2099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CF0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Pmc1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483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FF5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F61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Ca2+-transporting ATPase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946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P-type ATPase, subfamily IIB</w:t>
            </w:r>
          </w:p>
        </w:tc>
      </w:tr>
      <w:tr w:rsidR="00E40564" w:rsidRPr="00E40564" w14:paraId="447FB0BF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B9F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NODE_592.g9596.t1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739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PHI:526__PHI:1071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8F2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GAS1__Gas1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2F8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DA2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00E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BFJ71_g12101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C6B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 family 31</w:t>
            </w:r>
          </w:p>
        </w:tc>
      </w:tr>
      <w:tr w:rsidR="00E40564" w:rsidRPr="00E40564" w14:paraId="7F21B148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628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NODE_728.g10666.t1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D34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PHI:300__PHI:2826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2D3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FGB1__Fgb1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97A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Fusarium_oxysporum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F6F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6F1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guanine nucleotide-binding protein subunit beta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C8B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WD domain, G-beta repeat</w:t>
            </w:r>
          </w:p>
        </w:tc>
      </w:tr>
      <w:tr w:rsidR="00E40564" w:rsidRPr="00E40564" w14:paraId="59B6D0E4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010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NODE_106.g12698.t1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5CB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PHI:6259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6C9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DOHH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9DD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010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1A6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Deoxyhypusine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hydroxylase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A52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L-lysine intermediate to form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hypusine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eIF-5A factor</w:t>
            </w:r>
          </w:p>
        </w:tc>
      </w:tr>
      <w:tr w:rsidR="00E40564" w:rsidRPr="00E40564" w14:paraId="728E9822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AC5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NODE_136.g14014.t1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8CE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PHI:3089__PHI:4174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3B9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Fgac1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BB0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53E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C1B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Adenylate cyclase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ADC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Adenylate cyclase G-alpha binding (cAMP)</w:t>
            </w:r>
          </w:p>
        </w:tc>
      </w:tr>
      <w:tr w:rsidR="00E40564" w:rsidRPr="00E40564" w14:paraId="70C08C4C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341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NODE_234.g5487.t1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DA7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PHI:5450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53C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gdh2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1B3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Colletotrichum_gloeosporioides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D49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576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NAD-specific glutamate dehydrogenase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4E6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Glutamate/phenylalanine/leucine/valine dehydrogenase, C-terminal</w:t>
            </w:r>
          </w:p>
        </w:tc>
      </w:tr>
      <w:tr w:rsidR="00E40564" w:rsidRPr="00E40564" w14:paraId="20C6423D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395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7.g350.t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AB6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PHI:8939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847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ndh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_(PA4538)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731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Pseudomonas_aeruginosa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0DF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25F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BFJ66_g8830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F92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Pyridine nucleotide-disulphide oxidoreductase</w:t>
            </w:r>
          </w:p>
        </w:tc>
      </w:tr>
      <w:tr w:rsidR="00E40564" w:rsidRPr="00E40564" w14:paraId="34C11B20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E08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DN13425_c0_g1_i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1.g15307.t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322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PHI:7283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CD2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Pg1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E40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DE1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0F7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galacturan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1,4-alpha-galacturonidase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276C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hydrolase, family 28</w:t>
            </w:r>
          </w:p>
        </w:tc>
      </w:tr>
      <w:tr w:rsidR="00E40564" w:rsidRPr="00E40564" w14:paraId="5640A1B2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59A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DN6661_c0_g1_i</w:t>
            </w:r>
            <w:proofErr w:type="gram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1.g4823.t</w:t>
            </w:r>
            <w:proofErr w:type="gram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B934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PHI:7283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C473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Pg1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5156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16C0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9AA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endopolygalacturonase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PG2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609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hydrolase, family 28</w:t>
            </w:r>
          </w:p>
        </w:tc>
      </w:tr>
      <w:tr w:rsidR="00E40564" w:rsidRPr="00E40564" w14:paraId="6F98B387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0FA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NODE_681.g10326.t1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E895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PHI:7708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8C72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VEDA_05198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D5F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Verticillium_dahliae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5BCB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4647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hypothetical protein BFJ71_g9053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C8DF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Polyketide synthase,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enoylreductase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E40564" w:rsidRPr="00E40564" w14:paraId="10569637" w14:textId="77777777" w:rsidTr="00AC71A0">
        <w:trPr>
          <w:trHeight w:val="204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3BCD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NODE_807.g11226.t1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07C1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PHI:7706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609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VEDA_05196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3748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Verticillium_dahliae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B399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EABE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Efflux pump </w:t>
            </w:r>
            <w:proofErr w:type="spellStart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roqT</w:t>
            </w:r>
            <w:proofErr w:type="spellEnd"/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661A" w14:textId="77777777" w:rsidR="00E40564" w:rsidRPr="00E40564" w:rsidRDefault="00E40564" w:rsidP="00E40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E4056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 superfamily</w:t>
            </w:r>
          </w:p>
        </w:tc>
      </w:tr>
    </w:tbl>
    <w:p w14:paraId="71002332" w14:textId="77777777" w:rsidR="008B7A4A" w:rsidRDefault="008B7A4A"/>
    <w:sectPr w:rsidR="008B7A4A" w:rsidSect="00E40564">
      <w:footerReference w:type="default" r:id="rId10"/>
      <w:pgSz w:w="16838" w:h="11906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33944" w14:textId="77777777" w:rsidR="00E40564" w:rsidRDefault="00E40564" w:rsidP="00E40564">
      <w:pPr>
        <w:spacing w:after="0" w:line="240" w:lineRule="auto"/>
      </w:pPr>
      <w:r>
        <w:separator/>
      </w:r>
    </w:p>
  </w:endnote>
  <w:endnote w:type="continuationSeparator" w:id="0">
    <w:p w14:paraId="7C0CCA0D" w14:textId="77777777" w:rsidR="00E40564" w:rsidRDefault="00E40564" w:rsidP="00E40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5244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5F2FB3" w14:textId="2AC36790" w:rsidR="00E40564" w:rsidRDefault="00E405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BB7482" w14:textId="77777777" w:rsidR="00E40564" w:rsidRDefault="00E40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ABBA1" w14:textId="77777777" w:rsidR="00E40564" w:rsidRDefault="00E40564" w:rsidP="00E40564">
      <w:pPr>
        <w:spacing w:after="0" w:line="240" w:lineRule="auto"/>
      </w:pPr>
      <w:r>
        <w:separator/>
      </w:r>
    </w:p>
  </w:footnote>
  <w:footnote w:type="continuationSeparator" w:id="0">
    <w:p w14:paraId="523143EF" w14:textId="77777777" w:rsidR="00E40564" w:rsidRDefault="00E40564" w:rsidP="00E40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A0D47"/>
    <w:multiLevelType w:val="multilevel"/>
    <w:tmpl w:val="A84C206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82A55F1"/>
    <w:multiLevelType w:val="multilevel"/>
    <w:tmpl w:val="95789556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Chapter %2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1.6.1"/>
      <w:lvlJc w:val="left"/>
      <w:pPr>
        <w:ind w:left="426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suff w:val="nothing"/>
      <w:lvlText w:val="1.6.2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5"/>
      <w:suff w:val="nothing"/>
      <w:lvlText w:val="%6.6.2.2"/>
      <w:lvlJc w:val="left"/>
      <w:pPr>
        <w:ind w:left="71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4761E3B"/>
    <w:multiLevelType w:val="multilevel"/>
    <w:tmpl w:val="E0EA2F7E"/>
    <w:lvl w:ilvl="0">
      <w:start w:val="2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3" w15:restartNumberingAfterBreak="0">
    <w:nsid w:val="15951722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6311D6A"/>
    <w:multiLevelType w:val="hybridMultilevel"/>
    <w:tmpl w:val="01BA7E8A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D4FF7"/>
    <w:multiLevelType w:val="hybridMultilevel"/>
    <w:tmpl w:val="C0D66A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E7120"/>
    <w:multiLevelType w:val="multilevel"/>
    <w:tmpl w:val="7A9AD84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0410E9F"/>
    <w:multiLevelType w:val="hybridMultilevel"/>
    <w:tmpl w:val="C5A87282"/>
    <w:lvl w:ilvl="0" w:tplc="F3128A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45A1"/>
    <w:multiLevelType w:val="multilevel"/>
    <w:tmpl w:val="E5708B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AD30F3F"/>
    <w:multiLevelType w:val="multilevel"/>
    <w:tmpl w:val="30385362"/>
    <w:lvl w:ilvl="0">
      <w:start w:val="1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10" w15:restartNumberingAfterBreak="0">
    <w:nsid w:val="31000508"/>
    <w:multiLevelType w:val="multilevel"/>
    <w:tmpl w:val="41688F3C"/>
    <w:lvl w:ilvl="0">
      <w:start w:val="1"/>
      <w:numFmt w:val="decimal"/>
      <w:lvlText w:val="%1.0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69" w:hanging="1800"/>
      </w:pPr>
      <w:rPr>
        <w:rFonts w:hint="default"/>
      </w:rPr>
    </w:lvl>
  </w:abstractNum>
  <w:abstractNum w:abstractNumId="11" w15:restartNumberingAfterBreak="0">
    <w:nsid w:val="34B82B1C"/>
    <w:multiLevelType w:val="multilevel"/>
    <w:tmpl w:val="0AB635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D313B5B"/>
    <w:multiLevelType w:val="hybridMultilevel"/>
    <w:tmpl w:val="EE7233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44878"/>
    <w:multiLevelType w:val="hybridMultilevel"/>
    <w:tmpl w:val="5A6A29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85774"/>
    <w:multiLevelType w:val="multilevel"/>
    <w:tmpl w:val="ABB486E0"/>
    <w:lvl w:ilvl="0">
      <w:start w:val="1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54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41D00AED"/>
    <w:multiLevelType w:val="multilevel"/>
    <w:tmpl w:val="275EBB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/>
      </w:rPr>
    </w:lvl>
  </w:abstractNum>
  <w:abstractNum w:abstractNumId="16" w15:restartNumberingAfterBreak="0">
    <w:nsid w:val="48F23CD5"/>
    <w:multiLevelType w:val="multilevel"/>
    <w:tmpl w:val="EE14141C"/>
    <w:lvl w:ilvl="0">
      <w:start w:val="4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17" w15:restartNumberingAfterBreak="0">
    <w:nsid w:val="4BCC19C8"/>
    <w:multiLevelType w:val="multilevel"/>
    <w:tmpl w:val="B81E03F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  <w:i w:val="0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i w:val="0"/>
        <w:sz w:val="24"/>
        <w:szCs w:val="3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</w:rPr>
    </w:lvl>
  </w:abstractNum>
  <w:abstractNum w:abstractNumId="18" w15:restartNumberingAfterBreak="0">
    <w:nsid w:val="50D25341"/>
    <w:multiLevelType w:val="hybridMultilevel"/>
    <w:tmpl w:val="B0E6F1F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C4ABB"/>
    <w:multiLevelType w:val="hybridMultilevel"/>
    <w:tmpl w:val="490475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477A2"/>
    <w:multiLevelType w:val="multilevel"/>
    <w:tmpl w:val="A5A053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84E377E"/>
    <w:multiLevelType w:val="hybridMultilevel"/>
    <w:tmpl w:val="AAFCFC9C"/>
    <w:lvl w:ilvl="0" w:tplc="B8C4C262">
      <w:start w:val="1"/>
      <w:numFmt w:val="decimal"/>
      <w:pStyle w:val="Heading2"/>
      <w:lvlText w:val="%1.2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CECCFB30" w:tentative="1">
      <w:start w:val="1"/>
      <w:numFmt w:val="lowerLetter"/>
      <w:lvlText w:val="%2."/>
      <w:lvlJc w:val="left"/>
      <w:pPr>
        <w:ind w:left="1440" w:hanging="360"/>
      </w:pPr>
    </w:lvl>
    <w:lvl w:ilvl="2" w:tplc="091017DE" w:tentative="1">
      <w:start w:val="1"/>
      <w:numFmt w:val="lowerRoman"/>
      <w:lvlText w:val="%3."/>
      <w:lvlJc w:val="right"/>
      <w:pPr>
        <w:ind w:left="2160" w:hanging="180"/>
      </w:pPr>
    </w:lvl>
    <w:lvl w:ilvl="3" w:tplc="F36069B4" w:tentative="1">
      <w:start w:val="1"/>
      <w:numFmt w:val="decimal"/>
      <w:lvlText w:val="%4."/>
      <w:lvlJc w:val="left"/>
      <w:pPr>
        <w:ind w:left="2880" w:hanging="360"/>
      </w:pPr>
    </w:lvl>
    <w:lvl w:ilvl="4" w:tplc="8788FA3A" w:tentative="1">
      <w:start w:val="1"/>
      <w:numFmt w:val="lowerLetter"/>
      <w:lvlText w:val="%5."/>
      <w:lvlJc w:val="left"/>
      <w:pPr>
        <w:ind w:left="3600" w:hanging="360"/>
      </w:pPr>
    </w:lvl>
    <w:lvl w:ilvl="5" w:tplc="29564A3C" w:tentative="1">
      <w:start w:val="1"/>
      <w:numFmt w:val="lowerRoman"/>
      <w:lvlText w:val="%6."/>
      <w:lvlJc w:val="right"/>
      <w:pPr>
        <w:ind w:left="4320" w:hanging="180"/>
      </w:pPr>
    </w:lvl>
    <w:lvl w:ilvl="6" w:tplc="2C3C6CA4" w:tentative="1">
      <w:start w:val="1"/>
      <w:numFmt w:val="decimal"/>
      <w:lvlText w:val="%7."/>
      <w:lvlJc w:val="left"/>
      <w:pPr>
        <w:ind w:left="5040" w:hanging="360"/>
      </w:pPr>
    </w:lvl>
    <w:lvl w:ilvl="7" w:tplc="65A25B44" w:tentative="1">
      <w:start w:val="1"/>
      <w:numFmt w:val="lowerLetter"/>
      <w:lvlText w:val="%8."/>
      <w:lvlJc w:val="left"/>
      <w:pPr>
        <w:ind w:left="5760" w:hanging="360"/>
      </w:pPr>
    </w:lvl>
    <w:lvl w:ilvl="8" w:tplc="D9121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7649F"/>
    <w:multiLevelType w:val="multilevel"/>
    <w:tmpl w:val="FBB03D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2C00488"/>
    <w:multiLevelType w:val="multilevel"/>
    <w:tmpl w:val="2CE24D1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4" w15:restartNumberingAfterBreak="0">
    <w:nsid w:val="7A7E0E37"/>
    <w:multiLevelType w:val="multilevel"/>
    <w:tmpl w:val="1C5C52A0"/>
    <w:lvl w:ilvl="0">
      <w:start w:val="2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5" w15:restartNumberingAfterBreak="0">
    <w:nsid w:val="7BC50FB1"/>
    <w:multiLevelType w:val="multilevel"/>
    <w:tmpl w:val="733666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1"/>
  </w:num>
  <w:num w:numId="4">
    <w:abstractNumId w:val="15"/>
  </w:num>
  <w:num w:numId="5">
    <w:abstractNumId w:val="6"/>
  </w:num>
  <w:num w:numId="6">
    <w:abstractNumId w:val="17"/>
  </w:num>
  <w:num w:numId="7">
    <w:abstractNumId w:val="0"/>
  </w:num>
  <w:num w:numId="8">
    <w:abstractNumId w:val="23"/>
  </w:num>
  <w:num w:numId="9">
    <w:abstractNumId w:val="11"/>
  </w:num>
  <w:num w:numId="10">
    <w:abstractNumId w:val="8"/>
  </w:num>
  <w:num w:numId="11">
    <w:abstractNumId w:val="24"/>
  </w:num>
  <w:num w:numId="12">
    <w:abstractNumId w:val="22"/>
  </w:num>
  <w:num w:numId="13">
    <w:abstractNumId w:val="25"/>
  </w:num>
  <w:num w:numId="14">
    <w:abstractNumId w:val="20"/>
  </w:num>
  <w:num w:numId="15">
    <w:abstractNumId w:val="14"/>
  </w:num>
  <w:num w:numId="16">
    <w:abstractNumId w:val="19"/>
  </w:num>
  <w:num w:numId="17">
    <w:abstractNumId w:val="12"/>
  </w:num>
  <w:num w:numId="18">
    <w:abstractNumId w:val="13"/>
  </w:num>
  <w:num w:numId="19">
    <w:abstractNumId w:val="4"/>
  </w:num>
  <w:num w:numId="20">
    <w:abstractNumId w:val="5"/>
  </w:num>
  <w:num w:numId="21">
    <w:abstractNumId w:val="7"/>
  </w:num>
  <w:num w:numId="22">
    <w:abstractNumId w:val="18"/>
  </w:num>
  <w:num w:numId="23">
    <w:abstractNumId w:val="10"/>
  </w:num>
  <w:num w:numId="24">
    <w:abstractNumId w:val="9"/>
  </w:num>
  <w:num w:numId="25">
    <w:abstractNumId w:val="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1NjQ0tzAyMDU3MzFU0lEKTi0uzszPAykwrAUAKEOSxywAAAA="/>
  </w:docVars>
  <w:rsids>
    <w:rsidRoot w:val="00E40564"/>
    <w:rsid w:val="008B7A4A"/>
    <w:rsid w:val="00E4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0F723"/>
  <w15:chartTrackingRefBased/>
  <w15:docId w15:val="{3D99171C-15F8-455B-91A5-5CF0F91E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40564"/>
    <w:pPr>
      <w:tabs>
        <w:tab w:val="left" w:pos="1134"/>
      </w:tabs>
      <w:spacing w:before="480" w:after="0" w:line="360" w:lineRule="auto"/>
      <w:ind w:left="1080" w:hanging="1080"/>
      <w:contextualSpacing/>
      <w:outlineLvl w:val="0"/>
    </w:pPr>
    <w:rPr>
      <w:rFonts w:ascii="Calibri" w:eastAsiaTheme="majorEastAsia" w:hAnsi="Calibri" w:cs="Calibr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0564"/>
    <w:pPr>
      <w:numPr>
        <w:numId w:val="3"/>
      </w:numPr>
      <w:spacing w:before="200" w:after="0" w:line="360" w:lineRule="auto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E40564"/>
    <w:pPr>
      <w:numPr>
        <w:numId w:val="0"/>
      </w:numPr>
      <w:tabs>
        <w:tab w:val="left" w:pos="1134"/>
      </w:tabs>
      <w:spacing w:before="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40564"/>
    <w:pPr>
      <w:numPr>
        <w:ilvl w:val="3"/>
        <w:numId w:val="2"/>
      </w:numPr>
      <w:spacing w:before="200" w:after="0" w:line="360" w:lineRule="auto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40564"/>
    <w:pPr>
      <w:numPr>
        <w:ilvl w:val="5"/>
        <w:numId w:val="2"/>
      </w:numPr>
      <w:spacing w:before="200" w:after="0" w:line="360" w:lineRule="auto"/>
      <w:ind w:left="0"/>
      <w:outlineLvl w:val="4"/>
    </w:pPr>
    <w:rPr>
      <w:rFonts w:eastAsiaTheme="majorEastAsia" w:cstheme="majorBidi"/>
      <w:b/>
      <w:bCs/>
      <w:color w:val="000000" w:themeColor="text1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4056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40564"/>
    <w:pPr>
      <w:numPr>
        <w:ilvl w:val="6"/>
        <w:numId w:val="2"/>
      </w:numPr>
      <w:spacing w:after="0" w:line="360" w:lineRule="auto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564"/>
    <w:pPr>
      <w:numPr>
        <w:ilvl w:val="7"/>
        <w:numId w:val="2"/>
      </w:numPr>
      <w:spacing w:after="0" w:line="360" w:lineRule="auto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564"/>
    <w:pPr>
      <w:numPr>
        <w:ilvl w:val="8"/>
        <w:numId w:val="2"/>
      </w:numPr>
      <w:spacing w:after="0" w:line="360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564"/>
    <w:rPr>
      <w:rFonts w:ascii="Calibri" w:eastAsiaTheme="majorEastAsia" w:hAnsi="Calibri" w:cs="Calibr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40564"/>
    <w:rPr>
      <w:rFonts w:eastAsiaTheme="majorEastAsi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40564"/>
    <w:rPr>
      <w:rFonts w:eastAsiaTheme="majorEastAsia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40564"/>
    <w:rPr>
      <w:rFonts w:eastAsiaTheme="majorEastAsi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E40564"/>
    <w:rPr>
      <w:rFonts w:eastAsiaTheme="majorEastAsia" w:cstheme="majorBidi"/>
      <w:b/>
      <w:bCs/>
      <w:color w:val="000000" w:themeColor="text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4056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E4056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56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56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E40564"/>
  </w:style>
  <w:style w:type="paragraph" w:customStyle="1" w:styleId="Default">
    <w:name w:val="Default"/>
    <w:rsid w:val="00E4056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4056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40564"/>
    <w:pPr>
      <w:spacing w:after="0" w:line="360" w:lineRule="auto"/>
      <w:jc w:val="center"/>
    </w:pPr>
    <w:rPr>
      <w:rFonts w:ascii="Calibri" w:eastAsiaTheme="minorEastAsia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40564"/>
    <w:rPr>
      <w:rFonts w:ascii="Calibri" w:eastAsiaTheme="minorEastAsia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40564"/>
    <w:pPr>
      <w:spacing w:after="120" w:line="240" w:lineRule="auto"/>
    </w:pPr>
    <w:rPr>
      <w:rFonts w:ascii="Calibri" w:eastAsiaTheme="minorEastAsia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40564"/>
    <w:rPr>
      <w:rFonts w:ascii="Calibri" w:eastAsiaTheme="minorEastAsia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4056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40564"/>
    <w:pPr>
      <w:spacing w:after="120" w:line="360" w:lineRule="auto"/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rsid w:val="00E4056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40564"/>
  </w:style>
  <w:style w:type="paragraph" w:styleId="BalloonText">
    <w:name w:val="Balloon Text"/>
    <w:basedOn w:val="Normal"/>
    <w:link w:val="BalloonTextChar"/>
    <w:uiPriority w:val="99"/>
    <w:semiHidden/>
    <w:unhideWhenUsed/>
    <w:rsid w:val="00E40564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564"/>
    <w:rPr>
      <w:rFonts w:ascii="Tahoma" w:eastAsiaTheme="minorEastAsia" w:hAnsi="Tahoma" w:cs="Tahoma"/>
      <w:sz w:val="16"/>
      <w:szCs w:val="16"/>
    </w:rPr>
  </w:style>
  <w:style w:type="paragraph" w:customStyle="1" w:styleId="EndNoteCategoryHeading">
    <w:name w:val="EndNote Category Heading"/>
    <w:basedOn w:val="Normal"/>
    <w:link w:val="EndNoteCategoryHeadingChar"/>
    <w:rsid w:val="00E40564"/>
    <w:pPr>
      <w:spacing w:before="120" w:after="120" w:line="360" w:lineRule="auto"/>
    </w:pPr>
    <w:rPr>
      <w:rFonts w:eastAsiaTheme="minorEastAsia"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E40564"/>
    <w:rPr>
      <w:rFonts w:eastAsiaTheme="minorEastAsia"/>
    </w:rPr>
  </w:style>
  <w:style w:type="paragraph" w:customStyle="1" w:styleId="EndNoteCategoryTitle">
    <w:name w:val="EndNote Category Title"/>
    <w:basedOn w:val="Normal"/>
    <w:link w:val="EndNoteCategoryTitleChar"/>
    <w:rsid w:val="00E40564"/>
    <w:pPr>
      <w:spacing w:before="120" w:after="120" w:line="360" w:lineRule="auto"/>
      <w:jc w:val="center"/>
    </w:pPr>
    <w:rPr>
      <w:rFonts w:eastAsiaTheme="minorEastAsia"/>
    </w:rPr>
  </w:style>
  <w:style w:type="character" w:customStyle="1" w:styleId="EndNoteCategoryTitleChar">
    <w:name w:val="EndNote Category Title Char"/>
    <w:basedOn w:val="DefaultParagraphFont"/>
    <w:link w:val="EndNoteCategoryTitle"/>
    <w:rsid w:val="00E40564"/>
    <w:rPr>
      <w:rFonts w:eastAsiaTheme="minorEastAsia"/>
    </w:rPr>
  </w:style>
  <w:style w:type="character" w:styleId="Emphasis">
    <w:name w:val="Emphasis"/>
    <w:uiPriority w:val="20"/>
    <w:qFormat/>
    <w:rsid w:val="00E4056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aption">
    <w:name w:val="caption"/>
    <w:basedOn w:val="Normal"/>
    <w:next w:val="Normal"/>
    <w:uiPriority w:val="35"/>
    <w:unhideWhenUsed/>
    <w:rsid w:val="00E40564"/>
    <w:pPr>
      <w:spacing w:after="120" w:line="360" w:lineRule="auto"/>
    </w:pPr>
    <w:rPr>
      <w:rFonts w:eastAsiaTheme="minorEastAsia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40564"/>
    <w:pPr>
      <w:pBdr>
        <w:bottom w:val="single" w:sz="4" w:space="1" w:color="auto"/>
      </w:pBd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4056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564"/>
    <w:pPr>
      <w:spacing w:after="600" w:line="360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056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40564"/>
    <w:rPr>
      <w:b/>
      <w:bCs/>
    </w:rPr>
  </w:style>
  <w:style w:type="paragraph" w:styleId="NoSpacing">
    <w:name w:val="No Spacing"/>
    <w:basedOn w:val="Normal"/>
    <w:link w:val="NoSpacingChar"/>
    <w:uiPriority w:val="1"/>
    <w:qFormat/>
    <w:rsid w:val="00E4056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40564"/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E40564"/>
    <w:pPr>
      <w:spacing w:before="200" w:after="0" w:line="360" w:lineRule="auto"/>
      <w:ind w:left="360" w:right="360"/>
    </w:pPr>
    <w:rPr>
      <w:rFonts w:eastAsiaTheme="minorEastAsia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40564"/>
    <w:rPr>
      <w:rFonts w:eastAsiaTheme="minorEastAsia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564"/>
    <w:pPr>
      <w:pBdr>
        <w:bottom w:val="single" w:sz="4" w:space="1" w:color="auto"/>
      </w:pBdr>
      <w:spacing w:before="200" w:after="280" w:line="360" w:lineRule="auto"/>
      <w:ind w:left="1008" w:right="1152"/>
      <w:jc w:val="both"/>
    </w:pPr>
    <w:rPr>
      <w:rFonts w:eastAsiaTheme="minorEastAsia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564"/>
    <w:rPr>
      <w:rFonts w:eastAsiaTheme="minorEastAsia"/>
      <w:b/>
      <w:bCs/>
      <w:i/>
      <w:iCs/>
    </w:rPr>
  </w:style>
  <w:style w:type="character" w:styleId="SubtleEmphasis">
    <w:name w:val="Subtle Emphasis"/>
    <w:uiPriority w:val="19"/>
    <w:qFormat/>
    <w:rsid w:val="00E40564"/>
    <w:rPr>
      <w:i/>
      <w:iCs/>
    </w:rPr>
  </w:style>
  <w:style w:type="character" w:styleId="IntenseEmphasis">
    <w:name w:val="Intense Emphasis"/>
    <w:uiPriority w:val="21"/>
    <w:qFormat/>
    <w:rsid w:val="00E40564"/>
    <w:rPr>
      <w:b/>
      <w:bCs/>
    </w:rPr>
  </w:style>
  <w:style w:type="character" w:styleId="SubtleReference">
    <w:name w:val="Subtle Reference"/>
    <w:uiPriority w:val="31"/>
    <w:qFormat/>
    <w:rsid w:val="00E40564"/>
    <w:rPr>
      <w:smallCaps/>
    </w:rPr>
  </w:style>
  <w:style w:type="character" w:styleId="IntenseReference">
    <w:name w:val="Intense Reference"/>
    <w:uiPriority w:val="32"/>
    <w:qFormat/>
    <w:rsid w:val="00E40564"/>
    <w:rPr>
      <w:smallCaps/>
      <w:spacing w:val="5"/>
      <w:u w:val="single"/>
    </w:rPr>
  </w:style>
  <w:style w:type="character" w:styleId="BookTitle">
    <w:name w:val="Book Title"/>
    <w:uiPriority w:val="33"/>
    <w:qFormat/>
    <w:rsid w:val="00E4056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E40564"/>
    <w:pPr>
      <w:outlineLvl w:val="9"/>
    </w:pPr>
    <w:rPr>
      <w:lang w:bidi="en-US"/>
    </w:rPr>
  </w:style>
  <w:style w:type="paragraph" w:styleId="Revision">
    <w:name w:val="Revision"/>
    <w:hidden/>
    <w:uiPriority w:val="99"/>
    <w:semiHidden/>
    <w:rsid w:val="00E40564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E40564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E4056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40564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E40564"/>
    <w:rPr>
      <w:rFonts w:eastAsiaTheme="minorEastAsia"/>
    </w:rPr>
  </w:style>
  <w:style w:type="paragraph" w:customStyle="1" w:styleId="thesispara">
    <w:name w:val="thesis para"/>
    <w:basedOn w:val="Normal"/>
    <w:link w:val="thesisparaChar"/>
    <w:rsid w:val="00E40564"/>
    <w:pPr>
      <w:spacing w:before="120" w:after="120" w:line="360" w:lineRule="auto"/>
      <w:ind w:firstLine="720"/>
      <w:jc w:val="both"/>
    </w:pPr>
    <w:rPr>
      <w:rFonts w:ascii="Calibri" w:eastAsia="Times New Roman" w:hAnsi="Calibri" w:cs="Times New Roman"/>
      <w:color w:val="000000"/>
      <w:lang w:eastAsia="en-AU"/>
    </w:rPr>
  </w:style>
  <w:style w:type="numbering" w:customStyle="1" w:styleId="Style1">
    <w:name w:val="Style1"/>
    <w:uiPriority w:val="99"/>
    <w:rsid w:val="00E40564"/>
    <w:pPr>
      <w:numPr>
        <w:numId w:val="1"/>
      </w:numPr>
    </w:pPr>
  </w:style>
  <w:style w:type="character" w:customStyle="1" w:styleId="thesisparaChar">
    <w:name w:val="thesis para Char"/>
    <w:basedOn w:val="DefaultParagraphFont"/>
    <w:link w:val="thesispara"/>
    <w:rsid w:val="00E40564"/>
    <w:rPr>
      <w:rFonts w:ascii="Calibri" w:eastAsia="Times New Roman" w:hAnsi="Calibri" w:cs="Times New Roman"/>
      <w:color w:val="000000"/>
      <w:lang w:eastAsia="en-AU"/>
    </w:rPr>
  </w:style>
  <w:style w:type="paragraph" w:styleId="TOC1">
    <w:name w:val="toc 1"/>
    <w:basedOn w:val="Normal"/>
    <w:next w:val="Normal"/>
    <w:autoRedefine/>
    <w:uiPriority w:val="39"/>
    <w:unhideWhenUsed/>
    <w:rsid w:val="00E40564"/>
    <w:pPr>
      <w:spacing w:after="100" w:line="360" w:lineRule="auto"/>
    </w:pPr>
    <w:rPr>
      <w:rFonts w:eastAsiaTheme="minorEastAsia"/>
    </w:rPr>
  </w:style>
  <w:style w:type="paragraph" w:styleId="TOC2">
    <w:name w:val="toc 2"/>
    <w:basedOn w:val="Normal"/>
    <w:next w:val="Normal"/>
    <w:autoRedefine/>
    <w:uiPriority w:val="39"/>
    <w:unhideWhenUsed/>
    <w:rsid w:val="00E40564"/>
    <w:pPr>
      <w:tabs>
        <w:tab w:val="left" w:pos="426"/>
        <w:tab w:val="left" w:pos="880"/>
        <w:tab w:val="left" w:pos="1276"/>
        <w:tab w:val="right" w:leader="dot" w:pos="9016"/>
      </w:tabs>
      <w:spacing w:after="100" w:line="360" w:lineRule="auto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E40564"/>
    <w:pPr>
      <w:tabs>
        <w:tab w:val="left" w:pos="1320"/>
        <w:tab w:val="right" w:leader="dot" w:pos="9016"/>
      </w:tabs>
      <w:spacing w:after="100" w:line="360" w:lineRule="auto"/>
      <w:ind w:left="440"/>
    </w:pPr>
    <w:rPr>
      <w:rFonts w:eastAsiaTheme="minorEastAsi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40564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0564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0564"/>
    <w:rPr>
      <w:vertAlign w:val="superscript"/>
    </w:rPr>
  </w:style>
  <w:style w:type="paragraph" w:customStyle="1" w:styleId="ThesisPara0">
    <w:name w:val="ThesisPara"/>
    <w:basedOn w:val="Normal"/>
    <w:link w:val="ThesisParaChar0"/>
    <w:qFormat/>
    <w:rsid w:val="00E40564"/>
    <w:pPr>
      <w:spacing w:before="120" w:after="120" w:line="360" w:lineRule="auto"/>
      <w:jc w:val="both"/>
    </w:pPr>
    <w:rPr>
      <w:rFonts w:eastAsiaTheme="minorEastAsia"/>
    </w:rPr>
  </w:style>
  <w:style w:type="character" w:customStyle="1" w:styleId="ThesisParaChar0">
    <w:name w:val="ThesisPara Char"/>
    <w:basedOn w:val="DefaultParagraphFont"/>
    <w:link w:val="ThesisPara0"/>
    <w:rsid w:val="00E40564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0564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4056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E4056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405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0564"/>
    <w:pPr>
      <w:spacing w:after="12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056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5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564"/>
    <w:rPr>
      <w:rFonts w:eastAsiaTheme="minorEastAsia"/>
      <w:b/>
      <w:bCs/>
      <w:sz w:val="20"/>
      <w:szCs w:val="20"/>
    </w:rPr>
  </w:style>
  <w:style w:type="numbering" w:customStyle="1" w:styleId="NoList11">
    <w:name w:val="No List11"/>
    <w:next w:val="NoList"/>
    <w:uiPriority w:val="99"/>
    <w:semiHidden/>
    <w:unhideWhenUsed/>
    <w:rsid w:val="00E40564"/>
  </w:style>
  <w:style w:type="paragraph" w:customStyle="1" w:styleId="p">
    <w:name w:val="p"/>
    <w:basedOn w:val="Normal"/>
    <w:rsid w:val="00E4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LineNumber">
    <w:name w:val="line number"/>
    <w:basedOn w:val="DefaultParagraphFont"/>
    <w:uiPriority w:val="99"/>
    <w:semiHidden/>
    <w:unhideWhenUsed/>
    <w:rsid w:val="00E40564"/>
  </w:style>
  <w:style w:type="paragraph" w:customStyle="1" w:styleId="msonormal0">
    <w:name w:val="msonormal"/>
    <w:basedOn w:val="Normal"/>
    <w:rsid w:val="00E4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E40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6">
    <w:name w:val="xl66"/>
    <w:basedOn w:val="Normal"/>
    <w:rsid w:val="00E40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AU"/>
    </w:rPr>
  </w:style>
  <w:style w:type="paragraph" w:customStyle="1" w:styleId="xl67">
    <w:name w:val="xl67"/>
    <w:basedOn w:val="Normal"/>
    <w:rsid w:val="00E40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en-AU"/>
    </w:rPr>
  </w:style>
  <w:style w:type="paragraph" w:customStyle="1" w:styleId="xl68">
    <w:name w:val="xl68"/>
    <w:basedOn w:val="Normal"/>
    <w:rsid w:val="00E40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3">
    <w:name w:val="xl63"/>
    <w:basedOn w:val="Normal"/>
    <w:rsid w:val="00E40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4">
    <w:name w:val="xl64"/>
    <w:basedOn w:val="Normal"/>
    <w:rsid w:val="00E40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AU"/>
    </w:rPr>
  </w:style>
  <w:style w:type="paragraph" w:customStyle="1" w:styleId="font5">
    <w:name w:val="font5"/>
    <w:basedOn w:val="Normal"/>
    <w:rsid w:val="00E4056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en-AU"/>
    </w:rPr>
  </w:style>
  <w:style w:type="paragraph" w:customStyle="1" w:styleId="font6">
    <w:name w:val="font6"/>
    <w:basedOn w:val="Normal"/>
    <w:rsid w:val="00E4056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en-AU"/>
    </w:rPr>
  </w:style>
  <w:style w:type="paragraph" w:customStyle="1" w:styleId="xl69">
    <w:name w:val="xl69"/>
    <w:basedOn w:val="Normal"/>
    <w:rsid w:val="00E40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0">
    <w:name w:val="xl70"/>
    <w:basedOn w:val="Normal"/>
    <w:rsid w:val="00E40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1">
    <w:name w:val="xl71"/>
    <w:basedOn w:val="Normal"/>
    <w:rsid w:val="00E40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2">
    <w:name w:val="xl72"/>
    <w:basedOn w:val="Normal"/>
    <w:rsid w:val="00E40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3">
    <w:name w:val="xl73"/>
    <w:basedOn w:val="Normal"/>
    <w:rsid w:val="00E405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000310E5B95459B92A7AE0D496D63" ma:contentTypeVersion="13" ma:contentTypeDescription="Create a new document." ma:contentTypeScope="" ma:versionID="bf3272a65ba82cbb77499b0b0e58c00c">
  <xsd:schema xmlns:xsd="http://www.w3.org/2001/XMLSchema" xmlns:xs="http://www.w3.org/2001/XMLSchema" xmlns:p="http://schemas.microsoft.com/office/2006/metadata/properties" xmlns:ns3="9d8f54ab-6009-4e0e-9cd9-41c43f15f740" xmlns:ns4="d8f7222e-fc4c-4ce1-b1e8-25c6cb89d836" targetNamespace="http://schemas.microsoft.com/office/2006/metadata/properties" ma:root="true" ma:fieldsID="2fc350911b973677350d8b303d470244" ns3:_="" ns4:_="">
    <xsd:import namespace="9d8f54ab-6009-4e0e-9cd9-41c43f15f740"/>
    <xsd:import namespace="d8f7222e-fc4c-4ce1-b1e8-25c6cb89d8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f54ab-6009-4e0e-9cd9-41c43f15f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7222e-fc4c-4ce1-b1e8-25c6cb89d8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3B3A08-EAF1-4011-8EA7-566731CC4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f54ab-6009-4e0e-9cd9-41c43f15f740"/>
    <ds:schemaRef ds:uri="d8f7222e-fc4c-4ce1-b1e8-25c6cb89d8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596B52-8A94-4A79-B8D3-D9A783EE82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61A50F-771A-452C-B64F-053BBCA0FD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3227</Words>
  <Characters>18394</Characters>
  <Application>Microsoft Office Word</Application>
  <DocSecurity>0</DocSecurity>
  <Lines>153</Lines>
  <Paragraphs>43</Paragraphs>
  <ScaleCrop>false</ScaleCrop>
  <Company/>
  <LinksUpToDate>false</LinksUpToDate>
  <CharactersWithSpaces>21578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Saidi R Achari (DJPR)</dc:creator>
  <cp:keywords/>
  <dc:description/>
  <cp:lastModifiedBy>Saidi R Achari (DJPR)</cp:lastModifiedBy>
  <cp:revision>1</cp:revision>
  <dcterms:created xsi:type="dcterms:W3CDTF">2020-11-11T01:19:00Z</dcterms:created>
  <dcterms:modified xsi:type="dcterms:W3CDTF">2020-11-11T01:23:00Z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0x01010080E000310E5B95459B92A7AE0D496D63</vt:lpwstr>
  </property>
</Properties>
</file>