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8C3EA" w14:textId="01F3D8F3" w:rsidR="00B712DA" w:rsidRDefault="00E2041F" w:rsidP="00E2041F">
      <w:pPr>
        <w:pStyle w:val="Title"/>
        <w:jc w:val="center"/>
        <w:rPr>
          <w:rFonts w:ascii="Times New Roman" w:hAnsi="Times New Roman" w:cs="Times New Roman"/>
          <w:lang w:val="en-US"/>
        </w:rPr>
      </w:pPr>
      <w:r w:rsidRPr="00E2041F">
        <w:rPr>
          <w:rFonts w:ascii="Times New Roman" w:hAnsi="Times New Roman" w:cs="Times New Roman"/>
          <w:lang w:val="en-US"/>
        </w:rPr>
        <w:t>Supplementary figures S1-S</w:t>
      </w:r>
      <w:r w:rsidR="002279E2">
        <w:rPr>
          <w:rFonts w:ascii="Times New Roman" w:hAnsi="Times New Roman" w:cs="Times New Roman"/>
          <w:lang w:val="en-US"/>
        </w:rPr>
        <w:t>10</w:t>
      </w:r>
    </w:p>
    <w:p w14:paraId="3839F219" w14:textId="22097A75" w:rsidR="00E2041F" w:rsidRDefault="00E2041F" w:rsidP="00E2041F">
      <w:pPr>
        <w:rPr>
          <w:lang w:val="en-US"/>
        </w:rPr>
      </w:pPr>
    </w:p>
    <w:p w14:paraId="60AB9805" w14:textId="28BFCC11" w:rsidR="00E2041F" w:rsidRDefault="002279E2" w:rsidP="00E2041F">
      <w:pPr>
        <w:rPr>
          <w:lang w:val="en-US"/>
        </w:rPr>
      </w:pPr>
      <w:r>
        <w:rPr>
          <w:noProof/>
          <w:lang w:val="en-US"/>
        </w:rPr>
        <w:drawing>
          <wp:inline distT="0" distB="0" distL="0" distR="0" wp14:anchorId="4649C25C" wp14:editId="41844EF2">
            <wp:extent cx="5727700" cy="3307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3307080"/>
                    </a:xfrm>
                    <a:prstGeom prst="rect">
                      <a:avLst/>
                    </a:prstGeom>
                  </pic:spPr>
                </pic:pic>
              </a:graphicData>
            </a:graphic>
          </wp:inline>
        </w:drawing>
      </w:r>
    </w:p>
    <w:p w14:paraId="2706EF7F" w14:textId="58C6FE66" w:rsidR="002279E2" w:rsidRDefault="002279E2" w:rsidP="00E2041F">
      <w:pPr>
        <w:rPr>
          <w:rFonts w:ascii="Times New Roman" w:hAnsi="Times New Roman" w:cs="Times New Roman"/>
          <w:lang w:val="en-US"/>
        </w:rPr>
      </w:pPr>
      <w:r w:rsidRPr="00E2041F">
        <w:rPr>
          <w:rFonts w:ascii="Times New Roman" w:hAnsi="Times New Roman" w:cs="Times New Roman"/>
          <w:lang w:val="en-US"/>
        </w:rPr>
        <w:t xml:space="preserve">Figure S1. </w:t>
      </w:r>
      <w:r w:rsidRPr="002279E2">
        <w:rPr>
          <w:rFonts w:ascii="Times New Roman" w:hAnsi="Times New Roman" w:cs="Times New Roman"/>
          <w:b/>
          <w:bCs/>
          <w:lang w:val="en-US"/>
        </w:rPr>
        <w:t>Intrinsic score for long reads and DFC score quality binning</w:t>
      </w:r>
      <w:r>
        <w:rPr>
          <w:rFonts w:ascii="Times New Roman" w:hAnsi="Times New Roman" w:cs="Times New Roman"/>
          <w:b/>
          <w:bCs/>
          <w:lang w:val="en-US"/>
        </w:rPr>
        <w:t xml:space="preserve">. </w:t>
      </w:r>
      <w:r w:rsidRPr="002279E2">
        <w:rPr>
          <w:rFonts w:ascii="Times New Roman" w:hAnsi="Times New Roman" w:cs="Times New Roman"/>
          <w:lang w:val="en-US"/>
        </w:rPr>
        <w:t xml:space="preserve">Distribution of long-read CNVs </w:t>
      </w:r>
      <w:r>
        <w:rPr>
          <w:rFonts w:ascii="Times New Roman" w:hAnsi="Times New Roman" w:cs="Times New Roman"/>
          <w:lang w:val="en-US"/>
        </w:rPr>
        <w:t>per original dataset according to</w:t>
      </w:r>
      <w:r w:rsidRPr="002279E2">
        <w:rPr>
          <w:rFonts w:ascii="Times New Roman" w:hAnsi="Times New Roman" w:cs="Times New Roman"/>
          <w:lang w:val="en-US"/>
        </w:rPr>
        <w:t xml:space="preserve"> the long-reads score bins (in grey, green and beige) and </w:t>
      </w:r>
      <w:r>
        <w:rPr>
          <w:rFonts w:ascii="Times New Roman" w:hAnsi="Times New Roman" w:cs="Times New Roman"/>
          <w:lang w:val="en-US"/>
        </w:rPr>
        <w:t>DFC bins</w:t>
      </w:r>
      <w:r w:rsidRPr="002279E2">
        <w:rPr>
          <w:rFonts w:ascii="Times New Roman" w:hAnsi="Times New Roman" w:cs="Times New Roman"/>
          <w:lang w:val="en-US"/>
        </w:rPr>
        <w:t xml:space="preserve"> (x-axis)</w:t>
      </w:r>
      <w:r>
        <w:rPr>
          <w:rFonts w:ascii="Times New Roman" w:hAnsi="Times New Roman" w:cs="Times New Roman"/>
          <w:lang w:val="en-US"/>
        </w:rPr>
        <w:t xml:space="preserve">. The low quality LQ bins consistently capture the CNVs that have very low intrinsic scores (&lt;1, grey) in each of these datasets, while HQ bins are dominated by the higher scores (&gt;5, beige). To note, the consensus dataset score is not provided by a caller. Instead, it is a simple scaled metric that reflects the number of methods (out of 7) that supported a CNV. This score behaves </w:t>
      </w:r>
      <w:r w:rsidR="00B44E70">
        <w:rPr>
          <w:rFonts w:ascii="Times New Roman" w:hAnsi="Times New Roman" w:cs="Times New Roman"/>
          <w:lang w:val="en-US"/>
        </w:rPr>
        <w:t>similarly with regards to the DFC bins consistency.</w:t>
      </w:r>
      <w:r>
        <w:rPr>
          <w:rFonts w:ascii="Times New Roman" w:hAnsi="Times New Roman" w:cs="Times New Roman"/>
          <w:lang w:val="en-US"/>
        </w:rPr>
        <w:t xml:space="preserve"> </w:t>
      </w:r>
      <w:r w:rsidR="00B44E70">
        <w:rPr>
          <w:rFonts w:ascii="Times New Roman" w:hAnsi="Times New Roman" w:cs="Times New Roman"/>
          <w:lang w:val="en-US"/>
        </w:rPr>
        <w:t xml:space="preserve"> </w:t>
      </w:r>
      <w:r>
        <w:rPr>
          <w:rFonts w:ascii="Times New Roman" w:hAnsi="Times New Roman" w:cs="Times New Roman"/>
          <w:lang w:val="en-US"/>
        </w:rPr>
        <w:t>DFC</w:t>
      </w:r>
      <w:r>
        <w:rPr>
          <w:rFonts w:ascii="Times New Roman" w:hAnsi="Times New Roman" w:cs="Times New Roman"/>
          <w:lang w:val="en-US"/>
        </w:rPr>
        <w:t>, depth</w:t>
      </w:r>
      <w:r>
        <w:rPr>
          <w:rFonts w:ascii="Times New Roman" w:hAnsi="Times New Roman" w:cs="Times New Roman"/>
          <w:lang w:val="en-US"/>
        </w:rPr>
        <w:t xml:space="preserve"> fold change</w:t>
      </w:r>
      <w:r>
        <w:rPr>
          <w:rFonts w:ascii="Times New Roman" w:hAnsi="Times New Roman" w:cs="Times New Roman"/>
          <w:lang w:val="en-US"/>
        </w:rPr>
        <w:t>; HQ, high quality, LQ, law quality</w:t>
      </w:r>
    </w:p>
    <w:p w14:paraId="651A8298" w14:textId="77777777" w:rsidR="00B44E70" w:rsidRPr="00B44E70" w:rsidRDefault="00B44E70" w:rsidP="00E2041F">
      <w:pPr>
        <w:rPr>
          <w:rFonts w:ascii="Times New Roman" w:hAnsi="Times New Roman" w:cs="Times New Roman"/>
          <w:lang w:val="en-US"/>
        </w:rPr>
      </w:pPr>
    </w:p>
    <w:p w14:paraId="74C344C0" w14:textId="11862C5C" w:rsidR="00E2041F" w:rsidRPr="00E2041F" w:rsidRDefault="00C31807" w:rsidP="00E2041F">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63609299" wp14:editId="7E54BDA3">
            <wp:extent cx="5727700" cy="3354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354705"/>
                    </a:xfrm>
                    <a:prstGeom prst="rect">
                      <a:avLst/>
                    </a:prstGeom>
                  </pic:spPr>
                </pic:pic>
              </a:graphicData>
            </a:graphic>
          </wp:inline>
        </w:drawing>
      </w:r>
    </w:p>
    <w:p w14:paraId="5617FC4E" w14:textId="793931F8" w:rsid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2</w:t>
      </w:r>
      <w:r w:rsidRPr="00E2041F">
        <w:rPr>
          <w:rFonts w:ascii="Times New Roman" w:hAnsi="Times New Roman" w:cs="Times New Roman"/>
          <w:lang w:val="en-US"/>
        </w:rPr>
        <w:t xml:space="preserve">. </w:t>
      </w:r>
      <w:r w:rsidRPr="00E2041F">
        <w:rPr>
          <w:rFonts w:ascii="Times New Roman" w:hAnsi="Times New Roman" w:cs="Times New Roman"/>
          <w:b/>
          <w:bCs/>
          <w:lang w:val="en-US"/>
        </w:rPr>
        <w:t>Array probe coverage and within technology support.</w:t>
      </w:r>
      <w:r w:rsidRPr="00E2041F">
        <w:rPr>
          <w:rFonts w:ascii="Times New Roman" w:hAnsi="Times New Roman" w:cs="Times New Roman"/>
          <w:lang w:val="en-US"/>
        </w:rPr>
        <w:t xml:space="preserve"> </w:t>
      </w:r>
      <w:r>
        <w:rPr>
          <w:rFonts w:ascii="Times New Roman" w:hAnsi="Times New Roman" w:cs="Times New Roman"/>
          <w:lang w:val="en-US"/>
        </w:rPr>
        <w:t xml:space="preserve"> </w:t>
      </w:r>
      <w:r w:rsidR="00C31807">
        <w:rPr>
          <w:rFonts w:ascii="Times New Roman" w:hAnsi="Times New Roman" w:cs="Times New Roman"/>
          <w:lang w:val="en-US"/>
        </w:rPr>
        <w:t>A.</w:t>
      </w:r>
      <w:r>
        <w:rPr>
          <w:rFonts w:ascii="Times New Roman" w:hAnsi="Times New Roman" w:cs="Times New Roman"/>
          <w:lang w:val="en-US"/>
        </w:rPr>
        <w:t xml:space="preserve"> Mean and SE interval around it for the number of probes spanned by CNVR from array (red), long reads (green) and short reads (blue). Left and right panels correspond to multi-dataset supported CNVRs and singletons (single dataset). On the x-axis selected chips for which the probe coverage is calculated are shown. The multi-supported CNVRs have consistently higher probe coverage in all chip designs; </w:t>
      </w:r>
      <w:r w:rsidR="00C31807">
        <w:rPr>
          <w:rFonts w:ascii="Times New Roman" w:hAnsi="Times New Roman" w:cs="Times New Roman"/>
          <w:lang w:val="en-US"/>
        </w:rPr>
        <w:t xml:space="preserve">B. </w:t>
      </w:r>
      <w:r>
        <w:rPr>
          <w:rFonts w:ascii="Times New Roman" w:hAnsi="Times New Roman" w:cs="Times New Roman"/>
          <w:lang w:val="en-US"/>
        </w:rPr>
        <w:t>Percent of CNVRs which are not covered by any probes, following the same color code as on the top panel. Short-read derived CNVR dominate with the least coverage for both multi-supported and singleton ones. Long-read CNVRs show a trend, opposite of array-based ones in that the multi-supported long-read CNVRs tend to be devoid of probes more often than the respective singletons.</w:t>
      </w:r>
    </w:p>
    <w:p w14:paraId="63E2FC45" w14:textId="15F4D616" w:rsidR="00E2041F" w:rsidRDefault="00E2041F" w:rsidP="00E2041F">
      <w:pPr>
        <w:rPr>
          <w:rFonts w:ascii="Times New Roman" w:hAnsi="Times New Roman" w:cs="Times New Roman"/>
          <w:lang w:val="en-US"/>
        </w:rPr>
      </w:pPr>
    </w:p>
    <w:p w14:paraId="6CC5B67F" w14:textId="65822644" w:rsidR="00E2041F" w:rsidRDefault="00E2041F" w:rsidP="00E2041F">
      <w:pPr>
        <w:rPr>
          <w:rFonts w:ascii="Times New Roman" w:hAnsi="Times New Roman" w:cs="Times New Roman"/>
          <w:noProof/>
          <w:lang w:val="en-US"/>
        </w:rPr>
      </w:pPr>
      <w:r w:rsidRPr="00E2041F">
        <w:rPr>
          <w:rFonts w:ascii="Times New Roman" w:hAnsi="Times New Roman" w:cs="Times New Roman"/>
          <w:lang w:val="en-US"/>
        </w:rPr>
        <w:lastRenderedPageBreak/>
        <w:t>Figure S</w:t>
      </w:r>
      <w:r w:rsidR="006D68EA">
        <w:rPr>
          <w:rFonts w:ascii="Times New Roman" w:hAnsi="Times New Roman" w:cs="Times New Roman"/>
          <w:lang w:val="en-US"/>
        </w:rPr>
        <w:t>3</w:t>
      </w:r>
      <w:r w:rsidRPr="00E2041F">
        <w:rPr>
          <w:rFonts w:ascii="Times New Roman" w:hAnsi="Times New Roman" w:cs="Times New Roman"/>
          <w:lang w:val="en-US"/>
        </w:rPr>
        <w:t>.</w:t>
      </w:r>
      <w:r>
        <w:rPr>
          <w:rFonts w:ascii="Times New Roman" w:hAnsi="Times New Roman" w:cs="Times New Roman"/>
          <w:lang w:val="en-US"/>
        </w:rPr>
        <w:t xml:space="preserve"> </w:t>
      </w:r>
      <w:r w:rsidRPr="00E2041F">
        <w:rPr>
          <w:rFonts w:ascii="Times New Roman" w:hAnsi="Times New Roman" w:cs="Times New Roman"/>
          <w:b/>
          <w:bCs/>
          <w:lang w:val="en-US"/>
        </w:rPr>
        <w:t xml:space="preserve">Composition and percentages for CNV loci, per long read quality bin. </w:t>
      </w:r>
      <w:r>
        <w:rPr>
          <w:rFonts w:ascii="Times New Roman" w:hAnsi="Times New Roman" w:cs="Times New Roman"/>
          <w:noProof/>
          <w:lang w:val="en-US"/>
        </w:rPr>
        <w:drawing>
          <wp:anchor distT="0" distB="0" distL="114300" distR="114300" simplePos="0" relativeHeight="251659264" behindDoc="0" locked="0" layoutInCell="1" allowOverlap="1" wp14:anchorId="09416C09" wp14:editId="199C2648">
            <wp:simplePos x="0" y="0"/>
            <wp:positionH relativeFrom="column">
              <wp:posOffset>0</wp:posOffset>
            </wp:positionH>
            <wp:positionV relativeFrom="paragraph">
              <wp:posOffset>0</wp:posOffset>
            </wp:positionV>
            <wp:extent cx="5727700" cy="4200525"/>
            <wp:effectExtent l="0" t="0" r="0"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2005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val="en-US"/>
        </w:rPr>
        <w:t xml:space="preserve"> Percentages of CNV loci split by the combinations of supporting technoogies (color legend to the right). The technologies are presented in rows, from top to bottom – array, long reads, short reads. The binning described in the results section two is represented in columns, in short, “all” – unfiltered original dataset; “above 1” – CNV loci resulted in the datase in which the long-read CNVRs with score &gt;1; “above5” – the same as previous, but score &gt;5; “above1_HQ” – in addition to long-read CNVR, both array and short-ead CNVRs are included if and only if they are classified as High Quality (HQ), as defined by the duphold tool score.  The segmens in the “cake” show different sizes of CNV loci. </w:t>
      </w:r>
    </w:p>
    <w:p w14:paraId="6A0AC872" w14:textId="3AB8A860" w:rsidR="00E2041F" w:rsidRDefault="00E2041F" w:rsidP="00E2041F">
      <w:pPr>
        <w:rPr>
          <w:rFonts w:ascii="Times New Roman" w:hAnsi="Times New Roman" w:cs="Times New Roman"/>
          <w:noProof/>
          <w:lang w:val="en-US"/>
        </w:rPr>
      </w:pPr>
    </w:p>
    <w:p w14:paraId="59203CB2" w14:textId="5ECB9991" w:rsidR="00E2041F" w:rsidRDefault="00E2041F" w:rsidP="00E2041F">
      <w:pPr>
        <w:rPr>
          <w:rFonts w:ascii="Times New Roman" w:hAnsi="Times New Roman" w:cs="Times New Roman"/>
          <w:lang w:val="en-US"/>
        </w:rPr>
      </w:pPr>
    </w:p>
    <w:p w14:paraId="2CDE5CBC" w14:textId="05C649CB" w:rsidR="00E2041F" w:rsidRDefault="00E2041F" w:rsidP="00E2041F">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C88383B" wp14:editId="68FD3CA3">
            <wp:extent cx="5727700" cy="3190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3190875"/>
                    </a:xfrm>
                    <a:prstGeom prst="rect">
                      <a:avLst/>
                    </a:prstGeom>
                  </pic:spPr>
                </pic:pic>
              </a:graphicData>
            </a:graphic>
          </wp:inline>
        </w:drawing>
      </w:r>
      <w:r w:rsidRPr="00E2041F">
        <w:rPr>
          <w:rFonts w:ascii="Times New Roman" w:hAnsi="Times New Roman" w:cs="Times New Roman"/>
          <w:lang w:val="en-US"/>
        </w:rPr>
        <w:t>Figure S</w:t>
      </w:r>
      <w:r w:rsidR="006D68EA">
        <w:rPr>
          <w:rFonts w:ascii="Times New Roman" w:hAnsi="Times New Roman" w:cs="Times New Roman"/>
          <w:lang w:val="en-US"/>
        </w:rPr>
        <w:t>4</w:t>
      </w:r>
      <w:r w:rsidRPr="00E2041F">
        <w:rPr>
          <w:rFonts w:ascii="Times New Roman" w:hAnsi="Times New Roman" w:cs="Times New Roman"/>
          <w:lang w:val="en-US"/>
        </w:rPr>
        <w:t>.</w:t>
      </w:r>
      <w:r w:rsidRPr="00E2041F">
        <w:rPr>
          <w:rFonts w:eastAsiaTheme="minorEastAsia" w:hAnsi="Calibri"/>
          <w:color w:val="404040" w:themeColor="text1" w:themeTint="BF"/>
          <w:kern w:val="24"/>
          <w:sz w:val="42"/>
          <w:szCs w:val="42"/>
          <w:lang w:val="en-US"/>
        </w:rPr>
        <w:t xml:space="preserve"> </w:t>
      </w:r>
      <w:r w:rsidRPr="00E2041F">
        <w:rPr>
          <w:rFonts w:ascii="Times New Roman" w:hAnsi="Times New Roman" w:cs="Times New Roman"/>
          <w:b/>
          <w:bCs/>
          <w:lang w:val="en-US"/>
        </w:rPr>
        <w:t>Composition and percentages for CNV loci, per long read quality bin.</w:t>
      </w:r>
      <w:r>
        <w:rPr>
          <w:rFonts w:ascii="Times New Roman" w:hAnsi="Times New Roman" w:cs="Times New Roman"/>
          <w:b/>
          <w:bCs/>
          <w:lang w:val="en-US"/>
        </w:rPr>
        <w:t xml:space="preserve">  </w:t>
      </w:r>
      <w:r w:rsidRPr="00E2041F">
        <w:rPr>
          <w:rFonts w:ascii="Times New Roman" w:hAnsi="Times New Roman" w:cs="Times New Roman"/>
          <w:lang w:val="en-US"/>
        </w:rPr>
        <w:t>Line plots</w:t>
      </w:r>
      <w:r>
        <w:rPr>
          <w:rFonts w:ascii="Times New Roman" w:hAnsi="Times New Roman" w:cs="Times New Roman"/>
          <w:lang w:val="en-US"/>
        </w:rPr>
        <w:t xml:space="preserve"> reflecting the percentages (x-axis) of CNV loci split by: A. CNV loci size bins; B. Combination of technologies supporting a CNV locus; C. Quality tags of CNVRs constituting the CNV loci (only HQ, only LQ or both). Color legend: array-derived CNV loci (red), long-read CNV loci (green) and short read CNV loci (blue)</w:t>
      </w:r>
    </w:p>
    <w:p w14:paraId="3FC67997" w14:textId="3C3378B0" w:rsidR="00E2041F" w:rsidRDefault="00E2041F" w:rsidP="00E2041F">
      <w:pPr>
        <w:rPr>
          <w:rFonts w:ascii="Times New Roman" w:hAnsi="Times New Roman" w:cs="Times New Roman"/>
          <w:lang w:val="en-US"/>
        </w:rPr>
      </w:pPr>
    </w:p>
    <w:p w14:paraId="1DA9CD49" w14:textId="3EE0FE52" w:rsidR="00E2041F" w:rsidRDefault="00E2041F" w:rsidP="00E2041F">
      <w:pPr>
        <w:rPr>
          <w:rFonts w:ascii="Times New Roman" w:hAnsi="Times New Roman" w:cs="Times New Roman"/>
          <w:lang w:val="en-US"/>
        </w:rPr>
      </w:pPr>
      <w:r>
        <w:rPr>
          <w:rFonts w:ascii="Times New Roman" w:hAnsi="Times New Roman" w:cs="Times New Roman"/>
          <w:noProof/>
          <w:lang w:val="en-US"/>
        </w:rPr>
        <w:drawing>
          <wp:inline distT="0" distB="0" distL="0" distR="0" wp14:anchorId="0B840053" wp14:editId="43602B69">
            <wp:extent cx="5727700" cy="3091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3091180"/>
                    </a:xfrm>
                    <a:prstGeom prst="rect">
                      <a:avLst/>
                    </a:prstGeom>
                  </pic:spPr>
                </pic:pic>
              </a:graphicData>
            </a:graphic>
          </wp:inline>
        </w:drawing>
      </w:r>
    </w:p>
    <w:p w14:paraId="58895E17" w14:textId="46B3F06F" w:rsid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5</w:t>
      </w:r>
      <w:r w:rsidRPr="00E2041F">
        <w:rPr>
          <w:rFonts w:ascii="Times New Roman" w:hAnsi="Times New Roman" w:cs="Times New Roman"/>
          <w:lang w:val="en-US"/>
        </w:rPr>
        <w:t>.</w:t>
      </w:r>
      <w:r w:rsidRPr="00E2041F">
        <w:rPr>
          <w:rFonts w:eastAsiaTheme="minorEastAsia" w:hAnsi="Calibri"/>
          <w:color w:val="404040" w:themeColor="text1" w:themeTint="BF"/>
          <w:kern w:val="24"/>
          <w:sz w:val="42"/>
          <w:szCs w:val="42"/>
          <w:lang w:val="en-US"/>
        </w:rPr>
        <w:t xml:space="preserve"> </w:t>
      </w:r>
      <w:r w:rsidRPr="00E2041F">
        <w:rPr>
          <w:rFonts w:ascii="Times New Roman" w:hAnsi="Times New Roman" w:cs="Times New Roman"/>
          <w:b/>
          <w:bCs/>
          <w:lang w:val="en-US"/>
        </w:rPr>
        <w:t>Example deletion with multiple evidences from all technologies.</w:t>
      </w:r>
      <w:r>
        <w:rPr>
          <w:rFonts w:ascii="Times New Roman" w:hAnsi="Times New Roman" w:cs="Times New Roman"/>
          <w:b/>
          <w:bCs/>
          <w:lang w:val="en-US"/>
        </w:rPr>
        <w:t xml:space="preserve"> </w:t>
      </w:r>
      <w:r w:rsidRPr="00E2041F">
        <w:rPr>
          <w:rFonts w:ascii="Times New Roman" w:hAnsi="Times New Roman" w:cs="Times New Roman"/>
          <w:lang w:val="en-US"/>
        </w:rPr>
        <w:t>IGV</w:t>
      </w:r>
      <w:r>
        <w:rPr>
          <w:rFonts w:ascii="Times New Roman" w:hAnsi="Times New Roman" w:cs="Times New Roman"/>
          <w:lang w:val="en-US"/>
        </w:rPr>
        <w:t xml:space="preserve"> desktop screenshot of a genomic region with predicted deletion. Tracks from top to bottom: Short-read sample coverage, long-read sample coverage, short-read discordant reads coverage, Affymetrix SNP6.0 array signal data; array CNVR (blue); short-read CNVR (green); long-read CNVR (orange); CNV calls from long-read datasets (light orange), split to High Quality (HQ) and Low Quality (LQ)</w:t>
      </w:r>
    </w:p>
    <w:p w14:paraId="42E5A783" w14:textId="7F582B39" w:rsidR="00E2041F" w:rsidRDefault="00E2041F" w:rsidP="00E2041F">
      <w:pPr>
        <w:rPr>
          <w:rFonts w:ascii="Times New Roman" w:hAnsi="Times New Roman" w:cs="Times New Roman"/>
          <w:lang w:val="en-US"/>
        </w:rPr>
      </w:pPr>
    </w:p>
    <w:p w14:paraId="747F135A" w14:textId="003530DF" w:rsidR="00E2041F" w:rsidRDefault="00E2041F" w:rsidP="00E2041F">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68477BC5" wp14:editId="305FDEB1">
            <wp:extent cx="5727700"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2860040"/>
                    </a:xfrm>
                    <a:prstGeom prst="rect">
                      <a:avLst/>
                    </a:prstGeom>
                  </pic:spPr>
                </pic:pic>
              </a:graphicData>
            </a:graphic>
          </wp:inline>
        </w:drawing>
      </w:r>
    </w:p>
    <w:p w14:paraId="49BB01C9" w14:textId="43465ACC" w:rsid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6</w:t>
      </w:r>
      <w:r w:rsidRPr="00E2041F">
        <w:rPr>
          <w:rFonts w:ascii="Times New Roman" w:hAnsi="Times New Roman" w:cs="Times New Roman"/>
          <w:lang w:val="en-US"/>
        </w:rPr>
        <w:t>.</w:t>
      </w:r>
      <w:r w:rsidRPr="00E2041F">
        <w:rPr>
          <w:rFonts w:eastAsiaTheme="minorEastAsia" w:hAnsi="Calibri"/>
          <w:color w:val="404040" w:themeColor="text1" w:themeTint="BF"/>
          <w:kern w:val="24"/>
          <w:sz w:val="42"/>
          <w:szCs w:val="42"/>
          <w:lang w:val="en-US"/>
        </w:rPr>
        <w:t xml:space="preserve"> </w:t>
      </w:r>
      <w:r w:rsidRPr="00E2041F">
        <w:rPr>
          <w:rFonts w:ascii="Times New Roman" w:hAnsi="Times New Roman" w:cs="Times New Roman"/>
          <w:b/>
          <w:bCs/>
          <w:lang w:val="en-US"/>
        </w:rPr>
        <w:t>Example d</w:t>
      </w:r>
      <w:r>
        <w:rPr>
          <w:rFonts w:ascii="Times New Roman" w:hAnsi="Times New Roman" w:cs="Times New Roman"/>
          <w:b/>
          <w:bCs/>
          <w:lang w:val="en-US"/>
        </w:rPr>
        <w:t>uplica</w:t>
      </w:r>
      <w:r w:rsidRPr="00E2041F">
        <w:rPr>
          <w:rFonts w:ascii="Times New Roman" w:hAnsi="Times New Roman" w:cs="Times New Roman"/>
          <w:b/>
          <w:bCs/>
          <w:lang w:val="en-US"/>
        </w:rPr>
        <w:t>tion with multiple evidences from all technologies.</w:t>
      </w:r>
      <w:r>
        <w:rPr>
          <w:rFonts w:ascii="Times New Roman" w:hAnsi="Times New Roman" w:cs="Times New Roman"/>
          <w:b/>
          <w:bCs/>
          <w:lang w:val="en-US"/>
        </w:rPr>
        <w:t xml:space="preserve"> </w:t>
      </w:r>
      <w:r w:rsidRPr="00E2041F">
        <w:rPr>
          <w:rFonts w:ascii="Times New Roman" w:hAnsi="Times New Roman" w:cs="Times New Roman"/>
          <w:lang w:val="en-US"/>
        </w:rPr>
        <w:t>IGV</w:t>
      </w:r>
      <w:r>
        <w:rPr>
          <w:rFonts w:ascii="Times New Roman" w:hAnsi="Times New Roman" w:cs="Times New Roman"/>
          <w:lang w:val="en-US"/>
        </w:rPr>
        <w:t xml:space="preserve"> desktop screenshot of a genomic region with predicted deletion. Tracks from top to bottom: Short-read sample coverage, long-read sample coverage, short-read discordant reads coverage, Affymetrix SNP6.0 array signal data; long-read CNVR (orange); short-read CNVR (green); array CNVR (blue); CNV calls from array datasets (light blue), split to High Quality (HQ) and Low Quality (LQ), only HQ segments are present in this locus.</w:t>
      </w:r>
    </w:p>
    <w:p w14:paraId="7A857BB0" w14:textId="6DE7173B" w:rsidR="00E2041F" w:rsidRDefault="00E2041F" w:rsidP="00E2041F">
      <w:pPr>
        <w:rPr>
          <w:rFonts w:ascii="Times New Roman" w:hAnsi="Times New Roman" w:cs="Times New Roman"/>
          <w:lang w:val="en-US"/>
        </w:rPr>
      </w:pPr>
    </w:p>
    <w:p w14:paraId="55731BDB" w14:textId="1382E37A" w:rsidR="00E2041F" w:rsidRDefault="00B36B88" w:rsidP="00E2041F">
      <w:pPr>
        <w:rPr>
          <w:rFonts w:ascii="Times New Roman" w:hAnsi="Times New Roman" w:cs="Times New Roman"/>
          <w:lang w:val="en-US"/>
        </w:rPr>
      </w:pPr>
      <w:r>
        <w:rPr>
          <w:rFonts w:ascii="Times New Roman" w:hAnsi="Times New Roman" w:cs="Times New Roman"/>
          <w:noProof/>
          <w:lang w:val="en-US"/>
        </w:rPr>
        <w:drawing>
          <wp:inline distT="0" distB="0" distL="0" distR="0" wp14:anchorId="1F5D7E56" wp14:editId="1EBC18D0">
            <wp:extent cx="5727700" cy="2949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949575"/>
                    </a:xfrm>
                    <a:prstGeom prst="rect">
                      <a:avLst/>
                    </a:prstGeom>
                  </pic:spPr>
                </pic:pic>
              </a:graphicData>
            </a:graphic>
          </wp:inline>
        </w:drawing>
      </w:r>
    </w:p>
    <w:p w14:paraId="6CFEF3A8" w14:textId="1F84EF31" w:rsid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7</w:t>
      </w:r>
      <w:r w:rsidRPr="00E2041F">
        <w:rPr>
          <w:rFonts w:ascii="Times New Roman" w:hAnsi="Times New Roman" w:cs="Times New Roman"/>
          <w:lang w:val="en-US"/>
        </w:rPr>
        <w:t>.</w:t>
      </w:r>
      <w:r>
        <w:rPr>
          <w:rFonts w:ascii="Times New Roman" w:hAnsi="Times New Roman" w:cs="Times New Roman"/>
          <w:lang w:val="en-US"/>
        </w:rPr>
        <w:t xml:space="preserve"> </w:t>
      </w:r>
      <w:r w:rsidRPr="00E2041F">
        <w:rPr>
          <w:rFonts w:ascii="Times New Roman" w:hAnsi="Times New Roman" w:cs="Times New Roman"/>
          <w:b/>
          <w:bCs/>
          <w:lang w:val="en-US"/>
        </w:rPr>
        <w:t>Short read score distribution across various metrics.</w:t>
      </w:r>
      <w:r>
        <w:rPr>
          <w:rFonts w:ascii="Times New Roman" w:hAnsi="Times New Roman" w:cs="Times New Roman"/>
          <w:lang w:val="en-US"/>
        </w:rPr>
        <w:t xml:space="preserve">  Short-read </w:t>
      </w:r>
      <w:proofErr w:type="spellStart"/>
      <w:r>
        <w:rPr>
          <w:rFonts w:ascii="Times New Roman" w:hAnsi="Times New Roman" w:cs="Times New Roman"/>
          <w:lang w:val="en-US"/>
        </w:rPr>
        <w:t>duphold</w:t>
      </w:r>
      <w:proofErr w:type="spellEnd"/>
      <w:r>
        <w:rPr>
          <w:rFonts w:ascii="Times New Roman" w:hAnsi="Times New Roman" w:cs="Times New Roman"/>
          <w:lang w:val="en-US"/>
        </w:rPr>
        <w:t xml:space="preserve"> score (x-axis) and line plot of percentages (y-axis) for CNVRs split by: A. Long-read predicted </w:t>
      </w:r>
      <w:r w:rsidR="00B36B88">
        <w:rPr>
          <w:rFonts w:ascii="Times New Roman" w:hAnsi="Times New Roman" w:cs="Times New Roman"/>
          <w:lang w:val="en-US"/>
        </w:rPr>
        <w:t>support</w:t>
      </w:r>
      <w:r>
        <w:rPr>
          <w:rFonts w:ascii="Times New Roman" w:hAnsi="Times New Roman" w:cs="Times New Roman"/>
          <w:lang w:val="en-US"/>
        </w:rPr>
        <w:t xml:space="preserve"> (</w:t>
      </w:r>
      <w:proofErr w:type="spellStart"/>
      <w:r>
        <w:rPr>
          <w:rFonts w:ascii="Times New Roman" w:hAnsi="Times New Roman" w:cs="Times New Roman"/>
          <w:lang w:val="en-US"/>
        </w:rPr>
        <w:t>VaPoR</w:t>
      </w:r>
      <w:proofErr w:type="spellEnd"/>
      <w:r>
        <w:rPr>
          <w:rFonts w:ascii="Times New Roman" w:hAnsi="Times New Roman" w:cs="Times New Roman"/>
          <w:lang w:val="en-US"/>
        </w:rPr>
        <w:t>), where “</w:t>
      </w:r>
      <w:r w:rsidR="00B36B88">
        <w:rPr>
          <w:rFonts w:ascii="Times New Roman" w:hAnsi="Times New Roman" w:cs="Times New Roman"/>
          <w:lang w:val="en-US"/>
        </w:rPr>
        <w:t xml:space="preserve">concordant” means that </w:t>
      </w:r>
      <w:r w:rsidR="009C7912">
        <w:rPr>
          <w:rFonts w:ascii="Times New Roman" w:hAnsi="Times New Roman" w:cs="Times New Roman"/>
          <w:lang w:val="en-US"/>
        </w:rPr>
        <w:t>t</w:t>
      </w:r>
      <w:r w:rsidR="00B36B88">
        <w:rPr>
          <w:rFonts w:ascii="Times New Roman" w:hAnsi="Times New Roman" w:cs="Times New Roman"/>
          <w:lang w:val="en-US"/>
        </w:rPr>
        <w:t>he chosen long-read dataset supports presence of</w:t>
      </w:r>
      <w:r w:rsidR="009C7912">
        <w:rPr>
          <w:rFonts w:ascii="Times New Roman" w:hAnsi="Times New Roman" w:cs="Times New Roman"/>
          <w:lang w:val="en-US"/>
        </w:rPr>
        <w:t xml:space="preserve"> CNV while “discordant” label means the lack of such support</w:t>
      </w:r>
      <w:r w:rsidR="00B36B88">
        <w:rPr>
          <w:rFonts w:ascii="Times New Roman" w:hAnsi="Times New Roman" w:cs="Times New Roman"/>
          <w:lang w:val="en-US"/>
        </w:rPr>
        <w:t xml:space="preserve"> </w:t>
      </w:r>
      <w:r>
        <w:rPr>
          <w:rFonts w:ascii="Times New Roman" w:hAnsi="Times New Roman" w:cs="Times New Roman"/>
          <w:lang w:val="en-US"/>
        </w:rPr>
        <w:t>; color legend to the left; B. Long-read only CNVRs binned by long-read score; color legend to the left; C. Number of technologies supporting a CNVR (1, 2 or 3), long-read CNVRs are presented by both green (score &gt;1) and pink (score &gt; 5) categories, array CNVRs in red and short-read ones in blue.</w:t>
      </w:r>
    </w:p>
    <w:p w14:paraId="5A9D87C9" w14:textId="686F0428" w:rsidR="00E2041F" w:rsidRDefault="00E2041F" w:rsidP="00E2041F">
      <w:pPr>
        <w:rPr>
          <w:rFonts w:ascii="Times New Roman" w:hAnsi="Times New Roman" w:cs="Times New Roman"/>
          <w:lang w:val="en-US"/>
        </w:rPr>
      </w:pPr>
    </w:p>
    <w:p w14:paraId="05FF6015" w14:textId="26E16FB6" w:rsidR="00E2041F" w:rsidRDefault="00E2041F" w:rsidP="00E2041F">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18756C9" wp14:editId="240D68FA">
            <wp:extent cx="5727700" cy="35369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3536950"/>
                    </a:xfrm>
                    <a:prstGeom prst="rect">
                      <a:avLst/>
                    </a:prstGeom>
                  </pic:spPr>
                </pic:pic>
              </a:graphicData>
            </a:graphic>
          </wp:inline>
        </w:drawing>
      </w:r>
    </w:p>
    <w:p w14:paraId="13A07E4E" w14:textId="11DA5FF8" w:rsid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8</w:t>
      </w:r>
      <w:r w:rsidRPr="00E2041F">
        <w:rPr>
          <w:rFonts w:ascii="Times New Roman" w:hAnsi="Times New Roman" w:cs="Times New Roman"/>
          <w:lang w:val="en-US"/>
        </w:rPr>
        <w:t>.</w:t>
      </w:r>
      <w:r>
        <w:rPr>
          <w:rFonts w:ascii="Times New Roman" w:hAnsi="Times New Roman" w:cs="Times New Roman"/>
          <w:lang w:val="en-US"/>
        </w:rPr>
        <w:t xml:space="preserve"> </w:t>
      </w:r>
      <w:r w:rsidRPr="00E2041F">
        <w:rPr>
          <w:rFonts w:ascii="Times New Roman" w:hAnsi="Times New Roman" w:cs="Times New Roman"/>
          <w:b/>
          <w:bCs/>
          <w:lang w:val="en-US"/>
        </w:rPr>
        <w:t>Overview of various scores and relation to technology support</w:t>
      </w:r>
      <w:r>
        <w:rPr>
          <w:rFonts w:ascii="Times New Roman" w:hAnsi="Times New Roman" w:cs="Times New Roman"/>
          <w:b/>
          <w:bCs/>
          <w:lang w:val="en-US"/>
        </w:rPr>
        <w:t xml:space="preserve">. </w:t>
      </w:r>
      <w:r>
        <w:rPr>
          <w:rFonts w:ascii="Times New Roman" w:hAnsi="Times New Roman" w:cs="Times New Roman"/>
          <w:lang w:val="en-US"/>
        </w:rPr>
        <w:t xml:space="preserve">The various collected scores distributions are shown (y-axis) across CNVRs in three technologies (x-axis), split to two categories of within-technology support (burgundy – supported by multiple datasets, gray – supported by a single dataset). Top and bottom rows for deletions and duplications respectively. From left to right: </w:t>
      </w:r>
      <w:proofErr w:type="spellStart"/>
      <w:r>
        <w:rPr>
          <w:rFonts w:ascii="Times New Roman" w:hAnsi="Times New Roman" w:cs="Times New Roman"/>
          <w:lang w:val="en-US"/>
        </w:rPr>
        <w:t>ar.fc_score</w:t>
      </w:r>
      <w:proofErr w:type="spellEnd"/>
      <w:r>
        <w:rPr>
          <w:rFonts w:ascii="Times New Roman" w:hAnsi="Times New Roman" w:cs="Times New Roman"/>
          <w:lang w:val="en-US"/>
        </w:rPr>
        <w:t xml:space="preserve"> – array fold change score; </w:t>
      </w:r>
      <w:proofErr w:type="spellStart"/>
      <w:r>
        <w:rPr>
          <w:rFonts w:ascii="Times New Roman" w:hAnsi="Times New Roman" w:cs="Times New Roman"/>
          <w:lang w:val="en-US"/>
        </w:rPr>
        <w:t>ar.lrr_median</w:t>
      </w:r>
      <w:proofErr w:type="spellEnd"/>
      <w:r>
        <w:rPr>
          <w:rFonts w:ascii="Times New Roman" w:hAnsi="Times New Roman" w:cs="Times New Roman"/>
          <w:lang w:val="en-US"/>
        </w:rPr>
        <w:t xml:space="preserve"> – median of array Log R Ratio; </w:t>
      </w:r>
      <w:proofErr w:type="spellStart"/>
      <w:r>
        <w:rPr>
          <w:rFonts w:ascii="Times New Roman" w:hAnsi="Times New Roman" w:cs="Times New Roman"/>
          <w:lang w:val="en-US"/>
        </w:rPr>
        <w:t>sr.fc_score</w:t>
      </w:r>
      <w:proofErr w:type="spellEnd"/>
      <w:r>
        <w:rPr>
          <w:rFonts w:ascii="Times New Roman" w:hAnsi="Times New Roman" w:cs="Times New Roman"/>
          <w:lang w:val="en-US"/>
        </w:rPr>
        <w:t xml:space="preserve"> – short-read fold change score</w:t>
      </w:r>
      <w:proofErr w:type="gramStart"/>
      <w:r>
        <w:rPr>
          <w:rFonts w:ascii="Times New Roman" w:hAnsi="Times New Roman" w:cs="Times New Roman"/>
          <w:lang w:val="en-US"/>
        </w:rPr>
        <w:t>, .</w:t>
      </w:r>
      <w:proofErr w:type="gramEnd"/>
      <w:r>
        <w:rPr>
          <w:rFonts w:ascii="Times New Roman" w:hAnsi="Times New Roman" w:cs="Times New Roman"/>
          <w:lang w:val="en-US"/>
        </w:rPr>
        <w:t xml:space="preserve">i.e. </w:t>
      </w:r>
      <w:proofErr w:type="spellStart"/>
      <w:r>
        <w:rPr>
          <w:rFonts w:ascii="Times New Roman" w:hAnsi="Times New Roman" w:cs="Times New Roman"/>
          <w:lang w:val="en-US"/>
        </w:rPr>
        <w:t>duphold</w:t>
      </w:r>
      <w:proofErr w:type="spellEnd"/>
      <w:r>
        <w:rPr>
          <w:rFonts w:ascii="Times New Roman" w:hAnsi="Times New Roman" w:cs="Times New Roman"/>
          <w:lang w:val="en-US"/>
        </w:rPr>
        <w:t xml:space="preserve"> score; </w:t>
      </w:r>
      <w:proofErr w:type="spellStart"/>
      <w:r>
        <w:rPr>
          <w:rFonts w:ascii="Times New Roman" w:hAnsi="Times New Roman" w:cs="Times New Roman"/>
          <w:lang w:val="en-US"/>
        </w:rPr>
        <w:t>tech_score</w:t>
      </w:r>
      <w:proofErr w:type="spellEnd"/>
      <w:r>
        <w:rPr>
          <w:rFonts w:ascii="Times New Roman" w:hAnsi="Times New Roman" w:cs="Times New Roman"/>
          <w:lang w:val="en-US"/>
        </w:rPr>
        <w:t xml:space="preserve"> – score given by a chosen caller within each technology (array – </w:t>
      </w:r>
      <w:proofErr w:type="spellStart"/>
      <w:r>
        <w:rPr>
          <w:rFonts w:ascii="Times New Roman" w:hAnsi="Times New Roman" w:cs="Times New Roman"/>
          <w:lang w:val="en-US"/>
        </w:rPr>
        <w:t>PennCNV</w:t>
      </w:r>
      <w:proofErr w:type="spellEnd"/>
      <w:r>
        <w:rPr>
          <w:rFonts w:ascii="Times New Roman" w:hAnsi="Times New Roman" w:cs="Times New Roman"/>
          <w:lang w:val="en-US"/>
        </w:rPr>
        <w:t xml:space="preserve"> score, long reads – SVIM score, short reads – GRIDSS score).</w:t>
      </w:r>
    </w:p>
    <w:p w14:paraId="1E9EA520" w14:textId="47648345" w:rsidR="00E2041F" w:rsidRDefault="00E2041F" w:rsidP="00E2041F">
      <w:pPr>
        <w:rPr>
          <w:rFonts w:ascii="Times New Roman" w:hAnsi="Times New Roman" w:cs="Times New Roman"/>
          <w:lang w:val="en-US"/>
        </w:rPr>
      </w:pPr>
    </w:p>
    <w:p w14:paraId="760CBA1E" w14:textId="614CF8BF" w:rsidR="00E2041F" w:rsidRDefault="00E2041F" w:rsidP="00E2041F">
      <w:pPr>
        <w:rPr>
          <w:rFonts w:ascii="Times New Roman" w:hAnsi="Times New Roman" w:cs="Times New Roman"/>
          <w:lang w:val="en-US"/>
        </w:rPr>
      </w:pPr>
    </w:p>
    <w:p w14:paraId="60EFAE4C" w14:textId="77777777" w:rsidR="00E2041F" w:rsidRDefault="00E2041F" w:rsidP="00E2041F">
      <w:pPr>
        <w:rPr>
          <w:rFonts w:ascii="Times New Roman" w:hAnsi="Times New Roman" w:cs="Times New Roman"/>
          <w:lang w:val="en-US"/>
        </w:rPr>
      </w:pPr>
    </w:p>
    <w:p w14:paraId="518EE59F" w14:textId="46CAC03F" w:rsidR="00E2041F" w:rsidRDefault="00E2041F" w:rsidP="00E2041F">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8C52E91" wp14:editId="1DBEA8D4">
            <wp:extent cx="5727700" cy="35210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3521075"/>
                    </a:xfrm>
                    <a:prstGeom prst="rect">
                      <a:avLst/>
                    </a:prstGeom>
                  </pic:spPr>
                </pic:pic>
              </a:graphicData>
            </a:graphic>
          </wp:inline>
        </w:drawing>
      </w:r>
    </w:p>
    <w:p w14:paraId="6B3E0734" w14:textId="02887CFD" w:rsid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9</w:t>
      </w:r>
      <w:r w:rsidRPr="00E2041F">
        <w:rPr>
          <w:rFonts w:ascii="Times New Roman" w:hAnsi="Times New Roman" w:cs="Times New Roman"/>
          <w:lang w:val="en-US"/>
        </w:rPr>
        <w:t>.</w:t>
      </w:r>
      <w:r>
        <w:rPr>
          <w:rFonts w:ascii="Times New Roman" w:hAnsi="Times New Roman" w:cs="Times New Roman"/>
          <w:lang w:val="en-US"/>
        </w:rPr>
        <w:t xml:space="preserve"> </w:t>
      </w:r>
      <w:r w:rsidRPr="00E2041F">
        <w:rPr>
          <w:rFonts w:ascii="Times New Roman" w:hAnsi="Times New Roman" w:cs="Times New Roman"/>
          <w:b/>
          <w:bCs/>
          <w:lang w:val="en-US"/>
        </w:rPr>
        <w:t xml:space="preserve">Average </w:t>
      </w:r>
      <w:proofErr w:type="spellStart"/>
      <w:r w:rsidRPr="00E2041F">
        <w:rPr>
          <w:rFonts w:ascii="Times New Roman" w:hAnsi="Times New Roman" w:cs="Times New Roman"/>
          <w:b/>
          <w:bCs/>
          <w:lang w:val="en-US"/>
        </w:rPr>
        <w:t>mappability</w:t>
      </w:r>
      <w:proofErr w:type="spellEnd"/>
      <w:r w:rsidRPr="00E2041F">
        <w:rPr>
          <w:rFonts w:ascii="Times New Roman" w:hAnsi="Times New Roman" w:cs="Times New Roman"/>
          <w:b/>
          <w:bCs/>
          <w:lang w:val="en-US"/>
        </w:rPr>
        <w:t xml:space="preserve"> and coverage by seg</w:t>
      </w:r>
      <w:r>
        <w:rPr>
          <w:rFonts w:ascii="Times New Roman" w:hAnsi="Times New Roman" w:cs="Times New Roman"/>
          <w:b/>
          <w:bCs/>
          <w:lang w:val="en-US"/>
        </w:rPr>
        <w:t>mental d</w:t>
      </w:r>
      <w:r w:rsidRPr="00E2041F">
        <w:rPr>
          <w:rFonts w:ascii="Times New Roman" w:hAnsi="Times New Roman" w:cs="Times New Roman"/>
          <w:b/>
          <w:bCs/>
          <w:lang w:val="en-US"/>
        </w:rPr>
        <w:t>up</w:t>
      </w:r>
      <w:r>
        <w:rPr>
          <w:rFonts w:ascii="Times New Roman" w:hAnsi="Times New Roman" w:cs="Times New Roman"/>
          <w:b/>
          <w:bCs/>
          <w:lang w:val="en-US"/>
        </w:rPr>
        <w:t>lication</w:t>
      </w:r>
      <w:r w:rsidRPr="00E2041F">
        <w:rPr>
          <w:rFonts w:ascii="Times New Roman" w:hAnsi="Times New Roman" w:cs="Times New Roman"/>
          <w:b/>
          <w:bCs/>
          <w:lang w:val="en-US"/>
        </w:rPr>
        <w:t>s</w:t>
      </w:r>
      <w:r>
        <w:rPr>
          <w:rFonts w:ascii="Times New Roman" w:hAnsi="Times New Roman" w:cs="Times New Roman"/>
          <w:b/>
          <w:bCs/>
          <w:lang w:val="en-US"/>
        </w:rPr>
        <w:t xml:space="preserve"> at the CNVR breakpoints</w:t>
      </w:r>
      <w:r w:rsidRPr="00E2041F">
        <w:rPr>
          <w:rFonts w:ascii="Times New Roman" w:hAnsi="Times New Roman" w:cs="Times New Roman"/>
          <w:b/>
          <w:bCs/>
          <w:lang w:val="en-US"/>
        </w:rPr>
        <w:t>.</w:t>
      </w:r>
      <w:r>
        <w:rPr>
          <w:rFonts w:ascii="Times New Roman" w:hAnsi="Times New Roman" w:cs="Times New Roman"/>
          <w:b/>
          <w:bCs/>
          <w:lang w:val="en-US"/>
        </w:rPr>
        <w:t xml:space="preserve">  </w:t>
      </w:r>
      <w:r>
        <w:rPr>
          <w:rFonts w:ascii="Times New Roman" w:hAnsi="Times New Roman" w:cs="Times New Roman"/>
          <w:lang w:val="en-US"/>
        </w:rPr>
        <w:t xml:space="preserve">Sequence at +/- 100 </w:t>
      </w:r>
      <w:proofErr w:type="spellStart"/>
      <w:r>
        <w:rPr>
          <w:rFonts w:ascii="Times New Roman" w:hAnsi="Times New Roman" w:cs="Times New Roman"/>
          <w:lang w:val="en-US"/>
        </w:rPr>
        <w:t>basepairs</w:t>
      </w:r>
      <w:proofErr w:type="spellEnd"/>
      <w:r>
        <w:rPr>
          <w:rFonts w:ascii="Times New Roman" w:hAnsi="Times New Roman" w:cs="Times New Roman"/>
          <w:lang w:val="en-US"/>
        </w:rPr>
        <w:t xml:space="preserve"> around the predicted breakpoints is taken for the calculation. Top panel: x-axis – average </w:t>
      </w:r>
      <w:proofErr w:type="spellStart"/>
      <w:r>
        <w:rPr>
          <w:rFonts w:ascii="Times New Roman" w:hAnsi="Times New Roman" w:cs="Times New Roman"/>
          <w:lang w:val="en-US"/>
        </w:rPr>
        <w:t>mappability</w:t>
      </w:r>
      <w:proofErr w:type="spellEnd"/>
      <w:r>
        <w:rPr>
          <w:rFonts w:ascii="Times New Roman" w:hAnsi="Times New Roman" w:cs="Times New Roman"/>
          <w:lang w:val="en-US"/>
        </w:rPr>
        <w:t xml:space="preserve"> at the breakpoints, y-axis – line plot of percentages of CNVRs; left to right panels – overlap with segmental duplications (</w:t>
      </w:r>
      <w:proofErr w:type="spellStart"/>
      <w:r>
        <w:rPr>
          <w:rFonts w:ascii="Times New Roman" w:hAnsi="Times New Roman" w:cs="Times New Roman"/>
          <w:lang w:val="en-US"/>
        </w:rPr>
        <w:t>segDups</w:t>
      </w:r>
      <w:proofErr w:type="spellEnd"/>
      <w:r>
        <w:rPr>
          <w:rFonts w:ascii="Times New Roman" w:hAnsi="Times New Roman" w:cs="Times New Roman"/>
          <w:lang w:val="en-US"/>
        </w:rPr>
        <w:t xml:space="preserve">) at both breakpoints, only one and no overlap; bottom panel: x-axis – coverage by </w:t>
      </w:r>
      <w:proofErr w:type="spellStart"/>
      <w:r>
        <w:rPr>
          <w:rFonts w:ascii="Times New Roman" w:hAnsi="Times New Roman" w:cs="Times New Roman"/>
          <w:lang w:val="en-US"/>
        </w:rPr>
        <w:t>segDups</w:t>
      </w:r>
      <w:proofErr w:type="spellEnd"/>
      <w:r>
        <w:rPr>
          <w:rFonts w:ascii="Times New Roman" w:hAnsi="Times New Roman" w:cs="Times New Roman"/>
          <w:lang w:val="en-US"/>
        </w:rPr>
        <w:t xml:space="preserve"> in percentage of the CNVR, y-axis line plot of percentages of CNVRs; left to right panel – technologies from array, to long reads to short reads. Color code: burgundy – supported by multiple datasets, gray – supported by a single dataset.</w:t>
      </w:r>
    </w:p>
    <w:p w14:paraId="4FF2E4C0" w14:textId="65FE7D90" w:rsidR="00E2041F" w:rsidRDefault="00E2041F" w:rsidP="00E2041F">
      <w:pPr>
        <w:rPr>
          <w:rFonts w:ascii="Times New Roman" w:hAnsi="Times New Roman" w:cs="Times New Roman"/>
          <w:lang w:val="en-US"/>
        </w:rPr>
      </w:pPr>
    </w:p>
    <w:p w14:paraId="6F23E2FD" w14:textId="4EC7F068" w:rsidR="00E2041F" w:rsidRDefault="00E2041F" w:rsidP="00E2041F">
      <w:pPr>
        <w:rPr>
          <w:rFonts w:ascii="Times New Roman" w:hAnsi="Times New Roman" w:cs="Times New Roman"/>
          <w:lang w:val="en-US"/>
        </w:rPr>
      </w:pPr>
    </w:p>
    <w:p w14:paraId="675EA038" w14:textId="77777777" w:rsidR="00E2041F" w:rsidRDefault="00E2041F" w:rsidP="00E2041F">
      <w:pPr>
        <w:rPr>
          <w:rFonts w:ascii="Times New Roman" w:hAnsi="Times New Roman" w:cs="Times New Roman"/>
          <w:lang w:val="en-US"/>
        </w:rPr>
      </w:pPr>
    </w:p>
    <w:p w14:paraId="5A24A231" w14:textId="02DD44EC" w:rsidR="00E2041F" w:rsidRDefault="00E2041F" w:rsidP="00E2041F">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21A1041" wp14:editId="1307B9F0">
            <wp:extent cx="5727700" cy="35629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3562985"/>
                    </a:xfrm>
                    <a:prstGeom prst="rect">
                      <a:avLst/>
                    </a:prstGeom>
                  </pic:spPr>
                </pic:pic>
              </a:graphicData>
            </a:graphic>
          </wp:inline>
        </w:drawing>
      </w:r>
    </w:p>
    <w:p w14:paraId="7DA9C4AF" w14:textId="61A45F11" w:rsidR="00E2041F" w:rsidRPr="00E2041F" w:rsidRDefault="00E2041F" w:rsidP="00E2041F">
      <w:pPr>
        <w:rPr>
          <w:rFonts w:ascii="Times New Roman" w:hAnsi="Times New Roman" w:cs="Times New Roman"/>
          <w:lang w:val="en-US"/>
        </w:rPr>
      </w:pPr>
      <w:r w:rsidRPr="00E2041F">
        <w:rPr>
          <w:rFonts w:ascii="Times New Roman" w:hAnsi="Times New Roman" w:cs="Times New Roman"/>
          <w:lang w:val="en-US"/>
        </w:rPr>
        <w:t>Figure S</w:t>
      </w:r>
      <w:r w:rsidR="006D68EA">
        <w:rPr>
          <w:rFonts w:ascii="Times New Roman" w:hAnsi="Times New Roman" w:cs="Times New Roman"/>
          <w:lang w:val="en-US"/>
        </w:rPr>
        <w:t>10</w:t>
      </w:r>
      <w:r w:rsidRPr="00E2041F">
        <w:rPr>
          <w:rFonts w:ascii="Times New Roman" w:hAnsi="Times New Roman" w:cs="Times New Roman"/>
          <w:lang w:val="en-US"/>
        </w:rPr>
        <w:t>.</w:t>
      </w:r>
      <w:r>
        <w:rPr>
          <w:rFonts w:ascii="Times New Roman" w:hAnsi="Times New Roman" w:cs="Times New Roman"/>
          <w:lang w:val="en-US"/>
        </w:rPr>
        <w:t xml:space="preserve"> </w:t>
      </w:r>
      <w:r w:rsidRPr="00E2041F">
        <w:rPr>
          <w:rFonts w:ascii="Times New Roman" w:hAnsi="Times New Roman" w:cs="Times New Roman"/>
          <w:b/>
          <w:bCs/>
          <w:lang w:val="en-US"/>
        </w:rPr>
        <w:t>Repeat and GC content of flanking regions of CNVs.</w:t>
      </w:r>
      <w:r>
        <w:rPr>
          <w:rFonts w:ascii="Times New Roman" w:hAnsi="Times New Roman" w:cs="Times New Roman"/>
          <w:b/>
          <w:bCs/>
          <w:lang w:val="en-US"/>
        </w:rPr>
        <w:t xml:space="preserve"> </w:t>
      </w:r>
      <w:r>
        <w:rPr>
          <w:rFonts w:ascii="Times New Roman" w:hAnsi="Times New Roman" w:cs="Times New Roman"/>
          <w:lang w:val="en-US"/>
        </w:rPr>
        <w:t xml:space="preserve">Sequence at +/- 100 </w:t>
      </w:r>
      <w:proofErr w:type="spellStart"/>
      <w:r>
        <w:rPr>
          <w:rFonts w:ascii="Times New Roman" w:hAnsi="Times New Roman" w:cs="Times New Roman"/>
          <w:lang w:val="en-US"/>
        </w:rPr>
        <w:t>basepairs</w:t>
      </w:r>
      <w:proofErr w:type="spellEnd"/>
      <w:r>
        <w:rPr>
          <w:rFonts w:ascii="Times New Roman" w:hAnsi="Times New Roman" w:cs="Times New Roman"/>
          <w:lang w:val="en-US"/>
        </w:rPr>
        <w:t xml:space="preserve"> around the predicted breakpoints is taken for the calculation. Top panel: Presence of repeats at the breakpoints on x-axis (no repeats, one side only, both sides); CNVRs split by within-technology support (burgundy – supported by multiple datasets, gray – supported by a single dataset). Percentage of CNVRs in each bin are shown (y-axis), panels left to right: all array CNVRs, subset of array CNVRs with breakpoints close to other technology breakpoints (assuming more accurate set of calls), long-read CNVRs, short-read CNVRs; bottom panel: the same sets as in the panels above on the x-axis, GC-content percentage at the breakpoints on the y-axis. Median value for each violin plot is shown, significant difference (Wilcoxon test) indicated by stars or ns for not significant.</w:t>
      </w:r>
    </w:p>
    <w:sectPr w:rsidR="00E2041F" w:rsidRPr="00E2041F" w:rsidSect="002B291C">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C18A1" w14:textId="77777777" w:rsidR="007E1F63" w:rsidRDefault="007E1F63" w:rsidP="001A63BE">
      <w:r>
        <w:separator/>
      </w:r>
    </w:p>
  </w:endnote>
  <w:endnote w:type="continuationSeparator" w:id="0">
    <w:p w14:paraId="58C997F6" w14:textId="77777777" w:rsidR="007E1F63" w:rsidRDefault="007E1F63" w:rsidP="001A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8102272"/>
      <w:docPartObj>
        <w:docPartGallery w:val="Page Numbers (Bottom of Page)"/>
        <w:docPartUnique/>
      </w:docPartObj>
    </w:sdtPr>
    <w:sdtEndPr>
      <w:rPr>
        <w:rStyle w:val="PageNumber"/>
      </w:rPr>
    </w:sdtEndPr>
    <w:sdtContent>
      <w:p w14:paraId="5AAE5F82" w14:textId="165A691B" w:rsidR="006941CF" w:rsidRDefault="006941CF" w:rsidP="002172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28B0BF" w14:textId="77777777" w:rsidR="00E608E7" w:rsidRDefault="00E608E7" w:rsidP="00694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1720108"/>
      <w:docPartObj>
        <w:docPartGallery w:val="Page Numbers (Bottom of Page)"/>
        <w:docPartUnique/>
      </w:docPartObj>
    </w:sdtPr>
    <w:sdtEndPr>
      <w:rPr>
        <w:rStyle w:val="PageNumber"/>
      </w:rPr>
    </w:sdtEndPr>
    <w:sdtContent>
      <w:p w14:paraId="1328A141" w14:textId="63040CA9" w:rsidR="006941CF" w:rsidRDefault="006941CF" w:rsidP="002172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188694" w14:textId="77777777" w:rsidR="00E608E7" w:rsidRDefault="00E608E7" w:rsidP="006941C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0E3B9" w14:textId="77777777" w:rsidR="006941CF" w:rsidRDefault="00694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FF05E" w14:textId="77777777" w:rsidR="007E1F63" w:rsidRDefault="007E1F63" w:rsidP="001A63BE">
      <w:r>
        <w:separator/>
      </w:r>
    </w:p>
  </w:footnote>
  <w:footnote w:type="continuationSeparator" w:id="0">
    <w:p w14:paraId="2083F122" w14:textId="77777777" w:rsidR="007E1F63" w:rsidRDefault="007E1F63" w:rsidP="001A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6322016"/>
      <w:docPartObj>
        <w:docPartGallery w:val="Page Numbers (Top of Page)"/>
        <w:docPartUnique/>
      </w:docPartObj>
    </w:sdtPr>
    <w:sdtEndPr>
      <w:rPr>
        <w:rStyle w:val="PageNumber"/>
      </w:rPr>
    </w:sdtEndPr>
    <w:sdtContent>
      <w:p w14:paraId="093756EC" w14:textId="61DBBB70" w:rsidR="00E608E7" w:rsidRDefault="00E608E7" w:rsidP="002172E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F62B27" w14:textId="77777777" w:rsidR="001A63BE" w:rsidRDefault="001A63BE" w:rsidP="00E608E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B18DF" w14:textId="77777777" w:rsidR="00E608E7" w:rsidRDefault="00E608E7">
    <w:pPr>
      <w:pStyle w:val="Header"/>
    </w:pPr>
    <w:r>
      <w:rPr>
        <w:noProof/>
      </w:rPr>
      <mc:AlternateContent>
        <mc:Choice Requires="wps">
          <w:drawing>
            <wp:anchor distT="0" distB="0" distL="114300" distR="114300" simplePos="0" relativeHeight="251659264" behindDoc="0" locked="0" layoutInCell="1" allowOverlap="1" wp14:anchorId="1F35F7C2" wp14:editId="1AB6C0CE">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52919"/>
              <wp:effectExtent l="0" t="0" r="1270" b="1270"/>
              <wp:wrapNone/>
              <wp:docPr id="47" name="Rectangle 47" title="Document Title"/>
              <wp:cNvGraphicFramePr/>
              <a:graphic xmlns:a="http://schemas.openxmlformats.org/drawingml/2006/main">
                <a:graphicData uri="http://schemas.microsoft.com/office/word/2010/wordprocessingShape">
                  <wps:wsp>
                    <wps:cNvSpPr/>
                    <wps:spPr>
                      <a:xfrm>
                        <a:off x="0" y="0"/>
                        <a:ext cx="914400" cy="25291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926B19" w14:textId="282D2BEA" w:rsidR="00E608E7" w:rsidRPr="00E608E7" w:rsidRDefault="00E608E7" w:rsidP="00E608E7">
                          <w:pPr>
                            <w:pStyle w:val="NormalWeb"/>
                            <w:jc w:val="center"/>
                            <w:rPr>
                              <w:i/>
                              <w:iCs/>
                              <w:sz w:val="20"/>
                              <w:szCs w:val="20"/>
                            </w:rPr>
                          </w:pPr>
                          <w:r w:rsidRPr="00E608E7">
                            <w:rPr>
                              <w:i/>
                              <w:iCs/>
                              <w:sz w:val="20"/>
                              <w:szCs w:val="20"/>
                            </w:rPr>
                            <w:t>Comprehensive characterization of Copy Number Variation (CNV) called from array, long- and short-read data</w:t>
                          </w:r>
                        </w:p>
                        <w:p w14:paraId="234252B6" w14:textId="453228E7" w:rsidR="00E608E7" w:rsidRPr="00E608E7" w:rsidRDefault="00E608E7" w:rsidP="00E608E7">
                          <w:pPr>
                            <w:pStyle w:val="NoSpacing"/>
                            <w:jc w:val="center"/>
                            <w:rPr>
                              <w:rFonts w:ascii="Times New Roman" w:hAnsi="Times New Roman" w:cs="Times New Roman"/>
                              <w:b/>
                              <w:i/>
                              <w:iCs/>
                              <w:caps/>
                              <w:spacing w:val="20"/>
                              <w:sz w:val="20"/>
                              <w:szCs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1F35F7C2" id="Rectangle 47" o:spid="_x0000_s1026" alt="Title: Document Title" style="position:absolute;margin-left:0;margin-top:0;width:1in;height:19.9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" fillcolor="#44546a [3215]" stroked="f" strokeweight="1pt">
              <v:textbox inset=",0,,0">
                <w:txbxContent>
                  <w:p w14:paraId="01926B19" w14:textId="282D2BEA" w:rsidR="00E608E7" w:rsidRPr="00E608E7" w:rsidRDefault="00E608E7" w:rsidP="00E608E7">
                    <w:pPr>
                      <w:pStyle w:val="NormalWeb"/>
                      <w:jc w:val="center"/>
                      <w:rPr>
                        <w:i/>
                        <w:iCs/>
                        <w:sz w:val="20"/>
                        <w:szCs w:val="20"/>
                      </w:rPr>
                    </w:pPr>
                    <w:r w:rsidRPr="00E608E7">
                      <w:rPr>
                        <w:i/>
                        <w:iCs/>
                        <w:sz w:val="20"/>
                        <w:szCs w:val="20"/>
                      </w:rPr>
                      <w:t>Comprehensive characterization of Copy Number</w:t>
                    </w:r>
                    <w:r w:rsidRPr="00E608E7">
                      <w:rPr>
                        <w:i/>
                        <w:iCs/>
                        <w:sz w:val="20"/>
                        <w:szCs w:val="20"/>
                      </w:rPr>
                      <w:t xml:space="preserve"> </w:t>
                    </w:r>
                    <w:r w:rsidRPr="00E608E7">
                      <w:rPr>
                        <w:i/>
                        <w:iCs/>
                        <w:sz w:val="20"/>
                        <w:szCs w:val="20"/>
                      </w:rPr>
                      <w:t>Variation (CNV) called from array, long- and short-read data</w:t>
                    </w:r>
                  </w:p>
                  <w:p w14:paraId="234252B6" w14:textId="453228E7" w:rsidR="00E608E7" w:rsidRPr="00E608E7" w:rsidRDefault="00E608E7" w:rsidP="00E608E7">
                    <w:pPr>
                      <w:pStyle w:val="NoSpacing"/>
                      <w:jc w:val="center"/>
                      <w:rPr>
                        <w:rFonts w:ascii="Times New Roman" w:hAnsi="Times New Roman" w:cs="Times New Roman"/>
                        <w:b/>
                        <w:i/>
                        <w:iCs/>
                        <w:caps/>
                        <w:spacing w:val="20"/>
                        <w:sz w:val="20"/>
                        <w:szCs w:val="20"/>
                      </w:rPr>
                    </w:pPr>
                  </w:p>
                </w:txbxContent>
              </v:textbox>
              <w10:wrap anchorx="page" anchory="page"/>
            </v:rect>
          </w:pict>
        </mc:Fallback>
      </mc:AlternateContent>
    </w:r>
  </w:p>
  <w:p w14:paraId="578796B9" w14:textId="05067EC4" w:rsidR="001A63BE" w:rsidRPr="001A63BE" w:rsidRDefault="001A63BE" w:rsidP="00E608E7">
    <w:pPr>
      <w:pStyle w:val="NormalWeb"/>
      <w:ind w:right="360"/>
      <w:rPr>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B83EA" w14:textId="77777777" w:rsidR="006941CF" w:rsidRDefault="006941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1F"/>
    <w:rsid w:val="00016F11"/>
    <w:rsid w:val="000F5E36"/>
    <w:rsid w:val="00133771"/>
    <w:rsid w:val="00191A7E"/>
    <w:rsid w:val="001A63BE"/>
    <w:rsid w:val="00203604"/>
    <w:rsid w:val="002279E2"/>
    <w:rsid w:val="00244944"/>
    <w:rsid w:val="002712BA"/>
    <w:rsid w:val="002B291C"/>
    <w:rsid w:val="00324755"/>
    <w:rsid w:val="00351E5D"/>
    <w:rsid w:val="00367C70"/>
    <w:rsid w:val="00370082"/>
    <w:rsid w:val="00397A16"/>
    <w:rsid w:val="003D10D0"/>
    <w:rsid w:val="003D57D3"/>
    <w:rsid w:val="00430B39"/>
    <w:rsid w:val="004519B8"/>
    <w:rsid w:val="004E52EF"/>
    <w:rsid w:val="005B3658"/>
    <w:rsid w:val="005C181E"/>
    <w:rsid w:val="005C735F"/>
    <w:rsid w:val="00604923"/>
    <w:rsid w:val="006322F7"/>
    <w:rsid w:val="00657674"/>
    <w:rsid w:val="00682292"/>
    <w:rsid w:val="006941CF"/>
    <w:rsid w:val="006D68EA"/>
    <w:rsid w:val="00734529"/>
    <w:rsid w:val="0075684F"/>
    <w:rsid w:val="00763642"/>
    <w:rsid w:val="00780647"/>
    <w:rsid w:val="007B3931"/>
    <w:rsid w:val="007E1F63"/>
    <w:rsid w:val="0081164D"/>
    <w:rsid w:val="00865887"/>
    <w:rsid w:val="008666C9"/>
    <w:rsid w:val="00895D8A"/>
    <w:rsid w:val="00972777"/>
    <w:rsid w:val="00973C12"/>
    <w:rsid w:val="009A73D3"/>
    <w:rsid w:val="009C7912"/>
    <w:rsid w:val="009E6456"/>
    <w:rsid w:val="00A106C8"/>
    <w:rsid w:val="00B36B88"/>
    <w:rsid w:val="00B44E70"/>
    <w:rsid w:val="00B55307"/>
    <w:rsid w:val="00B87B73"/>
    <w:rsid w:val="00BA0778"/>
    <w:rsid w:val="00BB2013"/>
    <w:rsid w:val="00BD6111"/>
    <w:rsid w:val="00BF4E29"/>
    <w:rsid w:val="00C31807"/>
    <w:rsid w:val="00C5723F"/>
    <w:rsid w:val="00C7018C"/>
    <w:rsid w:val="00CE21D7"/>
    <w:rsid w:val="00D84326"/>
    <w:rsid w:val="00DA6BB9"/>
    <w:rsid w:val="00E2041F"/>
    <w:rsid w:val="00E608E7"/>
    <w:rsid w:val="00E77CBC"/>
    <w:rsid w:val="00EB6F35"/>
    <w:rsid w:val="00F53543"/>
    <w:rsid w:val="00F71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3DF46"/>
  <w15:chartTrackingRefBased/>
  <w15:docId w15:val="{A1A4729D-D3C6-524A-8045-5C7EE26A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41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41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204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41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A63BE"/>
    <w:pPr>
      <w:tabs>
        <w:tab w:val="center" w:pos="4513"/>
        <w:tab w:val="right" w:pos="9026"/>
      </w:tabs>
    </w:pPr>
  </w:style>
  <w:style w:type="character" w:customStyle="1" w:styleId="HeaderChar">
    <w:name w:val="Header Char"/>
    <w:basedOn w:val="DefaultParagraphFont"/>
    <w:link w:val="Header"/>
    <w:uiPriority w:val="99"/>
    <w:rsid w:val="001A63BE"/>
  </w:style>
  <w:style w:type="paragraph" w:styleId="Footer">
    <w:name w:val="footer"/>
    <w:basedOn w:val="Normal"/>
    <w:link w:val="FooterChar"/>
    <w:uiPriority w:val="99"/>
    <w:unhideWhenUsed/>
    <w:rsid w:val="001A63BE"/>
    <w:pPr>
      <w:tabs>
        <w:tab w:val="center" w:pos="4513"/>
        <w:tab w:val="right" w:pos="9026"/>
      </w:tabs>
    </w:pPr>
  </w:style>
  <w:style w:type="character" w:customStyle="1" w:styleId="FooterChar">
    <w:name w:val="Footer Char"/>
    <w:basedOn w:val="DefaultParagraphFont"/>
    <w:link w:val="Footer"/>
    <w:uiPriority w:val="99"/>
    <w:rsid w:val="001A63BE"/>
  </w:style>
  <w:style w:type="paragraph" w:styleId="NormalWeb">
    <w:name w:val="Normal (Web)"/>
    <w:basedOn w:val="Normal"/>
    <w:uiPriority w:val="99"/>
    <w:unhideWhenUsed/>
    <w:rsid w:val="001A63BE"/>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E608E7"/>
  </w:style>
  <w:style w:type="paragraph" w:styleId="NoSpacing">
    <w:name w:val="No Spacing"/>
    <w:uiPriority w:val="1"/>
    <w:qFormat/>
    <w:rsid w:val="00E608E7"/>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204264">
      <w:bodyDiv w:val="1"/>
      <w:marLeft w:val="0"/>
      <w:marRight w:val="0"/>
      <w:marTop w:val="0"/>
      <w:marBottom w:val="0"/>
      <w:divBdr>
        <w:top w:val="none" w:sz="0" w:space="0" w:color="auto"/>
        <w:left w:val="none" w:sz="0" w:space="0" w:color="auto"/>
        <w:bottom w:val="none" w:sz="0" w:space="0" w:color="auto"/>
        <w:right w:val="none" w:sz="0" w:space="0" w:color="auto"/>
      </w:divBdr>
      <w:divsChild>
        <w:div w:id="970553647">
          <w:marLeft w:val="0"/>
          <w:marRight w:val="0"/>
          <w:marTop w:val="0"/>
          <w:marBottom w:val="0"/>
          <w:divBdr>
            <w:top w:val="none" w:sz="0" w:space="0" w:color="auto"/>
            <w:left w:val="none" w:sz="0" w:space="0" w:color="auto"/>
            <w:bottom w:val="none" w:sz="0" w:space="0" w:color="auto"/>
            <w:right w:val="none" w:sz="0" w:space="0" w:color="auto"/>
          </w:divBdr>
          <w:divsChild>
            <w:div w:id="2090106844">
              <w:marLeft w:val="0"/>
              <w:marRight w:val="0"/>
              <w:marTop w:val="0"/>
              <w:marBottom w:val="0"/>
              <w:divBdr>
                <w:top w:val="none" w:sz="0" w:space="0" w:color="auto"/>
                <w:left w:val="none" w:sz="0" w:space="0" w:color="auto"/>
                <w:bottom w:val="none" w:sz="0" w:space="0" w:color="auto"/>
                <w:right w:val="none" w:sz="0" w:space="0" w:color="auto"/>
              </w:divBdr>
              <w:divsChild>
                <w:div w:id="1623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8476">
      <w:bodyDiv w:val="1"/>
      <w:marLeft w:val="0"/>
      <w:marRight w:val="0"/>
      <w:marTop w:val="0"/>
      <w:marBottom w:val="0"/>
      <w:divBdr>
        <w:top w:val="none" w:sz="0" w:space="0" w:color="auto"/>
        <w:left w:val="none" w:sz="0" w:space="0" w:color="auto"/>
        <w:bottom w:val="none" w:sz="0" w:space="0" w:color="auto"/>
        <w:right w:val="none" w:sz="0" w:space="0" w:color="auto"/>
      </w:divBdr>
      <w:divsChild>
        <w:div w:id="2023431799">
          <w:marLeft w:val="0"/>
          <w:marRight w:val="0"/>
          <w:marTop w:val="0"/>
          <w:marBottom w:val="0"/>
          <w:divBdr>
            <w:top w:val="none" w:sz="0" w:space="0" w:color="auto"/>
            <w:left w:val="none" w:sz="0" w:space="0" w:color="auto"/>
            <w:bottom w:val="none" w:sz="0" w:space="0" w:color="auto"/>
            <w:right w:val="none" w:sz="0" w:space="0" w:color="auto"/>
          </w:divBdr>
          <w:divsChild>
            <w:div w:id="418261498">
              <w:marLeft w:val="0"/>
              <w:marRight w:val="0"/>
              <w:marTop w:val="0"/>
              <w:marBottom w:val="0"/>
              <w:divBdr>
                <w:top w:val="none" w:sz="0" w:space="0" w:color="auto"/>
                <w:left w:val="none" w:sz="0" w:space="0" w:color="auto"/>
                <w:bottom w:val="none" w:sz="0" w:space="0" w:color="auto"/>
                <w:right w:val="none" w:sz="0" w:space="0" w:color="auto"/>
              </w:divBdr>
              <w:divsChild>
                <w:div w:id="1718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8</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 Lavrichenko</dc:creator>
  <cp:keywords/>
  <dc:description/>
  <cp:lastModifiedBy>Ksenia Lavrichenko</cp:lastModifiedBy>
  <cp:revision>8</cp:revision>
  <dcterms:created xsi:type="dcterms:W3CDTF">2021-06-09T15:46:00Z</dcterms:created>
  <dcterms:modified xsi:type="dcterms:W3CDTF">2021-09-09T15:29:00Z</dcterms:modified>
</cp:coreProperties>
</file>