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3FE50B4" w:rsidR="00FA391B" w:rsidRDefault="00D4128F" w:rsidP="00D4128F">
      <w:pPr>
        <w:spacing w:line="240" w:lineRule="auto"/>
        <w:rPr>
          <w:b/>
        </w:rPr>
      </w:pPr>
      <w:r>
        <w:rPr>
          <w:b/>
        </w:rPr>
        <w:t>Developmental series of gene expression clarifies maternal mRNA provisioning and maternal-to-zygotic transition in a reef-building coral</w:t>
      </w:r>
    </w:p>
    <w:p w14:paraId="00000002" w14:textId="77777777" w:rsidR="00FA391B" w:rsidRDefault="00FA391B">
      <w:pPr>
        <w:spacing w:line="240" w:lineRule="auto"/>
        <w:ind w:right="20"/>
        <w:jc w:val="both"/>
      </w:pPr>
    </w:p>
    <w:p w14:paraId="00000003" w14:textId="77777777" w:rsidR="00FA391B" w:rsidRDefault="00882EC8">
      <w:pPr>
        <w:spacing w:line="240" w:lineRule="auto"/>
        <w:ind w:right="20"/>
        <w:jc w:val="both"/>
      </w:pPr>
      <w:r>
        <w:t xml:space="preserve">Chille E, Strand E, </w:t>
      </w:r>
      <w:proofErr w:type="spellStart"/>
      <w:r>
        <w:t>Neder</w:t>
      </w:r>
      <w:proofErr w:type="spellEnd"/>
      <w:r>
        <w:t xml:space="preserve"> M, Schmidt V, Sherman M, Mass T, Putnam HM</w:t>
      </w:r>
    </w:p>
    <w:p w14:paraId="00000004" w14:textId="77777777" w:rsidR="00FA391B" w:rsidRDefault="00FA391B">
      <w:pPr>
        <w:widowControl w:val="0"/>
        <w:spacing w:line="240" w:lineRule="auto"/>
        <w:ind w:right="20"/>
        <w:jc w:val="both"/>
      </w:pPr>
    </w:p>
    <w:p w14:paraId="00000005" w14:textId="77777777" w:rsidR="00FA391B" w:rsidRDefault="00C927B2">
      <w:pPr>
        <w:widowControl w:val="0"/>
        <w:spacing w:line="240" w:lineRule="auto"/>
        <w:ind w:right="20"/>
        <w:jc w:val="both"/>
      </w:pPr>
      <w:r>
        <w:rPr>
          <w:noProof/>
        </w:rPr>
        <w:pict w14:anchorId="4992B945">
          <v:rect id="_x0000_i1026" alt="" style="width:467pt;height:.05pt;mso-width-percent:0;mso-height-percent:0;mso-width-percent:0;mso-height-percent:0" o:hralign="center" o:hrstd="t" o:hr="t" fillcolor="#a0a0a0" stroked="f"/>
        </w:pict>
      </w:r>
    </w:p>
    <w:p w14:paraId="00000006" w14:textId="77777777" w:rsidR="00FA391B" w:rsidRDefault="00FA391B">
      <w:pPr>
        <w:pStyle w:val="Heading2"/>
      </w:pPr>
      <w:bookmarkStart w:id="0" w:name="_heading=h.gjdgxs" w:colFirst="0" w:colLast="0"/>
      <w:bookmarkEnd w:id="0"/>
    </w:p>
    <w:p w14:paraId="00000007" w14:textId="77777777" w:rsidR="00FA391B" w:rsidRDefault="00882EC8">
      <w:pPr>
        <w:pStyle w:val="Heading2"/>
        <w:rPr>
          <w:i/>
          <w:u w:val="single"/>
        </w:rPr>
      </w:pPr>
      <w:bookmarkStart w:id="1" w:name="_heading=h.30j0zll" w:colFirst="0" w:colLast="0"/>
      <w:bookmarkEnd w:id="1"/>
      <w:r>
        <w:t>Table of Contents</w:t>
      </w:r>
    </w:p>
    <w:sdt>
      <w:sdtPr>
        <w:id w:val="-1964339030"/>
        <w:docPartObj>
          <w:docPartGallery w:val="Table of Contents"/>
          <w:docPartUnique/>
        </w:docPartObj>
      </w:sdtPr>
      <w:sdtEndPr/>
      <w:sdtContent>
        <w:p w14:paraId="00000008" w14:textId="77777777" w:rsidR="00FA391B" w:rsidRDefault="00882EC8">
          <w:pPr>
            <w:tabs>
              <w:tab w:val="right" w:pos="9418"/>
            </w:tabs>
            <w:spacing w:before="200" w:line="240" w:lineRule="auto"/>
            <w:rPr>
              <w:color w:val="000000"/>
            </w:rPr>
          </w:pPr>
          <w:r>
            <w:fldChar w:fldCharType="begin"/>
          </w:r>
          <w:r>
            <w:instrText xml:space="preserve"> TOC \h \u \z </w:instrText>
          </w:r>
          <w:r>
            <w:fldChar w:fldCharType="separate"/>
          </w:r>
          <w:hyperlink w:anchor="_heading=h.1fob9te">
            <w:r>
              <w:rPr>
                <w:color w:val="000000"/>
              </w:rPr>
              <w:t>Supplementary Materials and Methods</w:t>
            </w:r>
          </w:hyperlink>
          <w:r>
            <w:rPr>
              <w:color w:val="000000"/>
            </w:rPr>
            <w:tab/>
          </w:r>
          <w:r>
            <w:fldChar w:fldCharType="begin"/>
          </w:r>
          <w:r>
            <w:instrText xml:space="preserve"> PAGEREF _heading=h.1fob9te \h </w:instrText>
          </w:r>
          <w:r>
            <w:fldChar w:fldCharType="separate"/>
          </w:r>
          <w:r>
            <w:rPr>
              <w:color w:val="000000"/>
            </w:rPr>
            <w:t>1</w:t>
          </w:r>
          <w:r>
            <w:fldChar w:fldCharType="end"/>
          </w:r>
        </w:p>
        <w:p w14:paraId="00000009" w14:textId="77777777" w:rsidR="00FA391B" w:rsidRDefault="00C927B2">
          <w:pPr>
            <w:tabs>
              <w:tab w:val="right" w:pos="9418"/>
            </w:tabs>
            <w:spacing w:before="60" w:line="240" w:lineRule="auto"/>
            <w:ind w:left="360"/>
            <w:rPr>
              <w:color w:val="000000"/>
            </w:rPr>
          </w:pPr>
          <w:hyperlink w:anchor="_heading=h.2et92p0">
            <w:r w:rsidR="00882EC8">
              <w:rPr>
                <w:color w:val="000000"/>
              </w:rPr>
              <w:t>Experimental Conditions</w:t>
            </w:r>
          </w:hyperlink>
          <w:r w:rsidR="00882EC8">
            <w:rPr>
              <w:color w:val="000000"/>
            </w:rPr>
            <w:tab/>
          </w:r>
          <w:r w:rsidR="00882EC8">
            <w:fldChar w:fldCharType="begin"/>
          </w:r>
          <w:r w:rsidR="00882EC8">
            <w:instrText xml:space="preserve"> PAGEREF _heading=h.2et92p0 \h </w:instrText>
          </w:r>
          <w:r w:rsidR="00882EC8">
            <w:fldChar w:fldCharType="separate"/>
          </w:r>
          <w:r w:rsidR="00882EC8">
            <w:rPr>
              <w:color w:val="000000"/>
            </w:rPr>
            <w:t>1</w:t>
          </w:r>
          <w:r w:rsidR="00882EC8">
            <w:fldChar w:fldCharType="end"/>
          </w:r>
        </w:p>
        <w:p w14:paraId="0000000A" w14:textId="77777777" w:rsidR="00FA391B" w:rsidRDefault="00C927B2">
          <w:pPr>
            <w:tabs>
              <w:tab w:val="right" w:pos="9418"/>
            </w:tabs>
            <w:spacing w:before="60" w:line="240" w:lineRule="auto"/>
            <w:ind w:left="360"/>
            <w:rPr>
              <w:color w:val="000000"/>
            </w:rPr>
          </w:pPr>
          <w:hyperlink w:anchor="_heading=h.tyjcwt">
            <w:r w:rsidR="00882EC8">
              <w:rPr>
                <w:color w:val="000000"/>
              </w:rPr>
              <w:t>Functional annotation methodology and results</w:t>
            </w:r>
          </w:hyperlink>
          <w:r w:rsidR="00882EC8">
            <w:rPr>
              <w:color w:val="000000"/>
            </w:rPr>
            <w:tab/>
          </w:r>
          <w:r w:rsidR="00882EC8">
            <w:fldChar w:fldCharType="begin"/>
          </w:r>
          <w:r w:rsidR="00882EC8">
            <w:instrText xml:space="preserve"> PAGEREF _heading=h.tyjcwt \h </w:instrText>
          </w:r>
          <w:r w:rsidR="00882EC8">
            <w:fldChar w:fldCharType="separate"/>
          </w:r>
          <w:r w:rsidR="00882EC8">
            <w:rPr>
              <w:color w:val="000000"/>
            </w:rPr>
            <w:t>2</w:t>
          </w:r>
          <w:r w:rsidR="00882EC8">
            <w:fldChar w:fldCharType="end"/>
          </w:r>
        </w:p>
        <w:p w14:paraId="0000000B" w14:textId="77777777" w:rsidR="00FA391B" w:rsidRDefault="00C927B2">
          <w:pPr>
            <w:tabs>
              <w:tab w:val="right" w:pos="9418"/>
            </w:tabs>
            <w:spacing w:before="60" w:line="240" w:lineRule="auto"/>
            <w:ind w:left="360"/>
            <w:rPr>
              <w:color w:val="000000"/>
            </w:rPr>
          </w:pPr>
          <w:hyperlink w:anchor="_heading=h.1t3h5sf">
            <w:r w:rsidR="00882EC8">
              <w:rPr>
                <w:color w:val="000000"/>
              </w:rPr>
              <w:t>Local Alignment Search for Developmental Biomarkers</w:t>
            </w:r>
          </w:hyperlink>
          <w:r w:rsidR="00882EC8">
            <w:rPr>
              <w:color w:val="000000"/>
            </w:rPr>
            <w:tab/>
          </w:r>
          <w:r w:rsidR="00882EC8">
            <w:fldChar w:fldCharType="begin"/>
          </w:r>
          <w:r w:rsidR="00882EC8">
            <w:instrText xml:space="preserve"> PAGEREF _heading=h.1t3h5sf \h </w:instrText>
          </w:r>
          <w:r w:rsidR="00882EC8">
            <w:fldChar w:fldCharType="separate"/>
          </w:r>
          <w:r w:rsidR="00882EC8">
            <w:rPr>
              <w:color w:val="000000"/>
            </w:rPr>
            <w:t>2</w:t>
          </w:r>
          <w:r w:rsidR="00882EC8">
            <w:fldChar w:fldCharType="end"/>
          </w:r>
        </w:p>
        <w:p w14:paraId="0000000C" w14:textId="77777777" w:rsidR="00FA391B" w:rsidRDefault="00C927B2">
          <w:pPr>
            <w:tabs>
              <w:tab w:val="right" w:pos="9418"/>
            </w:tabs>
            <w:spacing w:before="200" w:line="240" w:lineRule="auto"/>
            <w:rPr>
              <w:color w:val="000000"/>
            </w:rPr>
          </w:pPr>
          <w:hyperlink w:anchor="_heading=h.4d34og8">
            <w:r w:rsidR="00882EC8">
              <w:rPr>
                <w:color w:val="000000"/>
              </w:rPr>
              <w:t>Supplementary Figures</w:t>
            </w:r>
          </w:hyperlink>
          <w:r w:rsidR="00882EC8">
            <w:rPr>
              <w:color w:val="000000"/>
            </w:rPr>
            <w:tab/>
          </w:r>
          <w:r w:rsidR="00882EC8">
            <w:fldChar w:fldCharType="begin"/>
          </w:r>
          <w:r w:rsidR="00882EC8">
            <w:instrText xml:space="preserve"> PAGEREF _heading=h.4d34og8 \h </w:instrText>
          </w:r>
          <w:r w:rsidR="00882EC8">
            <w:fldChar w:fldCharType="separate"/>
          </w:r>
          <w:r w:rsidR="00882EC8">
            <w:rPr>
              <w:color w:val="000000"/>
            </w:rPr>
            <w:t>3</w:t>
          </w:r>
          <w:r w:rsidR="00882EC8">
            <w:fldChar w:fldCharType="end"/>
          </w:r>
        </w:p>
        <w:p w14:paraId="0000000D" w14:textId="10651C47" w:rsidR="00FA391B" w:rsidRDefault="00C927B2">
          <w:pPr>
            <w:tabs>
              <w:tab w:val="right" w:pos="9418"/>
            </w:tabs>
            <w:spacing w:before="200" w:after="80" w:line="240" w:lineRule="auto"/>
            <w:rPr>
              <w:color w:val="000000"/>
            </w:rPr>
          </w:pPr>
          <w:hyperlink w:anchor="_heading=h.17dp8vu">
            <w:r w:rsidR="00882EC8">
              <w:rPr>
                <w:color w:val="000000"/>
              </w:rPr>
              <w:t>References</w:t>
            </w:r>
          </w:hyperlink>
          <w:r w:rsidR="00882EC8">
            <w:rPr>
              <w:color w:val="000000"/>
            </w:rPr>
            <w:tab/>
          </w:r>
          <w:r w:rsidR="00882EC8">
            <w:fldChar w:fldCharType="begin"/>
          </w:r>
          <w:r w:rsidR="00882EC8">
            <w:instrText xml:space="preserve"> PAGEREF _heading=h.17dp8vu \h </w:instrText>
          </w:r>
          <w:r w:rsidR="00882EC8">
            <w:fldChar w:fldCharType="separate"/>
          </w:r>
          <w:r w:rsidR="00882EC8">
            <w:rPr>
              <w:color w:val="000000"/>
            </w:rPr>
            <w:t>3</w:t>
          </w:r>
          <w:r w:rsidR="00882EC8">
            <w:fldChar w:fldCharType="end"/>
          </w:r>
          <w:r w:rsidR="00882EC8">
            <w:fldChar w:fldCharType="end"/>
          </w:r>
        </w:p>
      </w:sdtContent>
    </w:sdt>
    <w:p w14:paraId="0000000E" w14:textId="77777777" w:rsidR="00FA391B" w:rsidRDefault="00C927B2">
      <w:pPr>
        <w:widowControl w:val="0"/>
        <w:spacing w:line="240" w:lineRule="auto"/>
        <w:ind w:right="20"/>
        <w:jc w:val="both"/>
      </w:pPr>
      <w:r>
        <w:rPr>
          <w:noProof/>
        </w:rPr>
        <w:pict w14:anchorId="3CA30206">
          <v:rect id="_x0000_i1025" alt="" style="width:468pt;height:.05pt;mso-width-percent:0;mso-height-percent:0;mso-width-percent:0;mso-height-percent:0" o:hralign="center" o:hrstd="t" o:hr="t" fillcolor="#a0a0a0" stroked="f"/>
        </w:pict>
      </w:r>
    </w:p>
    <w:p w14:paraId="0000000F" w14:textId="77777777" w:rsidR="00FA391B" w:rsidRDefault="00FA391B">
      <w:pPr>
        <w:widowControl w:val="0"/>
        <w:spacing w:line="240" w:lineRule="auto"/>
        <w:ind w:right="20"/>
        <w:jc w:val="both"/>
      </w:pPr>
    </w:p>
    <w:p w14:paraId="00000010" w14:textId="77777777" w:rsidR="00FA391B" w:rsidRDefault="00882EC8">
      <w:pPr>
        <w:pStyle w:val="Heading2"/>
      </w:pPr>
      <w:bookmarkStart w:id="2" w:name="_heading=h.1fob9te" w:colFirst="0" w:colLast="0"/>
      <w:bookmarkEnd w:id="2"/>
      <w:r>
        <w:t>Supplementary Materials and Methods</w:t>
      </w:r>
    </w:p>
    <w:p w14:paraId="00000011" w14:textId="77777777" w:rsidR="00FA391B" w:rsidRDefault="00FA391B">
      <w:bookmarkStart w:id="3" w:name="_heading=h.3znysh7" w:colFirst="0" w:colLast="0"/>
      <w:bookmarkEnd w:id="3"/>
    </w:p>
    <w:p w14:paraId="00000012" w14:textId="77777777" w:rsidR="00FA391B" w:rsidRDefault="00882EC8">
      <w:pPr>
        <w:pStyle w:val="Heading3"/>
      </w:pPr>
      <w:bookmarkStart w:id="4" w:name="_heading=h.2et92p0" w:colFirst="0" w:colLast="0"/>
      <w:bookmarkEnd w:id="4"/>
      <w:r>
        <w:t>Experimental Conditions</w:t>
      </w:r>
    </w:p>
    <w:p w14:paraId="00000013" w14:textId="77777777" w:rsidR="00FA391B" w:rsidRDefault="00882EC8">
      <w:pPr>
        <w:spacing w:line="240" w:lineRule="auto"/>
        <w:ind w:right="20"/>
      </w:pPr>
      <w:r>
        <w:t xml:space="preserve">Immediately after collection, 300 </w:t>
      </w:r>
      <w:proofErr w:type="spellStart"/>
      <w:r>
        <w:t>uL</w:t>
      </w:r>
      <w:proofErr w:type="spellEnd"/>
      <w:r>
        <w:t xml:space="preserve"> of egg and sperm bundles were snap frozen and stored at -80 °C while the rest of the bundles were placed in conical chambers to break apart and hydrate for 10 minutes. 300 </w:t>
      </w:r>
      <w:proofErr w:type="spellStart"/>
      <w:r>
        <w:t>uL</w:t>
      </w:r>
      <w:proofErr w:type="spellEnd"/>
      <w:r>
        <w:t xml:space="preserve"> of eggs were separated from the sperm and rinsed 3 times with 0.2 </w:t>
      </w:r>
      <w:proofErr w:type="spellStart"/>
      <w:r>
        <w:t>uM</w:t>
      </w:r>
      <w:proofErr w:type="spellEnd"/>
      <w:r>
        <w:t xml:space="preserve"> filtered seawater then snap-frozen and stored at -80 °C. Fertilization and early development (0 h - ~16 </w:t>
      </w:r>
      <w:proofErr w:type="spellStart"/>
      <w:r>
        <w:t>hfp</w:t>
      </w:r>
      <w:proofErr w:type="spellEnd"/>
      <w:r>
        <w:t xml:space="preserve">) took place in 3 replicated 1.6L flow through conical chambers and further development (~ 16 </w:t>
      </w:r>
      <w:proofErr w:type="spellStart"/>
      <w:r>
        <w:t>hpf</w:t>
      </w:r>
      <w:proofErr w:type="spellEnd"/>
      <w:r>
        <w:t xml:space="preserve"> - 9 d) took place in small (6 x 6 cm) flow through bins within larger 74L flow through tanks, both under ambient temperature ~26.8°C. Water flow to the cultures was controlled with ½ GPH Pressure Compensating Drippers and held at a maximum potential flow rate of 7.57 liters per hour. For a 1.6 L conical, the turnover rate was once every ~50 minutes and for a 74L tank, the turnover rate was once every ~ 23 hours. The average light intensity of the experimental setup was measured using a handheld PAR sensor (Underwater Quantum Flux Apogee instruments - Model MQ-510; accuracy = ±4%) and was 115.8 ± 14.7 µmol m</w:t>
      </w:r>
      <w:r>
        <w:rPr>
          <w:vertAlign w:val="superscript"/>
        </w:rPr>
        <w:t>-2</w:t>
      </w:r>
      <w:r>
        <w:t xml:space="preserve"> s</w:t>
      </w:r>
      <w:r>
        <w:rPr>
          <w:vertAlign w:val="superscript"/>
        </w:rPr>
        <w:t>-1</w:t>
      </w:r>
      <w:r>
        <w:t>, n=6 measurements. Temperature, salinity, and pH were measured three times daily using a handheld digital thermometer (</w:t>
      </w:r>
      <w:proofErr w:type="spellStart"/>
      <w:r>
        <w:t>Fisherbrand</w:t>
      </w:r>
      <w:proofErr w:type="spellEnd"/>
      <w:r>
        <w:t xml:space="preserve"> Traceable Platinum Ultra-Accurate Digital Thermometer, accuracy = ±0.05 °C, resolution = 0.001°) and a portable multiparameter meter (Thermo Scientific Orion Star A-series A325; accuracy = ±0.2 mV, 0.5% of PSU reading, resolution = 0.1 mV, 0.01 PSU) with pH and conductivity probes (Mettler Toledo </w:t>
      </w:r>
      <w:proofErr w:type="spellStart"/>
      <w:r>
        <w:t>InLab</w:t>
      </w:r>
      <w:proofErr w:type="spellEnd"/>
      <w:r>
        <w:t xml:space="preserve"> Expert Pro pH probe #51343101; Orion </w:t>
      </w:r>
      <w:proofErr w:type="spellStart"/>
      <w:r>
        <w:t>DuraProbe</w:t>
      </w:r>
      <w:proofErr w:type="spellEnd"/>
      <w:r>
        <w:t xml:space="preserve"> 4-Electrode Conductivity Cell Model 013010MD), respectively. Temperature and pH probes were calibrated using Tris (Dickson Laboratory Tris Batch 27, Bottles 70, 75, 167, 245, and 277) standard calibrations. Throughout the experiment, the temperature, salinity, and pH of tanks and </w:t>
      </w:r>
      <w:proofErr w:type="spellStart"/>
      <w:r>
        <w:t>conicals</w:t>
      </w:r>
      <w:proofErr w:type="spellEnd"/>
      <w:r>
        <w:t xml:space="preserve"> (</w:t>
      </w:r>
      <w:proofErr w:type="spellStart"/>
      <w:r>
        <w:t>mean±SEM</w:t>
      </w:r>
      <w:proofErr w:type="spellEnd"/>
      <w:r>
        <w:t xml:space="preserve">) was 26.99±0.075°C, 34.24±0.017 </w:t>
      </w:r>
      <w:proofErr w:type="spellStart"/>
      <w:r>
        <w:t>psu</w:t>
      </w:r>
      <w:proofErr w:type="spellEnd"/>
      <w:r>
        <w:t>, and -52.84±0.348 mV, respectively.</w:t>
      </w:r>
    </w:p>
    <w:p w14:paraId="00000014" w14:textId="77777777" w:rsidR="00FA391B" w:rsidRDefault="00FA391B">
      <w:pPr>
        <w:spacing w:line="240" w:lineRule="auto"/>
        <w:ind w:right="20"/>
      </w:pPr>
    </w:p>
    <w:p w14:paraId="00000015" w14:textId="77777777" w:rsidR="00FA391B" w:rsidRDefault="00882EC8">
      <w:pPr>
        <w:pStyle w:val="Heading3"/>
        <w:ind w:right="20"/>
      </w:pPr>
      <w:bookmarkStart w:id="5" w:name="_heading=h.tyjcwt" w:colFirst="0" w:colLast="0"/>
      <w:bookmarkEnd w:id="5"/>
      <w:r>
        <w:t>Functional annotation methodology and results</w:t>
      </w:r>
    </w:p>
    <w:p w14:paraId="00000016" w14:textId="77777777" w:rsidR="00FA391B" w:rsidRDefault="00882EC8">
      <w:pPr>
        <w:spacing w:line="240" w:lineRule="auto"/>
        <w:ind w:right="20"/>
      </w:pPr>
      <w:r>
        <w:t xml:space="preserve">Comprehensive gene ontology (GO) annotation of the reference genome was undertaken for subsequent functional enrichment analysis using </w:t>
      </w:r>
      <w:proofErr w:type="spellStart"/>
      <w:r>
        <w:t>InterProScan</w:t>
      </w:r>
      <w:proofErr w:type="spellEnd"/>
      <w:r>
        <w:t xml:space="preserve"> (v.5.46-81.0), Blast2GO (v5.2), and </w:t>
      </w:r>
      <w:proofErr w:type="spellStart"/>
      <w:r>
        <w:t>UniProt</w:t>
      </w:r>
      <w:proofErr w:type="spellEnd"/>
      <w:r>
        <w:t xml:space="preserve"> </w:t>
      </w:r>
      <w:hyperlink r:id="rId7">
        <w:r>
          <w:rPr>
            <w:color w:val="000000"/>
          </w:rPr>
          <w:t>[1–3]</w:t>
        </w:r>
      </w:hyperlink>
      <w:r>
        <w:t xml:space="preserve">. First, homologous protein sequences were identified using the DIAMOND (v2.0.0) </w:t>
      </w:r>
      <w:proofErr w:type="spellStart"/>
      <w:r>
        <w:t>blastx</w:t>
      </w:r>
      <w:proofErr w:type="spellEnd"/>
      <w:r>
        <w:t xml:space="preserve"> program in “more sensitive” mode to map predicted cDNA sequences against the NCBI non-redundant (nr) protein database (downloaded on August 6, 2020) using an e-value cut-off of 1e-05 and a block size of 20 </w:t>
      </w:r>
      <w:hyperlink r:id="rId8">
        <w:r>
          <w:rPr>
            <w:color w:val="000000"/>
          </w:rPr>
          <w:t>[4]</w:t>
        </w:r>
      </w:hyperlink>
      <w:r>
        <w:t xml:space="preserve">. Concurrently, </w:t>
      </w:r>
      <w:proofErr w:type="spellStart"/>
      <w:r>
        <w:t>InterProScan’s</w:t>
      </w:r>
      <w:proofErr w:type="spellEnd"/>
      <w:r>
        <w:rPr>
          <w:i/>
        </w:rPr>
        <w:t xml:space="preserve"> </w:t>
      </w:r>
      <w:proofErr w:type="spellStart"/>
      <w:r>
        <w:rPr>
          <w:i/>
        </w:rPr>
        <w:t>iprlookup</w:t>
      </w:r>
      <w:proofErr w:type="spellEnd"/>
      <w:r>
        <w:t xml:space="preserve"> function was run to map GO terms from the </w:t>
      </w:r>
      <w:proofErr w:type="spellStart"/>
      <w:r>
        <w:t>InterPro</w:t>
      </w:r>
      <w:proofErr w:type="spellEnd"/>
      <w:r>
        <w:t xml:space="preserve"> database (accessed on August 24, 2020) to the </w:t>
      </w:r>
      <w:r>
        <w:rPr>
          <w:i/>
        </w:rPr>
        <w:t>M. capitata</w:t>
      </w:r>
      <w:r>
        <w:t xml:space="preserve"> predicted protein sequences </w:t>
      </w:r>
      <w:hyperlink r:id="rId9">
        <w:r>
          <w:rPr>
            <w:color w:val="000000"/>
          </w:rPr>
          <w:t>[2, 5]</w:t>
        </w:r>
      </w:hyperlink>
      <w:r>
        <w:t xml:space="preserve">. Next, the XML output files from DIAMOND and </w:t>
      </w:r>
      <w:proofErr w:type="spellStart"/>
      <w:r>
        <w:t>InterProScan</w:t>
      </w:r>
      <w:proofErr w:type="spellEnd"/>
      <w:r>
        <w:t xml:space="preserve"> were both loaded into Blast2GO for compilation and further mapping using the obo database (updated August 11, 2020) [</w:t>
      </w:r>
      <w:hyperlink r:id="rId10">
        <w:r>
          <w:rPr>
            <w:color w:val="000000"/>
          </w:rPr>
          <w:t>1]</w:t>
        </w:r>
      </w:hyperlink>
      <w:r>
        <w:t xml:space="preserve">. Additional GO terms were extracted from the </w:t>
      </w:r>
      <w:proofErr w:type="spellStart"/>
      <w:r>
        <w:t>UniProtKB</w:t>
      </w:r>
      <w:proofErr w:type="spellEnd"/>
      <w:r>
        <w:t xml:space="preserve"> database by searching for protein identifiers obtained via DIAMOND using </w:t>
      </w:r>
      <w:proofErr w:type="spellStart"/>
      <w:r>
        <w:t>UniProt’s</w:t>
      </w:r>
      <w:proofErr w:type="spellEnd"/>
      <w:r>
        <w:t xml:space="preserve"> “Retrieve/ID mapping tool” </w:t>
      </w:r>
      <w:hyperlink r:id="rId11">
        <w:r>
          <w:rPr>
            <w:color w:val="000000"/>
          </w:rPr>
          <w:t>[3]</w:t>
        </w:r>
      </w:hyperlink>
      <w:r>
        <w:t xml:space="preserve">. Finally, mapping results from Blast2GO and </w:t>
      </w:r>
      <w:proofErr w:type="spellStart"/>
      <w:r>
        <w:t>UniProt</w:t>
      </w:r>
      <w:proofErr w:type="spellEnd"/>
      <w:r>
        <w:t xml:space="preserve"> were compiled in RStudio (v1.3.959) [</w:t>
      </w:r>
      <w:hyperlink r:id="rId12">
        <w:r>
          <w:rPr>
            <w:color w:val="000000"/>
          </w:rPr>
          <w:t>6]</w:t>
        </w:r>
      </w:hyperlink>
      <w:r>
        <w:t>, using R (v-4.0.2) [</w:t>
      </w:r>
      <w:hyperlink r:id="rId13">
        <w:r>
          <w:rPr>
            <w:color w:val="000000"/>
          </w:rPr>
          <w:t>7]</w:t>
        </w:r>
      </w:hyperlink>
      <w:r>
        <w:t>.</w:t>
      </w:r>
    </w:p>
    <w:p w14:paraId="00000017" w14:textId="77777777" w:rsidR="00FA391B" w:rsidRDefault="00FA391B">
      <w:bookmarkStart w:id="6" w:name="_heading=h.3dy6vkm" w:colFirst="0" w:colLast="0"/>
      <w:bookmarkEnd w:id="6"/>
    </w:p>
    <w:p w14:paraId="00000018" w14:textId="16AA949E" w:rsidR="00FA391B" w:rsidRDefault="00882EC8">
      <w:pPr>
        <w:spacing w:line="240" w:lineRule="auto"/>
        <w:ind w:right="20"/>
      </w:pPr>
      <w:r>
        <w:t xml:space="preserve">Sequence alignment using DIAMOND resulted in 55,217 significant pairwise alignments for the total 63,227 sequences queried, with a median e-value of </w:t>
      </w:r>
      <w:r w:rsidRPr="000F5E86">
        <w:t>3.1e-72</w:t>
      </w:r>
      <w:r>
        <w:t xml:space="preserve"> and a median </w:t>
      </w:r>
      <w:proofErr w:type="spellStart"/>
      <w:r>
        <w:t>bitscore</w:t>
      </w:r>
      <w:proofErr w:type="spellEnd"/>
      <w:r>
        <w:t xml:space="preserve"> of 282.3. Blast2GO mapped 4,205 sequences to one or more GO terms. Additionally, a </w:t>
      </w:r>
      <w:proofErr w:type="spellStart"/>
      <w:r>
        <w:t>UniProt</w:t>
      </w:r>
      <w:proofErr w:type="spellEnd"/>
      <w:r>
        <w:t xml:space="preserve"> search of the protein identifiers obtained through DIAMOND matched 2,351 sequences with one or more GO terms (7,408 total terms). Finally, annotation with </w:t>
      </w:r>
      <w:proofErr w:type="spellStart"/>
      <w:r>
        <w:t>InterProScan</w:t>
      </w:r>
      <w:proofErr w:type="spellEnd"/>
      <w:r>
        <w:t xml:space="preserve"> matched 49,338 out of the 63,227 query sequences to entries in the </w:t>
      </w:r>
      <w:proofErr w:type="spellStart"/>
      <w:r>
        <w:t>InterProScan</w:t>
      </w:r>
      <w:proofErr w:type="spellEnd"/>
      <w:r>
        <w:t xml:space="preserve"> databases, 20,603 of which were associated with one or more GO terms (47,726 total terms). In total, 3,264 unique GO terms were mapped to 23,107 genes, with a total of 55,974 annotations to the </w:t>
      </w:r>
      <w:r>
        <w:rPr>
          <w:i/>
        </w:rPr>
        <w:t>M. capitata</w:t>
      </w:r>
      <w:r>
        <w:t xml:space="preserve"> transcriptome (Table S8).</w:t>
      </w:r>
    </w:p>
    <w:p w14:paraId="00000019" w14:textId="77777777" w:rsidR="00FA391B" w:rsidRDefault="00FA391B">
      <w:pPr>
        <w:spacing w:line="240" w:lineRule="auto"/>
        <w:ind w:right="20"/>
      </w:pPr>
    </w:p>
    <w:p w14:paraId="0000001A" w14:textId="77777777" w:rsidR="00FA391B" w:rsidRDefault="00882EC8">
      <w:pPr>
        <w:pStyle w:val="Heading3"/>
        <w:ind w:right="20"/>
      </w:pPr>
      <w:bookmarkStart w:id="7" w:name="_heading=h.1t3h5sf" w:colFirst="0" w:colLast="0"/>
      <w:bookmarkEnd w:id="7"/>
      <w:r>
        <w:t>Local Alignment Search for Developmental Biomarkers</w:t>
      </w:r>
    </w:p>
    <w:p w14:paraId="0000001B" w14:textId="1A5496C3" w:rsidR="00FA391B" w:rsidRDefault="00882EC8">
      <w:pPr>
        <w:spacing w:line="240" w:lineRule="auto"/>
        <w:ind w:right="20"/>
      </w:pPr>
      <w:r>
        <w:t xml:space="preserve">The temporal expression patterns of enzymes with putative roles in the MZT (Cyclin-B, Smaug, Kaiso, Sox2, Wnt8, and TBXT) and transcriptional regulation (DNMT1, DNMT3A, TET1, MBD2, MBD3, UHRF1, and BRG1) were assessed to provide context to the global gene expression patterns observed during </w:t>
      </w:r>
      <w:r>
        <w:rPr>
          <w:i/>
        </w:rPr>
        <w:t>M. capitata</w:t>
      </w:r>
      <w:r>
        <w:t xml:space="preserve"> development. To accomplish this, anthozoan (as available) and model organism protein sequences for selected enzymes were identified from the NCBI protein database for a local alignment query. Sequence length, organism, quality, and date modified were considered in cases for which there were multiple available sequences. </w:t>
      </w:r>
      <w:proofErr w:type="spellStart"/>
      <w:r>
        <w:t>Blastx</w:t>
      </w:r>
      <w:proofErr w:type="spellEnd"/>
      <w:r>
        <w:t xml:space="preserve"> </w:t>
      </w:r>
      <w:hyperlink r:id="rId14">
        <w:r>
          <w:rPr>
            <w:color w:val="000000"/>
          </w:rPr>
          <w:t>[8]</w:t>
        </w:r>
      </w:hyperlink>
      <w:r>
        <w:t xml:space="preserve"> was used to identify the enzymes of interest in the </w:t>
      </w:r>
      <w:r>
        <w:rPr>
          <w:i/>
        </w:rPr>
        <w:t>M. capitata</w:t>
      </w:r>
      <w:r>
        <w:rPr>
          <w:rFonts w:ascii="Gungsuh" w:eastAsia="Gungsuh" w:hAnsi="Gungsuh" w:cs="Gungsuh"/>
        </w:rPr>
        <w:t xml:space="preserve"> </w:t>
      </w:r>
      <w:r w:rsidRPr="000F5E86">
        <w:rPr>
          <w:rFonts w:eastAsia="Gungsuh"/>
        </w:rPr>
        <w:t>reference transcriptome</w:t>
      </w:r>
      <w:sdt>
        <w:sdtPr>
          <w:tag w:val="goog_rdk_1"/>
          <w:id w:val="386070187"/>
        </w:sdtPr>
        <w:sdtEndPr/>
        <w:sdtContent>
          <w:r w:rsidRPr="000F5E86">
            <w:rPr>
              <w:rFonts w:eastAsia="Gungsuh"/>
            </w:rPr>
            <w:t xml:space="preserve"> (e-value &lt; 10−5, </w:t>
          </w:r>
          <w:proofErr w:type="spellStart"/>
          <w:r w:rsidRPr="000F5E86">
            <w:rPr>
              <w:rFonts w:eastAsia="Gungsuh"/>
            </w:rPr>
            <w:t>max_target_seqs</w:t>
          </w:r>
          <w:proofErr w:type="spellEnd"/>
          <w:r w:rsidRPr="000F5E86">
            <w:rPr>
              <w:rFonts w:eastAsia="Gungsuh"/>
            </w:rPr>
            <w:t xml:space="preserve">=100) using a Blast database created from the predicted cDNA sequences </w:t>
          </w:r>
        </w:sdtContent>
      </w:sdt>
      <w:hyperlink r:id="rId15">
        <w:r>
          <w:rPr>
            <w:color w:val="000000"/>
          </w:rPr>
          <w:t>[5]</w:t>
        </w:r>
      </w:hyperlink>
      <w:r>
        <w:t xml:space="preserve">. The hits table was filtered for duplicates in R. This table was used to subset the </w:t>
      </w:r>
      <w:proofErr w:type="spellStart"/>
      <w:r>
        <w:t>vst</w:t>
      </w:r>
      <w:proofErr w:type="spellEnd"/>
      <w:r>
        <w:t xml:space="preserve">-normalized gene counts matrix, leaving only hits to the enzymes of interest. The top hits for each enzyme (Table S1) generally exhibited much higher </w:t>
      </w:r>
      <w:proofErr w:type="spellStart"/>
      <w:r>
        <w:t>bitscores</w:t>
      </w:r>
      <w:proofErr w:type="spellEnd"/>
      <w:r>
        <w:t xml:space="preserve"> and lower e-values compared to subsequent hits. However, in some cases, the blast results and expression profiles for the top 2-3 hits were nearly identical, even though the genes were located on different scaffolds in the genome. This may be attributed to the high gene duplication reported for the reference </w:t>
      </w:r>
      <w:r>
        <w:rPr>
          <w:i/>
        </w:rPr>
        <w:t>M. capitata</w:t>
      </w:r>
      <w:r>
        <w:t xml:space="preserve"> genome </w:t>
      </w:r>
      <w:hyperlink r:id="rId16">
        <w:r>
          <w:rPr>
            <w:color w:val="000000"/>
          </w:rPr>
          <w:t>[5]</w:t>
        </w:r>
      </w:hyperlink>
      <w:r>
        <w:t xml:space="preserve"> used here.</w:t>
      </w:r>
    </w:p>
    <w:p w14:paraId="0000001C" w14:textId="77777777" w:rsidR="00FA391B" w:rsidRDefault="00FA391B"/>
    <w:p w14:paraId="0000001D" w14:textId="77777777" w:rsidR="00FA391B" w:rsidRDefault="00882EC8">
      <w:pPr>
        <w:pStyle w:val="Heading2"/>
      </w:pPr>
      <w:bookmarkStart w:id="8" w:name="_heading=h.4d34og8" w:colFirst="0" w:colLast="0"/>
      <w:bookmarkEnd w:id="8"/>
      <w:r>
        <w:lastRenderedPageBreak/>
        <w:t>Supplementary Figures</w:t>
      </w:r>
    </w:p>
    <w:p w14:paraId="0000001E" w14:textId="72FAA085" w:rsidR="00FA391B" w:rsidRDefault="00C927B2">
      <w:pPr>
        <w:spacing w:line="240" w:lineRule="auto"/>
      </w:pPr>
      <w:sdt>
        <w:sdtPr>
          <w:tag w:val="goog_rdk_2"/>
          <w:id w:val="1958521745"/>
        </w:sdtPr>
        <w:sdtEndPr/>
        <w:sdtContent/>
      </w:sdt>
      <w:r w:rsidR="00882EC8" w:rsidRPr="00265DFC">
        <w:rPr>
          <w:b/>
        </w:rPr>
        <w:t>Figure S1.</w:t>
      </w:r>
      <w:r w:rsidR="00882EC8">
        <w:t xml:space="preserve"> </w:t>
      </w:r>
      <w:r w:rsidR="00882EC8">
        <w:rPr>
          <w:b/>
        </w:rPr>
        <w:t>Boxplot and overlaid points of mean eigengene expression value of each of the replicate samples</w:t>
      </w:r>
      <w:r w:rsidR="00882EC8">
        <w:t xml:space="preserve"> per time point (n=3, except mid-gastrula and </w:t>
      </w:r>
      <w:proofErr w:type="gramStart"/>
      <w:r w:rsidR="00882EC8">
        <w:t>late-gastrula</w:t>
      </w:r>
      <w:proofErr w:type="gramEnd"/>
      <w:r w:rsidR="00882EC8">
        <w:t xml:space="preserve"> where n=2) for each WGCNA module cluster 1-9.</w:t>
      </w:r>
    </w:p>
    <w:p w14:paraId="0000001F" w14:textId="77777777" w:rsidR="00FA391B" w:rsidRDefault="00FA391B">
      <w:pPr>
        <w:spacing w:line="240" w:lineRule="auto"/>
        <w:rPr>
          <w:b/>
        </w:rPr>
      </w:pPr>
      <w:bookmarkStart w:id="9" w:name="_heading=h.2s8eyo1" w:colFirst="0" w:colLast="0"/>
      <w:bookmarkEnd w:id="9"/>
    </w:p>
    <w:p w14:paraId="00000020" w14:textId="77777777" w:rsidR="00FA391B" w:rsidRDefault="00882EC8">
      <w:pPr>
        <w:spacing w:line="240" w:lineRule="auto"/>
      </w:pPr>
      <w:r>
        <w:rPr>
          <w:noProof/>
        </w:rPr>
        <w:drawing>
          <wp:inline distT="114300" distB="114300" distL="114300" distR="114300" wp14:anchorId="5CE9238E" wp14:editId="7705EDDA">
            <wp:extent cx="5980430" cy="4127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980430" cy="4127500"/>
                    </a:xfrm>
                    <a:prstGeom prst="rect">
                      <a:avLst/>
                    </a:prstGeom>
                    <a:ln/>
                  </pic:spPr>
                </pic:pic>
              </a:graphicData>
            </a:graphic>
          </wp:inline>
        </w:drawing>
      </w:r>
    </w:p>
    <w:p w14:paraId="00000021" w14:textId="77777777" w:rsidR="00FA391B" w:rsidRDefault="00FA391B">
      <w:pPr>
        <w:widowControl w:val="0"/>
        <w:tabs>
          <w:tab w:val="right" w:pos="9360"/>
        </w:tabs>
        <w:spacing w:line="240" w:lineRule="auto"/>
        <w:rPr>
          <w:b/>
        </w:rPr>
      </w:pPr>
    </w:p>
    <w:p w14:paraId="00000022" w14:textId="77777777" w:rsidR="00FA391B" w:rsidRDefault="00882EC8">
      <w:pPr>
        <w:pStyle w:val="Heading2"/>
        <w:widowControl w:val="0"/>
      </w:pPr>
      <w:bookmarkStart w:id="10" w:name="_heading=h.17dp8vu" w:colFirst="0" w:colLast="0"/>
      <w:bookmarkEnd w:id="10"/>
      <w:r>
        <w:t>References</w:t>
      </w:r>
    </w:p>
    <w:p w14:paraId="00000023" w14:textId="77777777" w:rsidR="00FA391B" w:rsidRDefault="00C927B2">
      <w:pPr>
        <w:widowControl w:val="0"/>
        <w:pBdr>
          <w:top w:val="nil"/>
          <w:left w:val="nil"/>
          <w:bottom w:val="nil"/>
          <w:right w:val="nil"/>
          <w:between w:val="nil"/>
        </w:pBdr>
        <w:spacing w:before="220" w:after="220" w:line="240" w:lineRule="auto"/>
        <w:rPr>
          <w:color w:val="000000"/>
          <w:sz w:val="22"/>
          <w:szCs w:val="22"/>
        </w:rPr>
      </w:pPr>
      <w:hyperlink r:id="rId18">
        <w:r w:rsidR="00882EC8">
          <w:rPr>
            <w:color w:val="000000"/>
            <w:sz w:val="22"/>
            <w:szCs w:val="22"/>
          </w:rPr>
          <w:t xml:space="preserve">1. </w:t>
        </w:r>
        <w:proofErr w:type="spellStart"/>
        <w:r w:rsidR="00882EC8">
          <w:rPr>
            <w:color w:val="000000"/>
            <w:sz w:val="22"/>
            <w:szCs w:val="22"/>
          </w:rPr>
          <w:t>Götz</w:t>
        </w:r>
        <w:proofErr w:type="spellEnd"/>
        <w:r w:rsidR="00882EC8">
          <w:rPr>
            <w:color w:val="000000"/>
            <w:sz w:val="22"/>
            <w:szCs w:val="22"/>
          </w:rPr>
          <w:t xml:space="preserve"> S, García-Gómez JM, </w:t>
        </w:r>
        <w:proofErr w:type="spellStart"/>
        <w:r w:rsidR="00882EC8">
          <w:rPr>
            <w:color w:val="000000"/>
            <w:sz w:val="22"/>
            <w:szCs w:val="22"/>
          </w:rPr>
          <w:t>Terol</w:t>
        </w:r>
        <w:proofErr w:type="spellEnd"/>
        <w:r w:rsidR="00882EC8">
          <w:rPr>
            <w:color w:val="000000"/>
            <w:sz w:val="22"/>
            <w:szCs w:val="22"/>
          </w:rPr>
          <w:t xml:space="preserve"> J, Williams TD, Nagaraj SH, </w:t>
        </w:r>
        <w:proofErr w:type="spellStart"/>
        <w:r w:rsidR="00882EC8">
          <w:rPr>
            <w:color w:val="000000"/>
            <w:sz w:val="22"/>
            <w:szCs w:val="22"/>
          </w:rPr>
          <w:t>Nueda</w:t>
        </w:r>
        <w:proofErr w:type="spellEnd"/>
        <w:r w:rsidR="00882EC8">
          <w:rPr>
            <w:color w:val="000000"/>
            <w:sz w:val="22"/>
            <w:szCs w:val="22"/>
          </w:rPr>
          <w:t xml:space="preserve"> MJ, et al. High-throughput functional annotation and data mining with the Blast2GO suite. Nucleic Acids Res. </w:t>
        </w:r>
        <w:proofErr w:type="gramStart"/>
        <w:r w:rsidR="00882EC8">
          <w:rPr>
            <w:color w:val="000000"/>
            <w:sz w:val="22"/>
            <w:szCs w:val="22"/>
          </w:rPr>
          <w:t>2008;36:3420</w:t>
        </w:r>
        <w:proofErr w:type="gramEnd"/>
        <w:r w:rsidR="00882EC8">
          <w:rPr>
            <w:color w:val="000000"/>
            <w:sz w:val="22"/>
            <w:szCs w:val="22"/>
          </w:rPr>
          <w:t>–35.</w:t>
        </w:r>
      </w:hyperlink>
    </w:p>
    <w:p w14:paraId="00000024"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19">
        <w:r w:rsidR="00882EC8">
          <w:rPr>
            <w:color w:val="000000"/>
            <w:sz w:val="22"/>
            <w:szCs w:val="22"/>
          </w:rPr>
          <w:t xml:space="preserve">2. Jones P, </w:t>
        </w:r>
        <w:proofErr w:type="spellStart"/>
        <w:r w:rsidR="00882EC8">
          <w:rPr>
            <w:color w:val="000000"/>
            <w:sz w:val="22"/>
            <w:szCs w:val="22"/>
          </w:rPr>
          <w:t>Binns</w:t>
        </w:r>
        <w:proofErr w:type="spellEnd"/>
        <w:r w:rsidR="00882EC8">
          <w:rPr>
            <w:color w:val="000000"/>
            <w:sz w:val="22"/>
            <w:szCs w:val="22"/>
          </w:rPr>
          <w:t xml:space="preserve"> D, Chang H-Y, Fraser M, Li W, </w:t>
        </w:r>
        <w:proofErr w:type="spellStart"/>
        <w:r w:rsidR="00882EC8">
          <w:rPr>
            <w:color w:val="000000"/>
            <w:sz w:val="22"/>
            <w:szCs w:val="22"/>
          </w:rPr>
          <w:t>McAnulla</w:t>
        </w:r>
        <w:proofErr w:type="spellEnd"/>
        <w:r w:rsidR="00882EC8">
          <w:rPr>
            <w:color w:val="000000"/>
            <w:sz w:val="22"/>
            <w:szCs w:val="22"/>
          </w:rPr>
          <w:t xml:space="preserve"> C, et al. </w:t>
        </w:r>
        <w:proofErr w:type="spellStart"/>
        <w:r w:rsidR="00882EC8">
          <w:rPr>
            <w:color w:val="000000"/>
            <w:sz w:val="22"/>
            <w:szCs w:val="22"/>
          </w:rPr>
          <w:t>InterProScan</w:t>
        </w:r>
        <w:proofErr w:type="spellEnd"/>
        <w:r w:rsidR="00882EC8">
          <w:rPr>
            <w:color w:val="000000"/>
            <w:sz w:val="22"/>
            <w:szCs w:val="22"/>
          </w:rPr>
          <w:t xml:space="preserve"> 5: genome-scale protein function classification. Bioinformatics. </w:t>
        </w:r>
        <w:proofErr w:type="gramStart"/>
        <w:r w:rsidR="00882EC8">
          <w:rPr>
            <w:color w:val="000000"/>
            <w:sz w:val="22"/>
            <w:szCs w:val="22"/>
          </w:rPr>
          <w:t>2014;30:1236</w:t>
        </w:r>
        <w:proofErr w:type="gramEnd"/>
        <w:r w:rsidR="00882EC8">
          <w:rPr>
            <w:color w:val="000000"/>
            <w:sz w:val="22"/>
            <w:szCs w:val="22"/>
          </w:rPr>
          <w:t>–40.</w:t>
        </w:r>
      </w:hyperlink>
    </w:p>
    <w:p w14:paraId="00000025"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20">
        <w:r w:rsidR="00882EC8">
          <w:rPr>
            <w:color w:val="000000"/>
            <w:sz w:val="22"/>
            <w:szCs w:val="22"/>
          </w:rPr>
          <w:t xml:space="preserve">3. </w:t>
        </w:r>
        <w:proofErr w:type="spellStart"/>
        <w:r w:rsidR="00882EC8">
          <w:rPr>
            <w:color w:val="000000"/>
            <w:sz w:val="22"/>
            <w:szCs w:val="22"/>
          </w:rPr>
          <w:t>UniProt</w:t>
        </w:r>
        <w:proofErr w:type="spellEnd"/>
        <w:r w:rsidR="00882EC8">
          <w:rPr>
            <w:color w:val="000000"/>
            <w:sz w:val="22"/>
            <w:szCs w:val="22"/>
          </w:rPr>
          <w:t xml:space="preserve"> Consortium. </w:t>
        </w:r>
        <w:proofErr w:type="spellStart"/>
        <w:r w:rsidR="00882EC8">
          <w:rPr>
            <w:color w:val="000000"/>
            <w:sz w:val="22"/>
            <w:szCs w:val="22"/>
          </w:rPr>
          <w:t>UniProt</w:t>
        </w:r>
        <w:proofErr w:type="spellEnd"/>
        <w:r w:rsidR="00882EC8">
          <w:rPr>
            <w:color w:val="000000"/>
            <w:sz w:val="22"/>
            <w:szCs w:val="22"/>
          </w:rPr>
          <w:t>: a worldwide hub of protein knowledge. Nucleic Acids Res. 2019;</w:t>
        </w:r>
        <w:proofErr w:type="gramStart"/>
        <w:r w:rsidR="00882EC8">
          <w:rPr>
            <w:color w:val="000000"/>
            <w:sz w:val="22"/>
            <w:szCs w:val="22"/>
          </w:rPr>
          <w:t>47:D</w:t>
        </w:r>
        <w:proofErr w:type="gramEnd"/>
        <w:r w:rsidR="00882EC8">
          <w:rPr>
            <w:color w:val="000000"/>
            <w:sz w:val="22"/>
            <w:szCs w:val="22"/>
          </w:rPr>
          <w:t>506–15.</w:t>
        </w:r>
      </w:hyperlink>
    </w:p>
    <w:p w14:paraId="00000026"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21">
        <w:r w:rsidR="00882EC8">
          <w:rPr>
            <w:color w:val="000000"/>
            <w:sz w:val="22"/>
            <w:szCs w:val="22"/>
          </w:rPr>
          <w:t xml:space="preserve">4. </w:t>
        </w:r>
        <w:proofErr w:type="spellStart"/>
        <w:r w:rsidR="00882EC8">
          <w:rPr>
            <w:color w:val="000000"/>
            <w:sz w:val="22"/>
            <w:szCs w:val="22"/>
          </w:rPr>
          <w:t>Buchfink</w:t>
        </w:r>
        <w:proofErr w:type="spellEnd"/>
        <w:r w:rsidR="00882EC8">
          <w:rPr>
            <w:color w:val="000000"/>
            <w:sz w:val="22"/>
            <w:szCs w:val="22"/>
          </w:rPr>
          <w:t xml:space="preserve"> B, </w:t>
        </w:r>
        <w:proofErr w:type="spellStart"/>
        <w:r w:rsidR="00882EC8">
          <w:rPr>
            <w:color w:val="000000"/>
            <w:sz w:val="22"/>
            <w:szCs w:val="22"/>
          </w:rPr>
          <w:t>Xie</w:t>
        </w:r>
        <w:proofErr w:type="spellEnd"/>
        <w:r w:rsidR="00882EC8">
          <w:rPr>
            <w:color w:val="000000"/>
            <w:sz w:val="22"/>
            <w:szCs w:val="22"/>
          </w:rPr>
          <w:t xml:space="preserve"> C, </w:t>
        </w:r>
        <w:proofErr w:type="spellStart"/>
        <w:r w:rsidR="00882EC8">
          <w:rPr>
            <w:color w:val="000000"/>
            <w:sz w:val="22"/>
            <w:szCs w:val="22"/>
          </w:rPr>
          <w:t>Huson</w:t>
        </w:r>
        <w:proofErr w:type="spellEnd"/>
        <w:r w:rsidR="00882EC8">
          <w:rPr>
            <w:color w:val="000000"/>
            <w:sz w:val="22"/>
            <w:szCs w:val="22"/>
          </w:rPr>
          <w:t xml:space="preserve"> DH. Fast and sensitive protein alignment using DIAMOND. Nat Methods. </w:t>
        </w:r>
        <w:proofErr w:type="gramStart"/>
        <w:r w:rsidR="00882EC8">
          <w:rPr>
            <w:color w:val="000000"/>
            <w:sz w:val="22"/>
            <w:szCs w:val="22"/>
          </w:rPr>
          <w:t>2015;12:59</w:t>
        </w:r>
        <w:proofErr w:type="gramEnd"/>
        <w:r w:rsidR="00882EC8">
          <w:rPr>
            <w:color w:val="000000"/>
            <w:sz w:val="22"/>
            <w:szCs w:val="22"/>
          </w:rPr>
          <w:t>–60.</w:t>
        </w:r>
      </w:hyperlink>
    </w:p>
    <w:p w14:paraId="00000027"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22">
        <w:r w:rsidR="00882EC8">
          <w:rPr>
            <w:color w:val="000000"/>
            <w:sz w:val="22"/>
            <w:szCs w:val="22"/>
          </w:rPr>
          <w:t xml:space="preserve">5. Shumaker A, Putnam HM, </w:t>
        </w:r>
        <w:proofErr w:type="spellStart"/>
        <w:r w:rsidR="00882EC8">
          <w:rPr>
            <w:color w:val="000000"/>
            <w:sz w:val="22"/>
            <w:szCs w:val="22"/>
          </w:rPr>
          <w:t>Qiu</w:t>
        </w:r>
        <w:proofErr w:type="spellEnd"/>
        <w:r w:rsidR="00882EC8">
          <w:rPr>
            <w:color w:val="000000"/>
            <w:sz w:val="22"/>
            <w:szCs w:val="22"/>
          </w:rPr>
          <w:t xml:space="preserve"> H, Price DC, </w:t>
        </w:r>
        <w:proofErr w:type="spellStart"/>
        <w:r w:rsidR="00882EC8">
          <w:rPr>
            <w:color w:val="000000"/>
            <w:sz w:val="22"/>
            <w:szCs w:val="22"/>
          </w:rPr>
          <w:t>Zelzion</w:t>
        </w:r>
        <w:proofErr w:type="spellEnd"/>
        <w:r w:rsidR="00882EC8">
          <w:rPr>
            <w:color w:val="000000"/>
            <w:sz w:val="22"/>
            <w:szCs w:val="22"/>
          </w:rPr>
          <w:t xml:space="preserve"> E, </w:t>
        </w:r>
        <w:proofErr w:type="spellStart"/>
        <w:r w:rsidR="00882EC8">
          <w:rPr>
            <w:color w:val="000000"/>
            <w:sz w:val="22"/>
            <w:szCs w:val="22"/>
          </w:rPr>
          <w:t>Harel</w:t>
        </w:r>
        <w:proofErr w:type="spellEnd"/>
        <w:r w:rsidR="00882EC8">
          <w:rPr>
            <w:color w:val="000000"/>
            <w:sz w:val="22"/>
            <w:szCs w:val="22"/>
          </w:rPr>
          <w:t xml:space="preserve"> A, et al. Genome analysis of the rice coral Montipora capitata. Sci Rep. </w:t>
        </w:r>
        <w:proofErr w:type="gramStart"/>
        <w:r w:rsidR="00882EC8">
          <w:rPr>
            <w:color w:val="000000"/>
            <w:sz w:val="22"/>
            <w:szCs w:val="22"/>
          </w:rPr>
          <w:t>2019;9:2571</w:t>
        </w:r>
        <w:proofErr w:type="gramEnd"/>
        <w:r w:rsidR="00882EC8">
          <w:rPr>
            <w:color w:val="000000"/>
            <w:sz w:val="22"/>
            <w:szCs w:val="22"/>
          </w:rPr>
          <w:t>.</w:t>
        </w:r>
      </w:hyperlink>
    </w:p>
    <w:p w14:paraId="00000028"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23">
        <w:r w:rsidR="00882EC8">
          <w:rPr>
            <w:color w:val="000000"/>
            <w:sz w:val="22"/>
            <w:szCs w:val="22"/>
          </w:rPr>
          <w:t xml:space="preserve">6. RStudio Team. RStudio: Integrated Development for R. Boston, MA: RStudio, PBC; 2020. </w:t>
        </w:r>
      </w:hyperlink>
      <w:hyperlink r:id="rId24">
        <w:r w:rsidR="00882EC8">
          <w:rPr>
            <w:color w:val="000000"/>
            <w:sz w:val="22"/>
            <w:szCs w:val="22"/>
          </w:rPr>
          <w:t>http://www.rstudio.com/</w:t>
        </w:r>
      </w:hyperlink>
      <w:hyperlink r:id="rId25">
        <w:r w:rsidR="00882EC8">
          <w:rPr>
            <w:color w:val="000000"/>
            <w:sz w:val="22"/>
            <w:szCs w:val="22"/>
          </w:rPr>
          <w:t>.</w:t>
        </w:r>
      </w:hyperlink>
    </w:p>
    <w:p w14:paraId="00000029" w14:textId="77777777" w:rsidR="00FA391B" w:rsidRDefault="00C927B2">
      <w:pPr>
        <w:widowControl w:val="0"/>
        <w:pBdr>
          <w:top w:val="nil"/>
          <w:left w:val="nil"/>
          <w:bottom w:val="nil"/>
          <w:right w:val="nil"/>
          <w:between w:val="nil"/>
        </w:pBdr>
        <w:spacing w:after="220" w:line="240" w:lineRule="auto"/>
        <w:rPr>
          <w:color w:val="000000"/>
          <w:sz w:val="22"/>
          <w:szCs w:val="22"/>
        </w:rPr>
      </w:pPr>
      <w:hyperlink r:id="rId26">
        <w:r w:rsidR="00882EC8">
          <w:rPr>
            <w:color w:val="000000"/>
            <w:sz w:val="22"/>
            <w:szCs w:val="22"/>
          </w:rPr>
          <w:t xml:space="preserve">7. R Core Team. R: A language and environment for statistical computing. 2013. </w:t>
        </w:r>
      </w:hyperlink>
      <w:hyperlink r:id="rId27">
        <w:r w:rsidR="00882EC8">
          <w:rPr>
            <w:color w:val="000000"/>
            <w:sz w:val="22"/>
            <w:szCs w:val="22"/>
          </w:rPr>
          <w:t>https://cran.microsoft.com/snapshot/2014-09-08/web/packages/dplR/vignettes/xdate-dplR.pdf</w:t>
        </w:r>
      </w:hyperlink>
      <w:hyperlink r:id="rId28">
        <w:r w:rsidR="00882EC8">
          <w:rPr>
            <w:color w:val="000000"/>
            <w:sz w:val="22"/>
            <w:szCs w:val="22"/>
          </w:rPr>
          <w:t>.</w:t>
        </w:r>
      </w:hyperlink>
    </w:p>
    <w:p w14:paraId="0000002A" w14:textId="77777777" w:rsidR="00FA391B" w:rsidRDefault="00C927B2">
      <w:pPr>
        <w:widowControl w:val="0"/>
        <w:pBdr>
          <w:top w:val="nil"/>
          <w:left w:val="nil"/>
          <w:bottom w:val="nil"/>
          <w:right w:val="nil"/>
          <w:between w:val="nil"/>
        </w:pBdr>
        <w:spacing w:after="220" w:line="240" w:lineRule="auto"/>
      </w:pPr>
      <w:hyperlink r:id="rId29">
        <w:r w:rsidR="00882EC8">
          <w:rPr>
            <w:color w:val="000000"/>
            <w:sz w:val="22"/>
            <w:szCs w:val="22"/>
          </w:rPr>
          <w:t xml:space="preserve">8. </w:t>
        </w:r>
        <w:proofErr w:type="spellStart"/>
        <w:r w:rsidR="00882EC8">
          <w:rPr>
            <w:color w:val="000000"/>
            <w:sz w:val="22"/>
            <w:szCs w:val="22"/>
          </w:rPr>
          <w:t>Altschul</w:t>
        </w:r>
        <w:proofErr w:type="spellEnd"/>
        <w:r w:rsidR="00882EC8">
          <w:rPr>
            <w:color w:val="000000"/>
            <w:sz w:val="22"/>
            <w:szCs w:val="22"/>
          </w:rPr>
          <w:t xml:space="preserve"> SF, Gish W, Miller W, Myers EW, Lipman DJ. Basic local alignment search tool. J Mol Biol. </w:t>
        </w:r>
        <w:proofErr w:type="gramStart"/>
        <w:r w:rsidR="00882EC8">
          <w:rPr>
            <w:color w:val="000000"/>
            <w:sz w:val="22"/>
            <w:szCs w:val="22"/>
          </w:rPr>
          <w:t>1990;215:403</w:t>
        </w:r>
        <w:proofErr w:type="gramEnd"/>
        <w:r w:rsidR="00882EC8">
          <w:rPr>
            <w:color w:val="000000"/>
            <w:sz w:val="22"/>
            <w:szCs w:val="22"/>
          </w:rPr>
          <w:t>–10.</w:t>
        </w:r>
      </w:hyperlink>
    </w:p>
    <w:sectPr w:rsidR="00FA391B">
      <w:headerReference w:type="default" r:id="rId30"/>
      <w:footerReference w:type="default" r:id="rId31"/>
      <w:pgSz w:w="12240" w:h="15840"/>
      <w:pgMar w:top="1699" w:right="1411" w:bottom="1699" w:left="141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0EBA8" w14:textId="77777777" w:rsidR="00C927B2" w:rsidRDefault="00C927B2">
      <w:pPr>
        <w:spacing w:line="240" w:lineRule="auto"/>
      </w:pPr>
      <w:r>
        <w:separator/>
      </w:r>
    </w:p>
  </w:endnote>
  <w:endnote w:type="continuationSeparator" w:id="0">
    <w:p w14:paraId="7BF96D0D" w14:textId="77777777" w:rsidR="00C927B2" w:rsidRDefault="00C92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5D135C19" w:rsidR="00FA391B" w:rsidRDefault="00882EC8">
    <w:pPr>
      <w:jc w:val="right"/>
    </w:pPr>
    <w:r>
      <w:fldChar w:fldCharType="begin"/>
    </w:r>
    <w:r>
      <w:instrText>PAGE</w:instrText>
    </w:r>
    <w:r>
      <w:fldChar w:fldCharType="separate"/>
    </w:r>
    <w:r w:rsidR="00D4128F">
      <w:rPr>
        <w:noProof/>
      </w:rPr>
      <w:t>1</w:t>
    </w:r>
    <w:r>
      <w:fldChar w:fldCharType="end"/>
    </w:r>
  </w:p>
  <w:p w14:paraId="0000002D" w14:textId="77777777" w:rsidR="00FA391B" w:rsidRDefault="00FA391B">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81608" w14:textId="77777777" w:rsidR="00C927B2" w:rsidRDefault="00C927B2">
      <w:pPr>
        <w:spacing w:line="240" w:lineRule="auto"/>
      </w:pPr>
      <w:r>
        <w:separator/>
      </w:r>
    </w:p>
  </w:footnote>
  <w:footnote w:type="continuationSeparator" w:id="0">
    <w:p w14:paraId="07C30ED0" w14:textId="77777777" w:rsidR="00C927B2" w:rsidRDefault="00C927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B" w14:textId="77777777" w:rsidR="00FA391B" w:rsidRDefault="00882EC8">
    <w:pPr>
      <w:widowControl w:val="0"/>
      <w:spacing w:line="240" w:lineRule="auto"/>
      <w:ind w:right="20"/>
      <w:jc w:val="both"/>
    </w:pPr>
    <w:r>
      <w:t>Coral MZT Supplementary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91B"/>
    <w:rsid w:val="000F5E86"/>
    <w:rsid w:val="00265DFC"/>
    <w:rsid w:val="00882EC8"/>
    <w:rsid w:val="00BE2079"/>
    <w:rsid w:val="00C927B2"/>
    <w:rsid w:val="00D109B1"/>
    <w:rsid w:val="00D4128F"/>
    <w:rsid w:val="00FA3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1473"/>
  <w15:docId w15:val="{3D7E126E-FF2F-C54D-9957-4DB6C824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line="240" w:lineRule="auto"/>
      <w:outlineLvl w:val="1"/>
    </w:pPr>
    <w:rPr>
      <w:b/>
    </w:rPr>
  </w:style>
  <w:style w:type="paragraph" w:styleId="Heading3">
    <w:name w:val="heading 3"/>
    <w:basedOn w:val="Normal"/>
    <w:next w:val="Normal"/>
    <w:uiPriority w:val="9"/>
    <w:unhideWhenUsed/>
    <w:qFormat/>
    <w:pPr>
      <w:keepNext/>
      <w:keepLines/>
      <w:spacing w:line="240" w:lineRule="auto"/>
      <w:outlineLvl w:val="2"/>
    </w:pPr>
    <w:rPr>
      <w:i/>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9602A0"/>
    <w:pPr>
      <w:tabs>
        <w:tab w:val="center" w:pos="4680"/>
        <w:tab w:val="right" w:pos="9360"/>
      </w:tabs>
      <w:spacing w:line="240" w:lineRule="auto"/>
    </w:pPr>
  </w:style>
  <w:style w:type="character" w:customStyle="1" w:styleId="HeaderChar">
    <w:name w:val="Header Char"/>
    <w:basedOn w:val="DefaultParagraphFont"/>
    <w:link w:val="Header"/>
    <w:uiPriority w:val="99"/>
    <w:rsid w:val="009602A0"/>
  </w:style>
  <w:style w:type="paragraph" w:styleId="Footer">
    <w:name w:val="footer"/>
    <w:basedOn w:val="Normal"/>
    <w:link w:val="FooterChar"/>
    <w:uiPriority w:val="99"/>
    <w:unhideWhenUsed/>
    <w:rsid w:val="009602A0"/>
    <w:pPr>
      <w:tabs>
        <w:tab w:val="center" w:pos="4680"/>
        <w:tab w:val="right" w:pos="9360"/>
      </w:tabs>
      <w:spacing w:line="240" w:lineRule="auto"/>
    </w:pPr>
  </w:style>
  <w:style w:type="character" w:customStyle="1" w:styleId="FooterChar">
    <w:name w:val="Footer Char"/>
    <w:basedOn w:val="DefaultParagraphFont"/>
    <w:link w:val="Footer"/>
    <w:uiPriority w:val="99"/>
    <w:rsid w:val="009602A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109B1"/>
    <w:pPr>
      <w:spacing w:line="240" w:lineRule="auto"/>
    </w:pPr>
  </w:style>
  <w:style w:type="paragraph" w:styleId="CommentSubject">
    <w:name w:val="annotation subject"/>
    <w:basedOn w:val="CommentText"/>
    <w:next w:val="CommentText"/>
    <w:link w:val="CommentSubjectChar"/>
    <w:uiPriority w:val="99"/>
    <w:semiHidden/>
    <w:unhideWhenUsed/>
    <w:rsid w:val="00D109B1"/>
    <w:rPr>
      <w:b/>
      <w:bCs/>
    </w:rPr>
  </w:style>
  <w:style w:type="character" w:customStyle="1" w:styleId="CommentSubjectChar">
    <w:name w:val="Comment Subject Char"/>
    <w:basedOn w:val="CommentTextChar"/>
    <w:link w:val="CommentSubject"/>
    <w:uiPriority w:val="99"/>
    <w:semiHidden/>
    <w:rsid w:val="00D109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paperpile.com/c/F91Y1v/1MqR" TargetMode="External"/><Relationship Id="rId18" Type="http://schemas.openxmlformats.org/officeDocument/2006/relationships/hyperlink" Target="http://paperpile.com/b/F91Y1v/l5e1" TargetMode="External"/><Relationship Id="rId26" Type="http://schemas.openxmlformats.org/officeDocument/2006/relationships/hyperlink" Target="http://paperpile.com/b/F91Y1v/1MqR" TargetMode="External"/><Relationship Id="rId3" Type="http://schemas.openxmlformats.org/officeDocument/2006/relationships/settings" Target="settings.xml"/><Relationship Id="rId21" Type="http://schemas.openxmlformats.org/officeDocument/2006/relationships/hyperlink" Target="http://paperpile.com/b/F91Y1v/hwEr" TargetMode="External"/><Relationship Id="rId7" Type="http://schemas.openxmlformats.org/officeDocument/2006/relationships/hyperlink" Target="https://paperpile.com/c/F91Y1v/l5e1+rN2N+AwAl" TargetMode="External"/><Relationship Id="rId12" Type="http://schemas.openxmlformats.org/officeDocument/2006/relationships/hyperlink" Target="https://paperpile.com/c/F91Y1v/6DaH" TargetMode="External"/><Relationship Id="rId17" Type="http://schemas.openxmlformats.org/officeDocument/2006/relationships/image" Target="media/image1.png"/><Relationship Id="rId25" Type="http://schemas.openxmlformats.org/officeDocument/2006/relationships/hyperlink" Target="http://paperpile.com/b/F91Y1v/6Da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aperpile.com/c/F91Y1v/T7K6" TargetMode="External"/><Relationship Id="rId20" Type="http://schemas.openxmlformats.org/officeDocument/2006/relationships/hyperlink" Target="http://paperpile.com/b/F91Y1v/AwAl" TargetMode="External"/><Relationship Id="rId29" Type="http://schemas.openxmlformats.org/officeDocument/2006/relationships/hyperlink" Target="http://paperpile.com/b/F91Y1v/tJ3Z"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aperpile.com/c/F91Y1v/AwAl" TargetMode="External"/><Relationship Id="rId24" Type="http://schemas.openxmlformats.org/officeDocument/2006/relationships/hyperlink" Target="http://www.rstudio.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aperpile.com/c/F91Y1v/T7K6" TargetMode="External"/><Relationship Id="rId23" Type="http://schemas.openxmlformats.org/officeDocument/2006/relationships/hyperlink" Target="http://paperpile.com/b/F91Y1v/6DaH" TargetMode="External"/><Relationship Id="rId28" Type="http://schemas.openxmlformats.org/officeDocument/2006/relationships/hyperlink" Target="http://paperpile.com/b/F91Y1v/1MqR" TargetMode="External"/><Relationship Id="rId10" Type="http://schemas.openxmlformats.org/officeDocument/2006/relationships/hyperlink" Target="https://paperpile.com/c/F91Y1v/l5e1" TargetMode="External"/><Relationship Id="rId19" Type="http://schemas.openxmlformats.org/officeDocument/2006/relationships/hyperlink" Target="http://paperpile.com/b/F91Y1v/rN2N"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aperpile.com/c/F91Y1v/rN2N+T7K6" TargetMode="External"/><Relationship Id="rId14" Type="http://schemas.openxmlformats.org/officeDocument/2006/relationships/hyperlink" Target="https://paperpile.com/c/F91Y1v/tJ3Z" TargetMode="External"/><Relationship Id="rId22" Type="http://schemas.openxmlformats.org/officeDocument/2006/relationships/hyperlink" Target="http://paperpile.com/b/F91Y1v/T7K6" TargetMode="External"/><Relationship Id="rId27" Type="http://schemas.openxmlformats.org/officeDocument/2006/relationships/hyperlink" Target="https://cran.microsoft.com/snapshot/2014-09-08/web/packages/dplR/vignettes/xdate-dplR.pdf" TargetMode="External"/><Relationship Id="rId30" Type="http://schemas.openxmlformats.org/officeDocument/2006/relationships/header" Target="header1.xml"/><Relationship Id="rId8" Type="http://schemas.openxmlformats.org/officeDocument/2006/relationships/hyperlink" Target="https://paperpile.com/c/F91Y1v/h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y4rkAM2/s7H4vRfTyKa6HGa+7A==">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1340</Words>
  <Characters>7639</Characters>
  <Application>Microsoft Office Word</Application>
  <DocSecurity>0</DocSecurity>
  <Lines>63</Lines>
  <Paragraphs>17</Paragraphs>
  <ScaleCrop>false</ScaleCrop>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Chille</cp:lastModifiedBy>
  <cp:revision>6</cp:revision>
  <dcterms:created xsi:type="dcterms:W3CDTF">2021-06-15T21:52:00Z</dcterms:created>
  <dcterms:modified xsi:type="dcterms:W3CDTF">2021-10-05T14:31:00Z</dcterms:modified>
</cp:coreProperties>
</file>