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EFC" w:rsidRDefault="00E31EFC" w:rsidP="00E31EF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Table 3</w:t>
      </w:r>
      <w:r w:rsidR="00C4563B" w:rsidRPr="00D325B9">
        <w:rPr>
          <w:rFonts w:ascii="Times New Roman" w:hAnsi="Times New Roman" w:cs="Times New Roman"/>
          <w:b/>
          <w:sz w:val="20"/>
          <w:szCs w:val="20"/>
        </w:rPr>
        <w:t>.</w:t>
      </w:r>
      <w:r w:rsidR="00C03384" w:rsidRPr="00B665E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C03384" w:rsidRPr="00C0338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Significantly enriched pathways based on BATLAS, </w:t>
      </w:r>
      <w:proofErr w:type="spellStart"/>
      <w:r w:rsidR="00C03384" w:rsidRPr="00C0338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ProFAT</w:t>
      </w:r>
      <w:proofErr w:type="spellEnd"/>
      <w:r w:rsidR="00C03384" w:rsidRPr="00C0338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​​marker-genes, and genes differentially expressed in human neck adipocyte samples based on the presence of the FTO obesity</w:t>
      </w:r>
      <w:r w:rsidR="00C03384" w:rsidRPr="00C03384">
        <w:rPr>
          <w:rStyle w:val="Jegyzethivatkozs"/>
          <w:rFonts w:ascii="Times New Roman" w:hAnsi="Times New Roman" w:cs="Times New Roman"/>
          <w:b/>
          <w:sz w:val="20"/>
          <w:szCs w:val="20"/>
        </w:rPr>
        <w:t>-r</w:t>
      </w:r>
      <w:r w:rsidR="00C03384" w:rsidRPr="00C0338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isk allele</w:t>
      </w:r>
      <w:r w:rsidR="00C03384" w:rsidRPr="00E31EF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 w:rsidR="00C03384" w:rsidRPr="00E31EFC">
        <w:rPr>
          <w:rFonts w:ascii="Times New Roman" w:hAnsi="Times New Roman" w:cs="Times New Roman"/>
          <w:b/>
          <w:sz w:val="20"/>
          <w:szCs w:val="20"/>
        </w:rPr>
        <w:t>(A)</w:t>
      </w:r>
      <w:r w:rsidR="00C03384" w:rsidRPr="00B665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3384" w:rsidRPr="00C03384">
        <w:rPr>
          <w:rFonts w:ascii="Times New Roman" w:hAnsi="Times New Roman" w:cs="Times New Roman"/>
          <w:b/>
          <w:sz w:val="20"/>
          <w:szCs w:val="20"/>
        </w:rPr>
        <w:t xml:space="preserve">KEGG pathways (B) REACTOM </w:t>
      </w:r>
      <w:r w:rsidR="00C03384" w:rsidRPr="00C03384">
        <w:rPr>
          <w:rFonts w:ascii="Times New Roman" w:hAnsi="Times New Roman" w:cs="Times New Roman"/>
          <w:sz w:val="20"/>
          <w:szCs w:val="20"/>
        </w:rPr>
        <w:t xml:space="preserve">pathways identified by BATLAS, </w:t>
      </w:r>
      <w:proofErr w:type="spellStart"/>
      <w:r w:rsidR="00C03384" w:rsidRPr="00C03384">
        <w:rPr>
          <w:rFonts w:ascii="Times New Roman" w:hAnsi="Times New Roman" w:cs="Times New Roman"/>
          <w:sz w:val="20"/>
          <w:szCs w:val="20"/>
        </w:rPr>
        <w:t>ProFAT</w:t>
      </w:r>
      <w:proofErr w:type="spellEnd"/>
      <w:r w:rsidR="00C03384" w:rsidRPr="00C03384">
        <w:rPr>
          <w:rFonts w:ascii="Times New Roman" w:hAnsi="Times New Roman" w:cs="Times New Roman"/>
          <w:sz w:val="20"/>
          <w:szCs w:val="20"/>
        </w:rPr>
        <w:t xml:space="preserve"> Brown marker-genes and the genes expressed lower in </w:t>
      </w:r>
      <w:r w:rsidR="00C03384" w:rsidRPr="00C03384">
        <w:rPr>
          <w:rFonts w:ascii="Times New Roman" w:hAnsi="Times New Roman" w:cs="Times New Roman"/>
          <w:i/>
          <w:sz w:val="20"/>
          <w:szCs w:val="20"/>
        </w:rPr>
        <w:t>FTO</w:t>
      </w:r>
      <w:r w:rsidR="00C03384" w:rsidRPr="00C03384">
        <w:rPr>
          <w:rFonts w:ascii="Times New Roman" w:hAnsi="Times New Roman" w:cs="Times New Roman"/>
          <w:sz w:val="20"/>
          <w:szCs w:val="20"/>
        </w:rPr>
        <w:t xml:space="preserve"> C/C (obesity risk) samples. </w:t>
      </w:r>
      <w:r w:rsidR="00C03384" w:rsidRPr="00C03384">
        <w:rPr>
          <w:rFonts w:ascii="Times New Roman" w:hAnsi="Times New Roman" w:cs="Times New Roman"/>
          <w:b/>
          <w:sz w:val="20"/>
          <w:szCs w:val="20"/>
        </w:rPr>
        <w:t xml:space="preserve">(C) KEGG pathways (D) REACTOM </w:t>
      </w:r>
      <w:r w:rsidR="00C03384" w:rsidRPr="00C03384">
        <w:rPr>
          <w:rFonts w:ascii="Times New Roman" w:hAnsi="Times New Roman" w:cs="Times New Roman"/>
          <w:sz w:val="20"/>
          <w:szCs w:val="20"/>
        </w:rPr>
        <w:t xml:space="preserve">pathways identified by BATLAS White marker-genes and the genes expressed Higher in </w:t>
      </w:r>
      <w:r w:rsidR="00C03384" w:rsidRPr="00C03384">
        <w:rPr>
          <w:rFonts w:ascii="Times New Roman" w:hAnsi="Times New Roman" w:cs="Times New Roman"/>
          <w:i/>
          <w:sz w:val="20"/>
          <w:szCs w:val="20"/>
        </w:rPr>
        <w:t>FTO</w:t>
      </w:r>
      <w:r w:rsidR="00C03384" w:rsidRPr="00C03384">
        <w:rPr>
          <w:rFonts w:ascii="Times New Roman" w:hAnsi="Times New Roman" w:cs="Times New Roman"/>
          <w:sz w:val="20"/>
          <w:szCs w:val="20"/>
        </w:rPr>
        <w:t xml:space="preserve"> C/C samples. Red letters: Common Pathways that enriched based on BATLAS and </w:t>
      </w:r>
      <w:proofErr w:type="spellStart"/>
      <w:r w:rsidR="00C03384" w:rsidRPr="00C03384">
        <w:rPr>
          <w:rFonts w:ascii="Times New Roman" w:hAnsi="Times New Roman" w:cs="Times New Roman"/>
          <w:sz w:val="20"/>
          <w:szCs w:val="20"/>
        </w:rPr>
        <w:t>ProFAT</w:t>
      </w:r>
      <w:proofErr w:type="spellEnd"/>
      <w:r w:rsidR="00C03384" w:rsidRPr="00C03384">
        <w:rPr>
          <w:rFonts w:ascii="Times New Roman" w:hAnsi="Times New Roman" w:cs="Times New Roman"/>
          <w:sz w:val="20"/>
          <w:szCs w:val="20"/>
        </w:rPr>
        <w:t xml:space="preserve"> marker-genes; Blue letters: Common Pathways in </w:t>
      </w:r>
      <w:r w:rsidR="00C03384" w:rsidRPr="00C03384">
        <w:rPr>
          <w:rFonts w:ascii="Times New Roman" w:hAnsi="Times New Roman" w:cs="Times New Roman"/>
          <w:i/>
          <w:sz w:val="20"/>
          <w:szCs w:val="20"/>
        </w:rPr>
        <w:t>FTO</w:t>
      </w:r>
      <w:r w:rsidR="00C03384" w:rsidRPr="00C03384">
        <w:rPr>
          <w:rFonts w:ascii="Times New Roman" w:hAnsi="Times New Roman" w:cs="Times New Roman"/>
          <w:sz w:val="20"/>
          <w:szCs w:val="20"/>
        </w:rPr>
        <w:t xml:space="preserve"> based DEGs and BATLAS </w:t>
      </w:r>
      <w:r w:rsidR="00C03384" w:rsidRPr="00C03384">
        <w:rPr>
          <w:rFonts w:ascii="Times New Roman" w:hAnsi="Times New Roman" w:cs="Times New Roman"/>
          <w:b/>
          <w:sz w:val="20"/>
          <w:szCs w:val="20"/>
        </w:rPr>
        <w:t>or</w:t>
      </w:r>
      <w:r w:rsidR="00C03384" w:rsidRPr="00C0338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3384" w:rsidRPr="00C03384">
        <w:rPr>
          <w:rFonts w:ascii="Times New Roman" w:hAnsi="Times New Roman" w:cs="Times New Roman"/>
          <w:sz w:val="20"/>
          <w:szCs w:val="20"/>
        </w:rPr>
        <w:t>ProFAT</w:t>
      </w:r>
      <w:proofErr w:type="spellEnd"/>
      <w:r w:rsidR="00C03384" w:rsidRPr="00C03384">
        <w:rPr>
          <w:rFonts w:ascii="Times New Roman" w:hAnsi="Times New Roman" w:cs="Times New Roman"/>
          <w:sz w:val="20"/>
          <w:szCs w:val="20"/>
        </w:rPr>
        <w:t xml:space="preserve">; Italic font: Common enriched Pathways in </w:t>
      </w:r>
      <w:r w:rsidR="00C03384" w:rsidRPr="00C03384">
        <w:rPr>
          <w:rFonts w:ascii="Times New Roman" w:hAnsi="Times New Roman" w:cs="Times New Roman"/>
          <w:i/>
          <w:sz w:val="20"/>
          <w:szCs w:val="20"/>
        </w:rPr>
        <w:t>FTO</w:t>
      </w:r>
      <w:r w:rsidR="00C03384" w:rsidRPr="00C03384">
        <w:rPr>
          <w:rFonts w:ascii="Times New Roman" w:hAnsi="Times New Roman" w:cs="Times New Roman"/>
          <w:sz w:val="20"/>
          <w:szCs w:val="20"/>
        </w:rPr>
        <w:t xml:space="preserve"> based DEGs and BATLAS </w:t>
      </w:r>
      <w:r w:rsidR="00C03384" w:rsidRPr="00C03384">
        <w:rPr>
          <w:rFonts w:ascii="Times New Roman" w:hAnsi="Times New Roman" w:cs="Times New Roman"/>
          <w:b/>
          <w:sz w:val="20"/>
          <w:szCs w:val="20"/>
        </w:rPr>
        <w:t>and</w:t>
      </w:r>
      <w:r w:rsidR="00C03384" w:rsidRPr="00C0338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03384" w:rsidRPr="00C03384">
        <w:rPr>
          <w:rFonts w:ascii="Times New Roman" w:hAnsi="Times New Roman" w:cs="Times New Roman"/>
          <w:sz w:val="20"/>
          <w:szCs w:val="20"/>
        </w:rPr>
        <w:t>ProFAT</w:t>
      </w:r>
      <w:proofErr w:type="spellEnd"/>
      <w:r w:rsidR="00C03384" w:rsidRPr="00C03384">
        <w:rPr>
          <w:rFonts w:ascii="Times New Roman" w:hAnsi="Times New Roman" w:cs="Times New Roman"/>
          <w:sz w:val="20"/>
          <w:szCs w:val="20"/>
        </w:rPr>
        <w:t>.</w:t>
      </w:r>
    </w:p>
    <w:p w:rsidR="00E31EFC" w:rsidRPr="00E31EFC" w:rsidRDefault="00E31EFC" w:rsidP="00C0338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Supplementary Table 3A</w:t>
      </w:r>
      <w:r w:rsidRPr="00D325B9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105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3343"/>
        <w:gridCol w:w="3763"/>
      </w:tblGrid>
      <w:tr w:rsidR="00D325B9" w:rsidRPr="00D325B9" w:rsidTr="00E31EFC">
        <w:trPr>
          <w:trHeight w:val="334"/>
        </w:trPr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bookmarkStart w:id="0" w:name="_GoBack"/>
            <w:bookmarkEnd w:id="0"/>
            <w:r w:rsidRPr="00D325B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KEGG enriched pathways in BATLAS Brown Marker-genes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KEGG enriched pathways in </w:t>
            </w:r>
            <w:proofErr w:type="spellStart"/>
            <w:r w:rsidRPr="00D325B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ProFAT</w:t>
            </w:r>
            <w:proofErr w:type="spellEnd"/>
            <w:r w:rsidRPr="00D325B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 Brown Marker-genes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u-HU"/>
              </w:rPr>
              <w:t xml:space="preserve">KEGG enriched pathways in FTO </w:t>
            </w:r>
            <w:r w:rsidR="005279C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u-HU"/>
              </w:rPr>
              <w:t>non-obese Higher</w:t>
            </w:r>
            <w:r w:rsidRPr="00D325B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u-HU"/>
              </w:rPr>
              <w:t xml:space="preserve"> expressed genes 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Metabolic pathways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Metabolic pathways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Metabolic pathways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Thermogenesis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Citrate cycle (TCA cycle)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Fatty acid metabolism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Oxidative phosphorylation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Carbon metabolism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Thermogenesis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Parkinson's disease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Thermogenesis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Oxidative phosphorylation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Huntington's disease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Parkinson's disease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Carbon metabolism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Non-alcoholic fatty liver disease (NAFLD)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Huntington's disease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Huntington's disease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Alzheimer's disease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Oxidative phosphorylation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Parkinson's disease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Carbon metabolism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Non-alcoholic fatty liver disease (NAFLD)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Fatty acid degradation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Citrate cycle (TCA cycle)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Alzheimer's disease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Alzheimer's disease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  <w:t xml:space="preserve">Retrograde endocannabinoid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  <w:t>signaling</w:t>
            </w:r>
            <w:proofErr w:type="spellEnd"/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  <w:t>Biosynthesis of amino acids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Non-alcoholic fatty liver disease (NAFLD)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Fatty acid degradation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2-Oxocarboxylic acid metabolism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</w:pPr>
            <w:proofErr w:type="spellStart"/>
            <w:r w:rsidRPr="00D325B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Propanoate</w:t>
            </w:r>
            <w:proofErr w:type="spellEnd"/>
            <w:r w:rsidRPr="00D325B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 xml:space="preserve"> metabolism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Fatty acid metabolism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Fatty acid metabolism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Valine, leucine and isoleucine degradation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Propanoate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 xml:space="preserve"> metabolism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  <w:t xml:space="preserve">Retrograde endocannabinoid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  <w:t>signaling</w:t>
            </w:r>
            <w:proofErr w:type="spellEnd"/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Citrate cycle (TCA cycle)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Valine, leucine and isoleucine degradation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Pyruvate metabolism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 xml:space="preserve">PPAR </w:t>
            </w:r>
            <w:proofErr w:type="spellStart"/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signaling</w:t>
            </w:r>
            <w:proofErr w:type="spellEnd"/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 xml:space="preserve"> pathway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Cardiac muscle contraction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Fatty acid degradation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Fatty acid elongation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Butanoate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 xml:space="preserve"> metabolism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Valine, leucine and isoleucine degradation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Pyruvate metabolism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Lysine degradation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Fatty acid elongation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Cardiac muscle contraction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 xml:space="preserve">PPAR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signaling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Glyoxylate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 xml:space="preserve"> and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dicarboxylate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 xml:space="preserve"> metabolism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Peroxisome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Tryptophan metabolism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  <w:t>Glycolysis / Gluconeogenesis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proofErr w:type="spellStart"/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Glyoxylate</w:t>
            </w:r>
            <w:proofErr w:type="spellEnd"/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 xml:space="preserve"> and </w:t>
            </w:r>
            <w:proofErr w:type="spellStart"/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dicarboxylate</w:t>
            </w:r>
            <w:proofErr w:type="spellEnd"/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 xml:space="preserve"> metabolism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2-Oxocarboxylic acid metabolism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Central carbon metabolism in cancer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</w:pPr>
            <w:proofErr w:type="spellStart"/>
            <w:r w:rsidRPr="00D325B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Butanoate</w:t>
            </w:r>
            <w:proofErr w:type="spellEnd"/>
            <w:r w:rsidRPr="00D325B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 xml:space="preserve"> metabolism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Pyruvate metabolism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Cardiac muscle contraction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Glycolysis / Gluconeogenesis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Peroxisome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Glycine, serine and threonine metabolism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</w:pPr>
            <w:proofErr w:type="spellStart"/>
            <w:r w:rsidRPr="00D325B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Adipocytokine</w:t>
            </w:r>
            <w:proofErr w:type="spellEnd"/>
            <w:r w:rsidRPr="00D325B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D325B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signaling</w:t>
            </w:r>
            <w:proofErr w:type="spellEnd"/>
            <w:r w:rsidRPr="00D325B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 xml:space="preserve"> pathway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Glyoxylate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 xml:space="preserve"> and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dicarboxylate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 xml:space="preserve"> metabolism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 xml:space="preserve">PPAR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signaling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Tryptophan metabolism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  <w:t>Biosynthesis of amino acids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Biosynthesis of unsaturated fatty acids</w:t>
            </w:r>
          </w:p>
        </w:tc>
      </w:tr>
      <w:tr w:rsidR="00D325B9" w:rsidRPr="00D325B9" w:rsidTr="00E31EFC">
        <w:trPr>
          <w:trHeight w:val="334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beta-Alanine metabolism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Type I diabetes mellitus</w:t>
            </w:r>
          </w:p>
        </w:tc>
      </w:tr>
      <w:tr w:rsidR="00D325B9" w:rsidRPr="00D325B9" w:rsidTr="00E31EFC">
        <w:trPr>
          <w:trHeight w:val="334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Ribosome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AMPK </w:t>
            </w:r>
            <w:proofErr w:type="spellStart"/>
            <w:r w:rsidRPr="00D32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D32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</w:tr>
      <w:tr w:rsidR="00D325B9" w:rsidRPr="00D325B9" w:rsidTr="00E31EFC">
        <w:trPr>
          <w:trHeight w:val="334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Glycolysis / Gluconeogenesis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beta-Alanine metabolism</w:t>
            </w:r>
          </w:p>
        </w:tc>
      </w:tr>
      <w:tr w:rsidR="00D325B9" w:rsidRPr="00D325B9" w:rsidTr="00E31EFC">
        <w:trPr>
          <w:trHeight w:val="334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Adipocytokine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>signaling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hu-HU"/>
              </w:rPr>
            </w:pPr>
            <w:r w:rsidRPr="0022578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Glucagon </w:t>
            </w:r>
            <w:proofErr w:type="spellStart"/>
            <w:r w:rsidRPr="0022578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signaling</w:t>
            </w:r>
            <w:proofErr w:type="spellEnd"/>
            <w:r w:rsidRPr="0022578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 pathway</w:t>
            </w:r>
          </w:p>
        </w:tc>
      </w:tr>
      <w:tr w:rsidR="00D325B9" w:rsidRPr="00D325B9" w:rsidTr="00E31EFC">
        <w:trPr>
          <w:trHeight w:val="334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432BB0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  <w:t>Fatty acid elongation</w:t>
            </w: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Insulin resistance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u-H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i/>
                <w:color w:val="0070C0"/>
                <w:sz w:val="16"/>
                <w:szCs w:val="16"/>
                <w:lang w:eastAsia="hu-HU"/>
              </w:rPr>
              <w:t>2-Oxocarboxylic acid metabolism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Allograft rejection</w:t>
            </w:r>
          </w:p>
        </w:tc>
      </w:tr>
      <w:tr w:rsidR="00D325B9" w:rsidRPr="00D325B9" w:rsidTr="00E31EFC">
        <w:trPr>
          <w:trHeight w:val="334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33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37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Steroid hormone biosynthesis</w:t>
            </w:r>
          </w:p>
        </w:tc>
      </w:tr>
      <w:tr w:rsidR="00D325B9" w:rsidRPr="00D325B9" w:rsidTr="00E31EFC">
        <w:trPr>
          <w:trHeight w:val="78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5B9" w:rsidRPr="00D325B9" w:rsidRDefault="00D325B9" w:rsidP="00D32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D32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Graft-versus-host disease</w:t>
            </w:r>
          </w:p>
        </w:tc>
      </w:tr>
    </w:tbl>
    <w:p w:rsidR="00C4563B" w:rsidRPr="00C071A4" w:rsidRDefault="00C4563B" w:rsidP="00C4563B">
      <w:pPr>
        <w:rPr>
          <w:rFonts w:ascii="Times New Roman" w:hAnsi="Times New Roman" w:cs="Times New Roman"/>
          <w:b/>
          <w:sz w:val="20"/>
          <w:szCs w:val="20"/>
        </w:rPr>
      </w:pPr>
      <w:r w:rsidRPr="00C071A4">
        <w:rPr>
          <w:rFonts w:ascii="Times New Roman" w:hAnsi="Times New Roman" w:cs="Times New Roman"/>
          <w:b/>
          <w:sz w:val="20"/>
          <w:szCs w:val="20"/>
        </w:rPr>
        <w:lastRenderedPageBreak/>
        <w:t>Supplementary Table 3</w:t>
      </w:r>
      <w:r w:rsidR="00AA6564" w:rsidRPr="00C071A4">
        <w:rPr>
          <w:rFonts w:ascii="Times New Roman" w:hAnsi="Times New Roman" w:cs="Times New Roman"/>
          <w:b/>
          <w:sz w:val="20"/>
          <w:szCs w:val="20"/>
        </w:rPr>
        <w:t>B.</w:t>
      </w:r>
    </w:p>
    <w:tbl>
      <w:tblPr>
        <w:tblW w:w="99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3406"/>
        <w:gridCol w:w="2903"/>
        <w:gridCol w:w="397"/>
      </w:tblGrid>
      <w:tr w:rsidR="00C071A4" w:rsidRPr="00C071A4" w:rsidTr="009679E0">
        <w:trPr>
          <w:trHeight w:val="442"/>
        </w:trPr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564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REACTOM enriched pathways in BATLAS Brown Marker-genes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564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REACTOM enriched pathways in 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ProFAT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 Brown Marker-genes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564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REACTOM enriched pathways in FTO </w:t>
            </w:r>
            <w:r w:rsidR="005279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non-obese Higher</w:t>
            </w:r>
            <w:r w:rsidRPr="00470F8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 expressed genes 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The citric acid (TCA) cycle and respiratory electron transport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The citric acid (TCA) cycle and respiratory electron transport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Metabolism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Metabolism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color w:val="FF0000"/>
                <w:sz w:val="14"/>
                <w:szCs w:val="14"/>
                <w:lang w:eastAsia="hu-HU"/>
              </w:rPr>
              <w:t>Metabolism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Metabolism of lipids</w:t>
            </w:r>
          </w:p>
        </w:tc>
      </w:tr>
      <w:tr w:rsidR="00C071A4" w:rsidRPr="00C071A4" w:rsidTr="009679E0">
        <w:trPr>
          <w:trHeight w:val="384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Respiratory electron transport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Pyruvate metabolism and Citric Acid (TCA) cycle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The citric acid (TCA) cycle and respiratory electron transport</w:t>
            </w:r>
          </w:p>
        </w:tc>
      </w:tr>
      <w:tr w:rsidR="00C071A4" w:rsidRPr="00432BB0" w:rsidTr="009679E0">
        <w:trPr>
          <w:gridAfter w:val="1"/>
          <w:wAfter w:w="398" w:type="dxa"/>
          <w:trHeight w:val="586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Respiratory electron transport, ATP synthesis by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chemiosmotic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 coupling, and heat production by uncoupling proteins.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Respiratory electron transport, ATP synthesis by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chemiosmotic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 coupling, and heat production by uncoupling proteins.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Fatty acid metabolism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Complex I biogenesis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Citric acid cycle (TCA cycle)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 xml:space="preserve">Respiratory electron transport, ATP synthesis by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chemiosmotic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 xml:space="preserve"> coupling, and heat production by uncoupling proteins.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Pyruvate metabolism and Citric Acid (TCA) cycle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Respiratory electron transport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Respiratory electron transport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Citric acid cycle (TCA cycle)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AB2F52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Complex I biogenesis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Mitochondrial Fatty Acid Beta-Oxidation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Protein localization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Mitochondrial Fatty Acid Beta-Oxidation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Pyruvate metabolism and Citric Acid (TCA) cycle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Mitochondrial translation initiation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Fatty acid metabolism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Signaling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 xml:space="preserve"> by Retinoic Acid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Fatty acid metabolism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Glyoxylate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 metabolism and glycine degradation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mitochondrial fatty acid beta-oxidation of saturated fatty acids</w:t>
            </w:r>
          </w:p>
        </w:tc>
      </w:tr>
      <w:tr w:rsidR="00C071A4" w:rsidRPr="00C071A4" w:rsidTr="009679E0">
        <w:trPr>
          <w:trHeight w:val="512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Mitochondrial Fatty Acid Beta-Oxidation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mitochondrial fatty acid beta-oxidation of saturated fatty acids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hexanoyl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butanoyl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-CoA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Glyoxylate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 metabolism and glycine degradation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Regulation of pyruvate dehydrogenase (PDH) complex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decanoyl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octanoyl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-CoA-CoA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Mitochondrial translation elongation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hexanoyl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butanoyl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-CoA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Regulation of pyruvate dehydrogenase (PDH) complex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Mitochondrial translation termination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decanoyl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octanoyl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-CoA-CoA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Glyoxylate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 xml:space="preserve"> metabolism and glycine degradation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Mitochondrial protein import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Signaling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 by Retinoic Acid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iCs/>
                <w:color w:val="0070C0"/>
                <w:sz w:val="14"/>
                <w:szCs w:val="14"/>
                <w:lang w:eastAsia="hu-HU"/>
              </w:rPr>
              <w:t>Citric acid cycle (TCA cycle)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Metabolism of lipids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i/>
                <w:color w:val="FF0000"/>
                <w:sz w:val="14"/>
                <w:szCs w:val="14"/>
                <w:lang w:eastAsia="hu-HU"/>
              </w:rPr>
              <w:t>Metabolism of lipids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 xml:space="preserve">Import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palmitoyl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-CoA into the mitochondrial matrix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mitochondrial fatty acid beta-oxidation of saturated fatty acids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AB2F52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Mitochondrial protein import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Pyruvate metabolism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hexanoyl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butanoyl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-CoA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AB2F52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Lysine catabolism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octanoyl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hexanoyl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-CoA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</w:pPr>
            <w:r w:rsidRPr="00225789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Mitochondrial biogenesis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70C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bCs/>
                <w:i/>
                <w:color w:val="0070C0"/>
                <w:sz w:val="14"/>
                <w:szCs w:val="14"/>
                <w:lang w:eastAsia="hu-HU"/>
              </w:rPr>
              <w:t xml:space="preserve">Import of 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bCs/>
                <w:i/>
                <w:color w:val="0070C0"/>
                <w:sz w:val="14"/>
                <w:szCs w:val="14"/>
                <w:lang w:eastAsia="hu-HU"/>
              </w:rPr>
              <w:t>palmitoyl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bCs/>
                <w:i/>
                <w:color w:val="0070C0"/>
                <w:sz w:val="14"/>
                <w:szCs w:val="14"/>
                <w:lang w:eastAsia="hu-HU"/>
              </w:rPr>
              <w:t>-CoA into the mitochondrial matrix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Mitochondrial biogenesis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Cristae formation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AB2F52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Metabolism of amino acids and derivatives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palmitoyl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myristoyl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-CoA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Lysine catabolism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AB2F52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Branched-chain amino acid catabolism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lauroyl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decanoyl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-CoA-CoA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palmitoyl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myristoyl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-CoA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EA24BA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eastAsia="hu-HU"/>
              </w:rPr>
            </w:pPr>
            <w:r w:rsidRPr="00EA24BA">
              <w:rPr>
                <w:rFonts w:ascii="Times New Roman" w:eastAsia="Times New Roman" w:hAnsi="Times New Roman" w:cs="Times New Roman"/>
                <w:bCs/>
                <w:i/>
                <w:color w:val="FF0000"/>
                <w:sz w:val="14"/>
                <w:szCs w:val="14"/>
                <w:lang w:eastAsia="hu-HU"/>
              </w:rPr>
              <w:t>Transcriptional activation of mitochondrial biogenesis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Cristae formation</w:t>
            </w:r>
          </w:p>
        </w:tc>
      </w:tr>
      <w:tr w:rsidR="00C071A4" w:rsidRPr="00C071A4" w:rsidTr="003A418D">
        <w:trPr>
          <w:trHeight w:val="467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Branched-chain amino acid catabolism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3A418D" w:rsidRDefault="003A418D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3A418D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Histidine, lysine, phenylalanine, tyrosine, </w:t>
            </w:r>
            <w:proofErr w:type="spellStart"/>
            <w:r w:rsidRPr="003A418D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>proline</w:t>
            </w:r>
            <w:proofErr w:type="spellEnd"/>
            <w:r w:rsidRPr="003A418D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and tryptophan catabolism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Peroxisomal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 xml:space="preserve"> protein import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Metabolism of amino acids and derivatives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AB2F52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Peroxisomal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 xml:space="preserve"> lipid metabolism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lauroyl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decanoyl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-CoA-CoA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AB2F52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bCs/>
                <w:color w:val="0070C0"/>
                <w:sz w:val="14"/>
                <w:szCs w:val="14"/>
                <w:lang w:eastAsia="hu-HU"/>
              </w:rPr>
              <w:t>Protein localization</w:t>
            </w:r>
          </w:p>
        </w:tc>
      </w:tr>
      <w:tr w:rsidR="00470F8F" w:rsidRPr="00470F8F" w:rsidTr="009679E0">
        <w:trPr>
          <w:trHeight w:val="360"/>
        </w:trPr>
        <w:tc>
          <w:tcPr>
            <w:tcW w:w="6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octanoyl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hexanoyl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-CoA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Endosomal/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Vacuolar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 pathway</w:t>
            </w:r>
          </w:p>
        </w:tc>
      </w:tr>
      <w:tr w:rsidR="00470F8F" w:rsidRPr="00470F8F" w:rsidTr="009679E0">
        <w:trPr>
          <w:trHeight w:val="360"/>
        </w:trPr>
        <w:tc>
          <w:tcPr>
            <w:tcW w:w="6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butanoyl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-CoA to acetyl-CoA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Signaling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 by Nuclear Receptors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Pyruvate metabolism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Triglyceride metabolism</w:t>
            </w:r>
          </w:p>
        </w:tc>
      </w:tr>
      <w:tr w:rsidR="00470F8F" w:rsidRPr="00470F8F" w:rsidTr="009679E0">
        <w:trPr>
          <w:trHeight w:val="360"/>
        </w:trPr>
        <w:tc>
          <w:tcPr>
            <w:tcW w:w="6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AB2F52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decanoyl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octanoyl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  <w:t>-CoA-CoA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mitochondrial fatty acid beta-oxidation of unsaturated fatty acids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>Gluconeogenesis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Synthesis of very long-chain fatty acyl-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CoAs</w:t>
            </w:r>
            <w:proofErr w:type="spellEnd"/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Signaling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 xml:space="preserve"> by Retinoic Acid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Antigen Presentation: Folding, assembly and peptide loading of class I MHC</w:t>
            </w:r>
          </w:p>
        </w:tc>
      </w:tr>
      <w:tr w:rsidR="00470F8F" w:rsidRPr="00470F8F" w:rsidTr="009679E0">
        <w:trPr>
          <w:trHeight w:val="360"/>
        </w:trPr>
        <w:tc>
          <w:tcPr>
            <w:tcW w:w="6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</w:pPr>
            <w:r w:rsidRPr="00432BB0">
              <w:rPr>
                <w:rFonts w:ascii="Times New Roman" w:eastAsia="Times New Roman" w:hAnsi="Times New Roman" w:cs="Times New Roman"/>
                <w:i/>
                <w:color w:val="FF0000"/>
                <w:sz w:val="14"/>
                <w:szCs w:val="14"/>
                <w:lang w:eastAsia="hu-HU"/>
              </w:rPr>
              <w:t>Regulation of pyruvate dehydrogenase (PDH) complex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Glycerophospholipid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 biosynthesis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Peroxisomal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 xml:space="preserve"> protein import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Synthesis of bile acids and bile salts via 24-hydroxycholesterol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32BB0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</w:pPr>
            <w:proofErr w:type="spellStart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>Peroxisomal</w:t>
            </w:r>
            <w:proofErr w:type="spellEnd"/>
            <w:r w:rsidRPr="00432BB0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hu-HU"/>
              </w:rPr>
              <w:t xml:space="preserve"> lipid metabolism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Synthesis of bile acids and bile salts via 27-hydroxycholesterol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lastRenderedPageBreak/>
              <w:t>Mitochondrial calcium ion transport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Interferon gamma 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signaling</w:t>
            </w:r>
            <w:proofErr w:type="spellEnd"/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Acyl chain 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remodeling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 of CL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Formation of ATP by 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chemiosmotic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 coupling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Metabolism of steroids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Linoleic acid (LA) metabolism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RA biosynthesis pathway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Synthesis of bile acids and bile salts via 7alpha-hydroxycholesterol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TP53 Regulates Metabolic Genes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Triglyceride catabolism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PPARA activates gene expression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Retinoid metabolism and transport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alpha-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linolenic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 acid (ALA) metabolism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Antigen processing-Cross presentation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Phospholipid metabolism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Visual 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phototransduction</w:t>
            </w:r>
            <w:proofErr w:type="spellEnd"/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Triglyceride biosynthesis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Beta oxidation of 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myristoyl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-CoA to </w:t>
            </w: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lauroyl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-CoA</w:t>
            </w:r>
          </w:p>
        </w:tc>
      </w:tr>
      <w:tr w:rsidR="00C071A4" w:rsidRPr="00C071A4" w:rsidTr="009679E0">
        <w:trPr>
          <w:trHeight w:val="360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0F8F" w:rsidRPr="00470F8F" w:rsidRDefault="00470F8F" w:rsidP="00470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>Immunoregulatory</w:t>
            </w:r>
            <w:proofErr w:type="spellEnd"/>
            <w:r w:rsidRPr="00470F8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u-HU"/>
              </w:rPr>
              <w:t xml:space="preserve"> interactions between a Lymphoid and a non-Lymphoid cell</w:t>
            </w:r>
          </w:p>
        </w:tc>
      </w:tr>
    </w:tbl>
    <w:p w:rsidR="00A83C07" w:rsidRPr="00C071A4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Pr="00C071A4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Pr="00C071A4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Pr="00C071A4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Pr="00C071A4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Pr="00C071A4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Pr="00C071A4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Pr="00C071A4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Pr="00C071A4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Pr="00C071A4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DF2190" w:rsidRDefault="00DF2190" w:rsidP="00C4563B">
      <w:pPr>
        <w:rPr>
          <w:rFonts w:ascii="Times New Roman" w:hAnsi="Times New Roman" w:cs="Times New Roman"/>
          <w:sz w:val="20"/>
          <w:szCs w:val="20"/>
        </w:rPr>
      </w:pPr>
    </w:p>
    <w:p w:rsidR="00DF2190" w:rsidRDefault="00DF2190" w:rsidP="00C4563B">
      <w:pPr>
        <w:rPr>
          <w:rFonts w:ascii="Times New Roman" w:hAnsi="Times New Roman" w:cs="Times New Roman"/>
          <w:sz w:val="20"/>
          <w:szCs w:val="20"/>
        </w:rPr>
      </w:pPr>
    </w:p>
    <w:p w:rsidR="00A83C07" w:rsidRDefault="00A83C07" w:rsidP="00C4563B">
      <w:pPr>
        <w:rPr>
          <w:rFonts w:ascii="Times New Roman" w:hAnsi="Times New Roman" w:cs="Times New Roman"/>
          <w:sz w:val="20"/>
          <w:szCs w:val="20"/>
        </w:rPr>
      </w:pPr>
    </w:p>
    <w:p w:rsidR="00C4563B" w:rsidRPr="00B579A0" w:rsidRDefault="00C4563B" w:rsidP="00C4563B">
      <w:pPr>
        <w:rPr>
          <w:rFonts w:ascii="Times New Roman" w:hAnsi="Times New Roman" w:cs="Times New Roman"/>
          <w:sz w:val="20"/>
          <w:szCs w:val="20"/>
        </w:rPr>
      </w:pPr>
      <w:r w:rsidRPr="00B579A0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3C.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6"/>
        <w:gridCol w:w="3852"/>
        <w:gridCol w:w="70"/>
      </w:tblGrid>
      <w:tr w:rsidR="005A2EBA" w:rsidRPr="00B579A0" w:rsidTr="003242BE">
        <w:trPr>
          <w:gridAfter w:val="1"/>
          <w:wAfter w:w="70" w:type="dxa"/>
          <w:trHeight w:val="260"/>
        </w:trPr>
        <w:tc>
          <w:tcPr>
            <w:tcW w:w="5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B579A0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579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KEGG enriched pathways in BATLAS</w:t>
            </w:r>
          </w:p>
          <w:p w:rsidR="005A2EBA" w:rsidRPr="00B579A0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579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White Marker-genes</w:t>
            </w:r>
          </w:p>
        </w:tc>
        <w:tc>
          <w:tcPr>
            <w:tcW w:w="3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B579A0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579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KEGG enr</w:t>
            </w:r>
            <w:r w:rsidR="005279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iched pathways in FTO obese Higher</w:t>
            </w:r>
            <w:r w:rsidRPr="00B579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expressed genes 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FoxO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Rap1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pathway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AMPK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PI3K-Akt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pathway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p53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TGF-beta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Focal adhesion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Focal adhesion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Glioma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ECM-receptor interaction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Melanoma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Malaria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AGE-RAGE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 in diabetic complications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Hippo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Amoebiasis</w:t>
            </w:r>
            <w:proofErr w:type="spellEnd"/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Relaxin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pathway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Pathways in cancer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Ras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Small cell lung cancer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</w:pP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Relaxin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PI3K-Akt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pathways regulating pluripotency of stem cells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Breast cancer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Cellular senescence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Jak</w:t>
            </w:r>
            <w:proofErr w:type="spellEnd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-STAT </w:t>
            </w:r>
            <w:proofErr w:type="spellStart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AB2F52">
        <w:trPr>
          <w:trHeight w:val="74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Aldosterone-regulated sodium reabsorption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Transcriptional </w:t>
            </w:r>
            <w:proofErr w:type="spellStart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misregulation</w:t>
            </w:r>
            <w:proofErr w:type="spellEnd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in cancer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Endometrial cancer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Longevity regulating pathway - multiple species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Non-small cell lung cancer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Prolactin </w:t>
            </w:r>
            <w:proofErr w:type="spellStart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Pancreatic cancer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Chronic myeloid </w:t>
            </w:r>
            <w:proofErr w:type="spellStart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leukemia</w:t>
            </w:r>
            <w:proofErr w:type="spellEnd"/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EGFR tyrosine kinase inhibitor resistance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Colorectal cancer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Longevity regulating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Protein digestion and absorption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Endocrine resistance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HIF-1 </w:t>
            </w:r>
            <w:proofErr w:type="spellStart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Inflammatory mediator regulation of TRP channels</w:t>
            </w: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Progesterone-mediated oocyte maturation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Human papillomavirus infection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Prostate cancer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Insulin resistance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Cell cycle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Platelet activation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Apoptosis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Insulin </w:t>
            </w:r>
            <w:proofErr w:type="spellStart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Measles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mTOR</w:t>
            </w:r>
            <w:proofErr w:type="spellEnd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Non-alcoholic fatty liver disease (NAFLD)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Gastric cancer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Hepatocellular carcinoma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Viral carcinogenesis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C37B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Proteoglycans in cancer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  <w:tr w:rsidR="005A2EBA" w:rsidRPr="0018468E" w:rsidTr="003242BE">
        <w:trPr>
          <w:trHeight w:val="260"/>
        </w:trPr>
        <w:tc>
          <w:tcPr>
            <w:tcW w:w="5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AB2F52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Rap1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pathway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EBA" w:rsidRPr="00C37BA5" w:rsidRDefault="005A2EBA" w:rsidP="005A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</w:tr>
    </w:tbl>
    <w:p w:rsidR="005A2EBA" w:rsidRDefault="005A2EBA" w:rsidP="00C4563B">
      <w:pPr>
        <w:rPr>
          <w:rFonts w:ascii="Times New Roman" w:hAnsi="Times New Roman" w:cs="Times New Roman"/>
          <w:sz w:val="20"/>
          <w:szCs w:val="20"/>
        </w:rPr>
      </w:pPr>
    </w:p>
    <w:p w:rsidR="00B7661C" w:rsidRPr="00B579A0" w:rsidRDefault="00B7661C" w:rsidP="00C4563B">
      <w:pPr>
        <w:rPr>
          <w:rFonts w:ascii="Times New Roman" w:hAnsi="Times New Roman" w:cs="Times New Roman"/>
          <w:sz w:val="20"/>
          <w:szCs w:val="20"/>
        </w:rPr>
      </w:pPr>
    </w:p>
    <w:p w:rsidR="00DF2190" w:rsidRPr="00B579A0" w:rsidRDefault="00DF2190" w:rsidP="00C4563B">
      <w:pPr>
        <w:rPr>
          <w:rFonts w:ascii="Times New Roman" w:hAnsi="Times New Roman" w:cs="Times New Roman"/>
          <w:sz w:val="20"/>
          <w:szCs w:val="20"/>
        </w:rPr>
      </w:pPr>
    </w:p>
    <w:p w:rsidR="005A2EBA" w:rsidRPr="00B579A0" w:rsidRDefault="003242BE" w:rsidP="00C4563B">
      <w:pPr>
        <w:rPr>
          <w:rFonts w:ascii="Times New Roman" w:hAnsi="Times New Roman" w:cs="Times New Roman"/>
          <w:sz w:val="20"/>
          <w:szCs w:val="20"/>
        </w:rPr>
      </w:pPr>
      <w:r w:rsidRPr="00B579A0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3D. 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242BE" w:rsidRPr="003242BE" w:rsidTr="003242BE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3242BE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2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REACTOME enriched pathways in BATLAS White Marker-genes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3242BE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2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REACTOME enr</w:t>
            </w:r>
            <w:r w:rsidR="005279C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iched pathways in FTO obese Higher</w:t>
            </w:r>
            <w:r w:rsidRPr="0032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expressed genes 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Binding and Uptake of Ligands by Scavenger Receptors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Extracellular matrix organization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proofErr w:type="spellStart"/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by PDGF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Collagen formation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Scavenging by Class A Receptors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Diseases of glycosylation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Synthesis, secretion, and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deacylation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of Ghrelin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Elastic fibre formation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Collagen degradation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Diseases associated with O-glycosylation of proteins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DF2190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</w:pPr>
            <w:r w:rsidRPr="00DF219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  <w:t>Signal Transduction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Collagen biosynthesis and modifying enzymes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Assembly of collagen fibrils and other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multimeric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structures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Integrin cell surface interactions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IRS-related events triggered by IGF1R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Assembly of collagen fibrils and other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multimeric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structures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Non-integrin membrane-ECM interactions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Molecules associated with elastic fibres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ECM proteoglycans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Defective B3GALTL causes Peters-plus syndrome (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PpS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)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NCAM1 interactions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O-linked glycosylation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proofErr w:type="spellStart"/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by MET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O-glycosylation of TSR domain-containing proteins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Platelet activation,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and aggregation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Platelet activation,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 and aggregation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Collagen chain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trimerization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Degradation of the extracellular matrix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proofErr w:type="spellStart"/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by Receptor Tyrosine Kinases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 xml:space="preserve">Collagen chain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trimerization</w:t>
            </w:r>
            <w:proofErr w:type="spellEnd"/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DF2190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</w:pPr>
            <w:r w:rsidRPr="00DF219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hu-HU"/>
              </w:rPr>
              <w:t>Developmental Biology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ECM proteoglycans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Integrin cell surface interactions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Regulation of IGF transport and uptake by IGFBPs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Crosslinking of collagen fibrils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Adherens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junctions interactions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hu-HU"/>
              </w:rPr>
              <w:t>Collagen degradation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Antagonism of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Activin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by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Follistatin</w:t>
            </w:r>
            <w:proofErr w:type="spellEnd"/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Signaling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by </w:t>
            </w: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Activin</w:t>
            </w:r>
            <w:proofErr w:type="spellEnd"/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Platelet degranulation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Post-translational protein phosphorylation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Syndecan</w:t>
            </w:r>
            <w:proofErr w:type="spellEnd"/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interactions</w:t>
            </w:r>
          </w:p>
        </w:tc>
      </w:tr>
      <w:tr w:rsidR="003242BE" w:rsidRPr="003242BE" w:rsidTr="003242BE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2BE" w:rsidRPr="00AB2F52" w:rsidRDefault="003242BE" w:rsidP="0032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AB2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Diseases associated with glycosaminoglycan metabolism</w:t>
            </w:r>
          </w:p>
        </w:tc>
      </w:tr>
    </w:tbl>
    <w:p w:rsidR="005A2EBA" w:rsidRPr="00B579A0" w:rsidRDefault="005A2EBA" w:rsidP="00C4563B">
      <w:pPr>
        <w:rPr>
          <w:rFonts w:ascii="Times New Roman" w:hAnsi="Times New Roman" w:cs="Times New Roman"/>
          <w:sz w:val="20"/>
          <w:szCs w:val="20"/>
        </w:rPr>
      </w:pPr>
    </w:p>
    <w:p w:rsidR="005A2EBA" w:rsidRPr="00B579A0" w:rsidRDefault="005A2EBA">
      <w:pPr>
        <w:rPr>
          <w:rFonts w:ascii="Times New Roman" w:hAnsi="Times New Roman" w:cs="Times New Roman"/>
        </w:rPr>
      </w:pPr>
    </w:p>
    <w:sectPr w:rsidR="005A2EBA" w:rsidRPr="00B57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3B"/>
    <w:rsid w:val="0018468E"/>
    <w:rsid w:val="00213EA0"/>
    <w:rsid w:val="00225789"/>
    <w:rsid w:val="003242BE"/>
    <w:rsid w:val="003A418D"/>
    <w:rsid w:val="00432BB0"/>
    <w:rsid w:val="00470F8F"/>
    <w:rsid w:val="005279C9"/>
    <w:rsid w:val="00581E2B"/>
    <w:rsid w:val="005A2EBA"/>
    <w:rsid w:val="00602957"/>
    <w:rsid w:val="007D7A53"/>
    <w:rsid w:val="008A2B4A"/>
    <w:rsid w:val="009679E0"/>
    <w:rsid w:val="00A83C07"/>
    <w:rsid w:val="00A90903"/>
    <w:rsid w:val="00A94613"/>
    <w:rsid w:val="00AA6564"/>
    <w:rsid w:val="00AB2F52"/>
    <w:rsid w:val="00B250D5"/>
    <w:rsid w:val="00B579A0"/>
    <w:rsid w:val="00B7661C"/>
    <w:rsid w:val="00BF5339"/>
    <w:rsid w:val="00C03384"/>
    <w:rsid w:val="00C071A4"/>
    <w:rsid w:val="00C37BA5"/>
    <w:rsid w:val="00C4563B"/>
    <w:rsid w:val="00D02CDA"/>
    <w:rsid w:val="00D03479"/>
    <w:rsid w:val="00D325B9"/>
    <w:rsid w:val="00DF2190"/>
    <w:rsid w:val="00E31EFC"/>
    <w:rsid w:val="00E57669"/>
    <w:rsid w:val="00EA24BA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68E78"/>
  <w15:chartTrackingRefBased/>
  <w15:docId w15:val="{4345056C-CDA4-46EE-8FC6-A3A05BA2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4563B"/>
    <w:rPr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C0338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7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Bea</dc:creator>
  <cp:keywords/>
  <dc:description/>
  <cp:lastModifiedBy>Tóth Bea</cp:lastModifiedBy>
  <cp:revision>18</cp:revision>
  <dcterms:created xsi:type="dcterms:W3CDTF">2020-08-31T10:15:00Z</dcterms:created>
  <dcterms:modified xsi:type="dcterms:W3CDTF">2021-12-03T14:06:00Z</dcterms:modified>
</cp:coreProperties>
</file>