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E09" w:rsidRPr="00CE4097" w:rsidRDefault="0091795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304.5pt">
            <v:imagedata r:id="rId6" o:title="Supplementary Fig"/>
          </v:shape>
        </w:pict>
      </w:r>
    </w:p>
    <w:p w:rsidR="00DB2E09" w:rsidRPr="00CE4097" w:rsidRDefault="005F508B" w:rsidP="00DB2E09">
      <w:pPr>
        <w:widowControl/>
        <w:wordWrap/>
        <w:autoSpaceDE/>
        <w:autoSpaceDN/>
        <w:spacing w:after="0" w:line="480" w:lineRule="auto"/>
        <w:contextualSpacing/>
        <w:jc w:val="left"/>
        <w:rPr>
          <w:rFonts w:ascii="Times New Roman" w:eastAsia="맑은 고딕" w:hAnsi="Times New Roman" w:cs="Times New Roman"/>
          <w:kern w:val="0"/>
          <w:sz w:val="24"/>
          <w:szCs w:val="24"/>
          <w:lang w:eastAsia="en-US"/>
        </w:rPr>
      </w:pPr>
      <w:r w:rsidRPr="00CE4097">
        <w:rPr>
          <w:rFonts w:ascii="Times New Roman" w:eastAsia="맑은 고딕" w:hAnsi="Times New Roman" w:cs="Times New Roman"/>
          <w:b/>
          <w:kern w:val="0"/>
          <w:sz w:val="24"/>
          <w:szCs w:val="24"/>
          <w:lang w:eastAsia="en-US"/>
        </w:rPr>
        <w:t>Figure S</w:t>
      </w:r>
      <w:r w:rsidR="00DB2E09" w:rsidRPr="00CE4097">
        <w:rPr>
          <w:rFonts w:ascii="Times New Roman" w:eastAsia="맑은 고딕" w:hAnsi="Times New Roman" w:cs="Times New Roman"/>
          <w:b/>
          <w:kern w:val="0"/>
          <w:sz w:val="24"/>
          <w:szCs w:val="24"/>
          <w:lang w:eastAsia="en-US"/>
        </w:rPr>
        <w:t>1</w:t>
      </w:r>
      <w:r w:rsidRPr="00CE4097">
        <w:rPr>
          <w:rFonts w:ascii="Times New Roman" w:eastAsia="맑은 고딕" w:hAnsi="Times New Roman" w:cs="Times New Roman"/>
          <w:b/>
          <w:kern w:val="0"/>
          <w:sz w:val="24"/>
          <w:szCs w:val="24"/>
          <w:lang w:eastAsia="en-US"/>
        </w:rPr>
        <w:t>.</w:t>
      </w:r>
      <w:r w:rsidR="00DB2E09"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 xml:space="preserve">Validation of the determined transcription start sites using RNA-Seq results. </w:t>
      </w:r>
      <w:r w:rsidR="00DB2E09" w:rsidRPr="00CE4097">
        <w:rPr>
          <w:rFonts w:ascii="Times New Roman" w:eastAsia="맑은 고딕" w:hAnsi="Times New Roman" w:cs="Times New Roman"/>
          <w:kern w:val="0"/>
          <w:sz w:val="24"/>
          <w:szCs w:val="24"/>
          <w:lang w:eastAsia="en-US"/>
        </w:rPr>
        <w:t>(a) RNA-Seq mapping statistics. (b) PCA analysis of RNA-Seq mapping results.</w:t>
      </w:r>
      <w:r w:rsidR="003547F3"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kern w:val="0"/>
          <w:sz w:val="24"/>
          <w:szCs w:val="24"/>
          <w:lang w:eastAsia="en-US"/>
        </w:rPr>
        <w:t>(c) RNA-Seq read density near transcription start sites.</w:t>
      </w:r>
      <w:r w:rsidR="003547F3" w:rsidRPr="00CE4097">
        <w:rPr>
          <w:rFonts w:ascii="Times New Roman" w:eastAsia="맑은 고딕" w:hAnsi="Times New Roman" w:cs="Times New Roman"/>
          <w:kern w:val="0"/>
          <w:sz w:val="24"/>
          <w:szCs w:val="24"/>
          <w:lang w:eastAsia="en-US"/>
        </w:rPr>
        <w:t xml:space="preserve"> M, T, L and S denote for mid</w:t>
      </w:r>
      <w:r w:rsidR="00E93B9E" w:rsidRPr="00CE4097">
        <w:rPr>
          <w:rFonts w:ascii="Times New Roman" w:eastAsia="맑은 고딕" w:hAnsi="Times New Roman" w:cs="Times New Roman"/>
          <w:kern w:val="0"/>
          <w:sz w:val="24"/>
          <w:szCs w:val="24"/>
          <w:lang w:eastAsia="en-US"/>
        </w:rPr>
        <w:t xml:space="preserve"> </w:t>
      </w:r>
      <w:r w:rsidR="003547F3" w:rsidRPr="00CE4097">
        <w:rPr>
          <w:rFonts w:ascii="Times New Roman" w:eastAsia="맑은 고딕" w:hAnsi="Times New Roman" w:cs="Times New Roman"/>
          <w:kern w:val="0"/>
          <w:sz w:val="24"/>
          <w:szCs w:val="24"/>
          <w:lang w:eastAsia="en-US"/>
        </w:rPr>
        <w:t>exponential phase, transition phase, late</w:t>
      </w:r>
      <w:r w:rsidR="00E93B9E" w:rsidRPr="00CE4097">
        <w:rPr>
          <w:rFonts w:ascii="Times New Roman" w:eastAsia="맑은 고딕" w:hAnsi="Times New Roman" w:cs="Times New Roman"/>
          <w:kern w:val="0"/>
          <w:sz w:val="24"/>
          <w:szCs w:val="24"/>
          <w:lang w:eastAsia="en-US"/>
        </w:rPr>
        <w:t xml:space="preserve"> </w:t>
      </w:r>
      <w:r w:rsidR="003547F3" w:rsidRPr="00CE4097">
        <w:rPr>
          <w:rFonts w:ascii="Times New Roman" w:eastAsia="맑은 고딕" w:hAnsi="Times New Roman" w:cs="Times New Roman"/>
          <w:kern w:val="0"/>
          <w:sz w:val="24"/>
          <w:szCs w:val="24"/>
          <w:lang w:eastAsia="en-US"/>
        </w:rPr>
        <w:t>exponential phase and stationary phase, respectively.</w:t>
      </w:r>
    </w:p>
    <w:p w:rsidR="00DB2E09" w:rsidRPr="00CE4097" w:rsidRDefault="00DB2E09">
      <w:r w:rsidRPr="00CE4097">
        <w:br w:type="page"/>
      </w:r>
    </w:p>
    <w:p w:rsidR="00DB2E09" w:rsidRPr="00CE4097" w:rsidRDefault="00917959">
      <w:r>
        <w:lastRenderedPageBreak/>
        <w:pict>
          <v:shape id="_x0000_i1026" type="#_x0000_t75" style="width:451.5pt;height:400.5pt">
            <v:imagedata r:id="rId7" o:title="Supplementary Fig"/>
          </v:shape>
        </w:pict>
      </w:r>
    </w:p>
    <w:p w:rsidR="00DB2E09" w:rsidRPr="00CE4097" w:rsidRDefault="005F508B" w:rsidP="00DB2E09">
      <w:pPr>
        <w:widowControl/>
        <w:wordWrap/>
        <w:autoSpaceDE/>
        <w:autoSpaceDN/>
        <w:spacing w:after="0" w:line="480" w:lineRule="auto"/>
        <w:contextualSpacing/>
        <w:jc w:val="left"/>
        <w:rPr>
          <w:rFonts w:ascii="Times New Roman" w:eastAsia="맑은 고딕" w:hAnsi="Times New Roman" w:cs="Times New Roman"/>
          <w:kern w:val="0"/>
          <w:sz w:val="24"/>
          <w:szCs w:val="24"/>
          <w:lang w:eastAsia="en-US"/>
        </w:rPr>
      </w:pPr>
      <w:r w:rsidRPr="00CE4097">
        <w:rPr>
          <w:rFonts w:ascii="Times New Roman" w:eastAsia="맑은 고딕" w:hAnsi="Times New Roman" w:cs="Times New Roman"/>
          <w:b/>
          <w:kern w:val="0"/>
          <w:sz w:val="24"/>
          <w:szCs w:val="24"/>
          <w:lang w:eastAsia="en-US"/>
        </w:rPr>
        <w:t>Figure S</w:t>
      </w:r>
      <w:r w:rsidR="00DB2E09" w:rsidRPr="00CE4097">
        <w:rPr>
          <w:rFonts w:ascii="Times New Roman" w:eastAsia="맑은 고딕" w:hAnsi="Times New Roman" w:cs="Times New Roman"/>
          <w:b/>
          <w:kern w:val="0"/>
          <w:sz w:val="24"/>
          <w:szCs w:val="24"/>
          <w:lang w:eastAsia="en-US"/>
        </w:rPr>
        <w:t>2</w:t>
      </w:r>
      <w:r w:rsidRPr="00CE4097">
        <w:rPr>
          <w:rFonts w:ascii="Times New Roman" w:eastAsia="맑은 고딕" w:hAnsi="Times New Roman" w:cs="Times New Roman"/>
          <w:b/>
          <w:kern w:val="0"/>
          <w:sz w:val="24"/>
          <w:szCs w:val="24"/>
          <w:lang w:eastAsia="en-US"/>
        </w:rPr>
        <w:t>.</w:t>
      </w:r>
      <w:r w:rsidR="00DB2E09"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Promoter sequence diversity according to the genetic function.</w:t>
      </w:r>
      <w:r w:rsidR="00DB2E09" w:rsidRPr="00CE4097">
        <w:rPr>
          <w:rFonts w:ascii="Times New Roman" w:eastAsia="맑은 고딕" w:hAnsi="Times New Roman" w:cs="Times New Roman"/>
          <w:kern w:val="0"/>
          <w:sz w:val="24"/>
          <w:szCs w:val="24"/>
          <w:lang w:eastAsia="en-US"/>
        </w:rPr>
        <w:t xml:space="preserve"> The primary and secondary TSSs of COG assigned genes were used for motif discovery. When the TSSs of a certain COG category is less than 20, the category was excluded for motif discovery. If the number of TSSs associated to discovered motif is less than half of the number of the TSSs used for motif discovery, the discovered motif was excluded.</w:t>
      </w:r>
    </w:p>
    <w:p w:rsidR="00DB2E09" w:rsidRPr="00CE4097" w:rsidRDefault="00DB2E09">
      <w:r w:rsidRPr="00CE4097">
        <w:br w:type="page"/>
      </w:r>
    </w:p>
    <w:p w:rsidR="00DB2E09" w:rsidRPr="00CE4097" w:rsidRDefault="00CE4097">
      <w:r>
        <w:rPr>
          <w:noProof/>
        </w:rPr>
        <w:lastRenderedPageBreak/>
        <w:drawing>
          <wp:inline distT="0" distB="0" distL="0" distR="0">
            <wp:extent cx="5724525" cy="3790950"/>
            <wp:effectExtent l="0" t="0" r="952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3790950"/>
                    </a:xfrm>
                    <a:prstGeom prst="rect">
                      <a:avLst/>
                    </a:prstGeom>
                    <a:noFill/>
                    <a:ln>
                      <a:noFill/>
                    </a:ln>
                  </pic:spPr>
                </pic:pic>
              </a:graphicData>
            </a:graphic>
          </wp:inline>
        </w:drawing>
      </w:r>
    </w:p>
    <w:p w:rsidR="00DB2E09" w:rsidRPr="00CE4097" w:rsidRDefault="005F508B" w:rsidP="00DB2E09">
      <w:pPr>
        <w:widowControl/>
        <w:wordWrap/>
        <w:autoSpaceDE/>
        <w:autoSpaceDN/>
        <w:spacing w:after="0" w:line="480" w:lineRule="auto"/>
        <w:contextualSpacing/>
        <w:jc w:val="left"/>
        <w:rPr>
          <w:rFonts w:ascii="Times New Roman" w:eastAsia="맑은 고딕" w:hAnsi="Times New Roman" w:cs="Times New Roman"/>
          <w:kern w:val="0"/>
          <w:sz w:val="24"/>
          <w:szCs w:val="24"/>
          <w:lang w:eastAsia="en-US"/>
        </w:rPr>
      </w:pPr>
      <w:r w:rsidRPr="00CE4097">
        <w:rPr>
          <w:rFonts w:ascii="Times New Roman" w:eastAsia="맑은 고딕" w:hAnsi="Times New Roman" w:cs="Times New Roman"/>
          <w:b/>
          <w:kern w:val="0"/>
          <w:sz w:val="24"/>
          <w:szCs w:val="24"/>
          <w:lang w:eastAsia="en-US"/>
        </w:rPr>
        <w:t>Figure S</w:t>
      </w:r>
      <w:r w:rsidR="00DB2E09" w:rsidRPr="00CE4097">
        <w:rPr>
          <w:rFonts w:ascii="Times New Roman" w:eastAsia="맑은 고딕" w:hAnsi="Times New Roman" w:cs="Times New Roman"/>
          <w:b/>
          <w:kern w:val="0"/>
          <w:sz w:val="24"/>
          <w:szCs w:val="24"/>
          <w:lang w:eastAsia="en-US"/>
        </w:rPr>
        <w:t>3</w:t>
      </w:r>
      <w:r w:rsidRPr="00CE4097">
        <w:rPr>
          <w:rFonts w:ascii="Times New Roman" w:eastAsia="맑은 고딕" w:hAnsi="Times New Roman" w:cs="Times New Roman"/>
          <w:b/>
          <w:kern w:val="0"/>
          <w:sz w:val="24"/>
          <w:szCs w:val="24"/>
          <w:lang w:eastAsia="en-US"/>
        </w:rPr>
        <w:t>.</w:t>
      </w:r>
      <w:r w:rsidR="00DB2E09"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Identification of sigma factor recognition motifs.</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(a)</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The</w:t>
      </w:r>
      <w:r w:rsidR="00CE4097">
        <w:rPr>
          <w:rFonts w:ascii="Times New Roman" w:eastAsia="맑은 고딕" w:hAnsi="Times New Roman" w:cs="Times New Roman"/>
          <w:bCs/>
          <w:kern w:val="0"/>
          <w:sz w:val="24"/>
          <w:szCs w:val="24"/>
          <w:lang w:eastAsia="en-US"/>
        </w:rPr>
        <w:t xml:space="preserve"> </w:t>
      </w:r>
      <w:r w:rsidR="00CE4097" w:rsidRPr="00CE4097">
        <w:rPr>
          <w:rFonts w:ascii="Times New Roman" w:eastAsia="맑은 고딕" w:hAnsi="Times New Roman" w:cs="Times New Roman"/>
          <w:kern w:val="0"/>
          <w:sz w:val="24"/>
          <w:szCs w:val="24"/>
          <w:lang w:eastAsia="en-US"/>
        </w:rPr>
        <w:t>potential</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binding</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motif</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and</w:t>
      </w:r>
      <w:r w:rsidR="00DB2E09" w:rsidRPr="00CE4097">
        <w:rPr>
          <w:rFonts w:ascii="Times New Roman" w:eastAsia="맑은 고딕" w:hAnsi="Times New Roman" w:cs="Times New Roman"/>
          <w:kern w:val="0"/>
          <w:sz w:val="24"/>
          <w:szCs w:val="24"/>
          <w:lang w:eastAsia="en-US"/>
        </w:rPr>
        <w:t xml:space="preserve"> </w:t>
      </w:r>
      <w:r w:rsidR="00CE4097" w:rsidRPr="00CE4097">
        <w:rPr>
          <w:rFonts w:ascii="Times New Roman" w:eastAsia="맑은 고딕" w:hAnsi="Times New Roman" w:cs="Times New Roman"/>
          <w:kern w:val="0"/>
          <w:sz w:val="24"/>
          <w:szCs w:val="24"/>
          <w:lang w:eastAsia="en-US"/>
        </w:rPr>
        <w:t>regulon</w:t>
      </w:r>
      <w:r w:rsidR="00CE4097">
        <w:rPr>
          <w:rFonts w:ascii="Times New Roman" w:eastAsia="맑은 고딕" w:hAnsi="Times New Roman" w:cs="Times New Roman"/>
          <w:kern w:val="0"/>
          <w:sz w:val="24"/>
          <w:szCs w:val="24"/>
          <w:lang w:eastAsia="en-US"/>
        </w:rPr>
        <w:t xml:space="preserve"> </w:t>
      </w:r>
      <w:r w:rsidR="00CE4097">
        <w:rPr>
          <w:rFonts w:ascii="Times New Roman" w:eastAsia="맑은 고딕" w:hAnsi="Times New Roman" w:cs="Times New Roman" w:hint="eastAsia"/>
          <w:kern w:val="0"/>
          <w:sz w:val="24"/>
          <w:szCs w:val="24"/>
        </w:rPr>
        <w:t>of</w:t>
      </w:r>
      <w:r w:rsidR="00CE4097">
        <w:rPr>
          <w:rFonts w:ascii="Times New Roman" w:eastAsia="맑은 고딕" w:hAnsi="Times New Roman" w:cs="Times New Roman"/>
          <w:kern w:val="0"/>
          <w:sz w:val="24"/>
          <w:szCs w:val="24"/>
          <w:lang w:eastAsia="en-US"/>
        </w:rPr>
        <w:t xml:space="preserve"> </w:t>
      </w:r>
      <w:r w:rsidR="00CE4097">
        <w:rPr>
          <w:rFonts w:ascii="Times New Roman" w:eastAsia="맑은 고딕" w:hAnsi="Times New Roman" w:cs="Times New Roman" w:hint="eastAsia"/>
          <w:kern w:val="0"/>
          <w:sz w:val="24"/>
          <w:szCs w:val="24"/>
        </w:rPr>
        <w:t>SAVERM_741.</w:t>
      </w:r>
      <w:r w:rsidR="00CE4097">
        <w:rPr>
          <w:rFonts w:ascii="Times New Roman" w:eastAsia="맑은 고딕" w:hAnsi="Times New Roman" w:cs="Times New Roman"/>
          <w:kern w:val="0"/>
          <w:sz w:val="24"/>
          <w:szCs w:val="24"/>
        </w:rPr>
        <w:t xml:space="preserve"> </w:t>
      </w:r>
      <w:r w:rsidR="00CE4097">
        <w:rPr>
          <w:rFonts w:ascii="Times New Roman" w:eastAsia="맑은 고딕" w:hAnsi="Times New Roman" w:cs="Times New Roman" w:hint="eastAsia"/>
          <w:bCs/>
          <w:kern w:val="0"/>
          <w:sz w:val="24"/>
          <w:szCs w:val="24"/>
        </w:rPr>
        <w:t>(b)</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The</w:t>
      </w:r>
      <w:r w:rsidR="00CE4097">
        <w:rPr>
          <w:rFonts w:ascii="Times New Roman" w:eastAsia="맑은 고딕" w:hAnsi="Times New Roman" w:cs="Times New Roman"/>
          <w:bCs/>
          <w:kern w:val="0"/>
          <w:sz w:val="24"/>
          <w:szCs w:val="24"/>
          <w:lang w:eastAsia="en-US"/>
        </w:rPr>
        <w:t xml:space="preserve"> </w:t>
      </w:r>
      <w:r w:rsidR="00CE4097" w:rsidRPr="00CE4097">
        <w:rPr>
          <w:rFonts w:ascii="Times New Roman" w:eastAsia="맑은 고딕" w:hAnsi="Times New Roman" w:cs="Times New Roman"/>
          <w:kern w:val="0"/>
          <w:sz w:val="24"/>
          <w:szCs w:val="24"/>
          <w:lang w:eastAsia="en-US"/>
        </w:rPr>
        <w:t>potential</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binding</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motif</w:t>
      </w:r>
      <w:r w:rsidR="00CE4097">
        <w:rPr>
          <w:rFonts w:ascii="Times New Roman" w:eastAsia="맑은 고딕" w:hAnsi="Times New Roman" w:cs="Times New Roman"/>
          <w:bCs/>
          <w:kern w:val="0"/>
          <w:sz w:val="24"/>
          <w:szCs w:val="24"/>
          <w:lang w:eastAsia="en-US"/>
        </w:rPr>
        <w:t xml:space="preserve"> </w:t>
      </w:r>
      <w:r w:rsidR="00CE4097">
        <w:rPr>
          <w:rFonts w:ascii="Times New Roman" w:eastAsia="맑은 고딕" w:hAnsi="Times New Roman" w:cs="Times New Roman" w:hint="eastAsia"/>
          <w:bCs/>
          <w:kern w:val="0"/>
          <w:sz w:val="24"/>
          <w:szCs w:val="24"/>
        </w:rPr>
        <w:t>and</w:t>
      </w:r>
      <w:r w:rsidR="00CE4097" w:rsidRPr="00CE4097">
        <w:rPr>
          <w:rFonts w:ascii="Times New Roman" w:eastAsia="맑은 고딕" w:hAnsi="Times New Roman" w:cs="Times New Roman"/>
          <w:kern w:val="0"/>
          <w:sz w:val="24"/>
          <w:szCs w:val="24"/>
          <w:lang w:eastAsia="en-US"/>
        </w:rPr>
        <w:t xml:space="preserve"> regulon</w:t>
      </w:r>
      <w:r w:rsidR="00CE4097">
        <w:rPr>
          <w:rFonts w:ascii="Times New Roman" w:eastAsia="맑은 고딕" w:hAnsi="Times New Roman" w:cs="Times New Roman"/>
          <w:kern w:val="0"/>
          <w:sz w:val="24"/>
          <w:szCs w:val="24"/>
          <w:lang w:eastAsia="en-US"/>
        </w:rPr>
        <w:t xml:space="preserve"> </w:t>
      </w:r>
      <w:r w:rsidR="00CE4097">
        <w:rPr>
          <w:rFonts w:ascii="Times New Roman" w:eastAsia="맑은 고딕" w:hAnsi="Times New Roman" w:cs="Times New Roman" w:hint="eastAsia"/>
          <w:kern w:val="0"/>
          <w:sz w:val="24"/>
          <w:szCs w:val="24"/>
        </w:rPr>
        <w:t>of</w:t>
      </w:r>
      <w:r w:rsidR="00CE4097">
        <w:rPr>
          <w:rFonts w:ascii="Times New Roman" w:eastAsia="맑은 고딕" w:hAnsi="Times New Roman" w:cs="Times New Roman"/>
          <w:kern w:val="0"/>
          <w:sz w:val="24"/>
          <w:szCs w:val="24"/>
          <w:lang w:eastAsia="en-US"/>
        </w:rPr>
        <w:t xml:space="preserve"> </w:t>
      </w:r>
      <w:r w:rsidR="00CE4097">
        <w:rPr>
          <w:rFonts w:ascii="Times New Roman" w:eastAsia="맑은 고딕" w:hAnsi="Times New Roman" w:cs="Times New Roman" w:hint="eastAsia"/>
          <w:kern w:val="0"/>
          <w:sz w:val="24"/>
          <w:szCs w:val="24"/>
        </w:rPr>
        <w:t>SAVERM_3117.</w:t>
      </w:r>
      <w:r w:rsid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kern w:val="0"/>
          <w:sz w:val="24"/>
          <w:szCs w:val="24"/>
          <w:lang w:eastAsia="en-US"/>
        </w:rPr>
        <w:t>The potential regulons of each sigma factor are presented below each predicted motif. Genes annotated as ‘hypothetical protein’ were not presented.</w:t>
      </w:r>
    </w:p>
    <w:p w:rsidR="00DB2E09" w:rsidRPr="00CE4097" w:rsidRDefault="00DB2E09">
      <w:r w:rsidRPr="00CE4097">
        <w:br w:type="page"/>
      </w:r>
    </w:p>
    <w:p w:rsidR="00DB2E09" w:rsidRPr="00CE4097" w:rsidRDefault="00917959">
      <w:r>
        <w:lastRenderedPageBreak/>
        <w:pict>
          <v:shape id="_x0000_i1027" type="#_x0000_t75" style="width:450.75pt;height:485.25pt">
            <v:imagedata r:id="rId9" o:title="Supplementary Fig"/>
          </v:shape>
        </w:pict>
      </w:r>
    </w:p>
    <w:p w:rsidR="00DB2E09" w:rsidRPr="00CE4097" w:rsidRDefault="005F508B" w:rsidP="00DB2E09">
      <w:pPr>
        <w:widowControl/>
        <w:wordWrap/>
        <w:autoSpaceDE/>
        <w:autoSpaceDN/>
        <w:spacing w:after="0" w:line="480" w:lineRule="auto"/>
        <w:contextualSpacing/>
        <w:jc w:val="left"/>
        <w:rPr>
          <w:rFonts w:ascii="Times New Roman" w:eastAsia="맑은 고딕" w:hAnsi="Times New Roman" w:cs="Times New Roman"/>
          <w:kern w:val="0"/>
          <w:sz w:val="24"/>
          <w:szCs w:val="24"/>
          <w:lang w:eastAsia="en-US"/>
        </w:rPr>
      </w:pPr>
      <w:r w:rsidRPr="00CE4097">
        <w:rPr>
          <w:rFonts w:ascii="Times New Roman" w:eastAsia="맑은 고딕" w:hAnsi="Times New Roman" w:cs="Times New Roman"/>
          <w:b/>
          <w:kern w:val="0"/>
          <w:sz w:val="24"/>
          <w:szCs w:val="24"/>
          <w:lang w:eastAsia="en-US"/>
        </w:rPr>
        <w:t>Figure S</w:t>
      </w:r>
      <w:r w:rsidR="00DB2E09" w:rsidRPr="00CE4097">
        <w:rPr>
          <w:rFonts w:ascii="Times New Roman" w:eastAsia="맑은 고딕" w:hAnsi="Times New Roman" w:cs="Times New Roman"/>
          <w:b/>
          <w:kern w:val="0"/>
          <w:sz w:val="24"/>
          <w:szCs w:val="24"/>
          <w:lang w:eastAsia="en-US"/>
        </w:rPr>
        <w:t>4</w:t>
      </w:r>
      <w:r w:rsidRPr="00CE4097">
        <w:rPr>
          <w:rFonts w:ascii="Times New Roman" w:eastAsia="맑은 고딕" w:hAnsi="Times New Roman" w:cs="Times New Roman"/>
          <w:b/>
          <w:kern w:val="0"/>
          <w:sz w:val="24"/>
          <w:szCs w:val="24"/>
          <w:lang w:eastAsia="en-US"/>
        </w:rPr>
        <w:t>.</w:t>
      </w:r>
      <w:r w:rsidR="00DB2E09"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Analysis on SARP-family regulators.</w:t>
      </w:r>
      <w:r w:rsidR="00DB2E09" w:rsidRPr="00CE4097">
        <w:rPr>
          <w:rFonts w:ascii="Times New Roman" w:eastAsia="맑은 고딕" w:hAnsi="Times New Roman" w:cs="Times New Roman"/>
          <w:kern w:val="0"/>
          <w:sz w:val="24"/>
          <w:szCs w:val="24"/>
          <w:lang w:eastAsia="en-US"/>
        </w:rPr>
        <w:t xml:space="preserve"> (a) Conserved SARP binding heptameric sequence across the Streptomyces. Unique heptameric sequences were used to create the sequence logo. (b) Predicted binding sites of SARP family regulators. (c) Expression change of the identified SARP family regulators and other genes located in the same BGCs. </w:t>
      </w:r>
      <w:r w:rsidR="00497196" w:rsidRPr="00CE4097">
        <w:rPr>
          <w:rFonts w:ascii="Times New Roman" w:eastAsia="맑은 고딕" w:hAnsi="Times New Roman" w:cs="Times New Roman"/>
          <w:kern w:val="0"/>
          <w:sz w:val="24"/>
          <w:szCs w:val="24"/>
          <w:lang w:eastAsia="en-US"/>
        </w:rPr>
        <w:t xml:space="preserve">Genes are listed in the order of expression fold change value at stationary phase. </w:t>
      </w:r>
      <w:r w:rsidR="00DB2E09" w:rsidRPr="00CE4097">
        <w:rPr>
          <w:rFonts w:ascii="Times New Roman" w:eastAsia="맑은 고딕" w:hAnsi="Times New Roman" w:cs="Times New Roman"/>
          <w:kern w:val="0"/>
          <w:sz w:val="24"/>
          <w:szCs w:val="24"/>
          <w:lang w:eastAsia="en-US"/>
        </w:rPr>
        <w:t xml:space="preserve">Regulators are colored in red. Genes with expression fold change </w:t>
      </w:r>
      <w:r w:rsidR="00DB2E09" w:rsidRPr="00CE4097">
        <w:rPr>
          <w:rFonts w:ascii="Times New Roman" w:eastAsia="맑은 고딕" w:hAnsi="Times New Roman" w:cs="Times New Roman"/>
          <w:i/>
          <w:kern w:val="0"/>
          <w:sz w:val="24"/>
          <w:szCs w:val="24"/>
          <w:lang w:eastAsia="en-US"/>
        </w:rPr>
        <w:t>P</w:t>
      </w:r>
      <w:r w:rsidR="00DB2E09" w:rsidRPr="00CE4097">
        <w:rPr>
          <w:rFonts w:ascii="Times New Roman" w:eastAsia="맑은 고딕" w:hAnsi="Times New Roman" w:cs="Times New Roman"/>
          <w:kern w:val="0"/>
          <w:sz w:val="24"/>
          <w:szCs w:val="24"/>
          <w:lang w:eastAsia="en-US"/>
        </w:rPr>
        <w:t xml:space="preserve">-value &gt; 0.05 (DESeq2) in all time points </w:t>
      </w:r>
      <w:r w:rsidR="00DB2E09" w:rsidRPr="00CE4097">
        <w:rPr>
          <w:rFonts w:ascii="Times New Roman" w:eastAsia="맑은 고딕" w:hAnsi="Times New Roman" w:cs="Times New Roman"/>
          <w:kern w:val="0"/>
          <w:sz w:val="24"/>
          <w:szCs w:val="24"/>
          <w:lang w:eastAsia="en-US"/>
        </w:rPr>
        <w:lastRenderedPageBreak/>
        <w:t>are represented with dotted lines.</w:t>
      </w:r>
      <w:r w:rsidR="00471ADB" w:rsidRPr="00CE4097">
        <w:rPr>
          <w:rFonts w:ascii="Times New Roman" w:eastAsia="맑은 고딕" w:hAnsi="Times New Roman" w:cs="Times New Roman"/>
          <w:kern w:val="0"/>
          <w:sz w:val="24"/>
          <w:szCs w:val="24"/>
          <w:lang w:eastAsia="en-US"/>
        </w:rPr>
        <w:t xml:space="preserve"> M, T, L and S denote for mid</w:t>
      </w:r>
      <w:r w:rsidR="00E93B9E" w:rsidRPr="00CE4097">
        <w:rPr>
          <w:rFonts w:ascii="Times New Roman" w:eastAsia="맑은 고딕" w:hAnsi="Times New Roman" w:cs="Times New Roman"/>
          <w:kern w:val="0"/>
          <w:sz w:val="24"/>
          <w:szCs w:val="24"/>
          <w:lang w:eastAsia="en-US"/>
        </w:rPr>
        <w:t xml:space="preserve"> </w:t>
      </w:r>
      <w:r w:rsidR="00471ADB" w:rsidRPr="00CE4097">
        <w:rPr>
          <w:rFonts w:ascii="Times New Roman" w:eastAsia="맑은 고딕" w:hAnsi="Times New Roman" w:cs="Times New Roman"/>
          <w:kern w:val="0"/>
          <w:sz w:val="24"/>
          <w:szCs w:val="24"/>
          <w:lang w:eastAsia="en-US"/>
        </w:rPr>
        <w:t>exponential phase, transition phase, late</w:t>
      </w:r>
      <w:r w:rsidR="00E93B9E" w:rsidRPr="00CE4097">
        <w:rPr>
          <w:rFonts w:ascii="Times New Roman" w:eastAsia="맑은 고딕" w:hAnsi="Times New Roman" w:cs="Times New Roman"/>
          <w:kern w:val="0"/>
          <w:sz w:val="24"/>
          <w:szCs w:val="24"/>
          <w:lang w:eastAsia="en-US"/>
        </w:rPr>
        <w:t xml:space="preserve"> </w:t>
      </w:r>
      <w:r w:rsidR="00471ADB" w:rsidRPr="00CE4097">
        <w:rPr>
          <w:rFonts w:ascii="Times New Roman" w:eastAsia="맑은 고딕" w:hAnsi="Times New Roman" w:cs="Times New Roman"/>
          <w:kern w:val="0"/>
          <w:sz w:val="24"/>
          <w:szCs w:val="24"/>
          <w:lang w:eastAsia="en-US"/>
        </w:rPr>
        <w:t>exponential phase and stationary phase, respectively.</w:t>
      </w:r>
      <w:r w:rsidR="00DB2E09" w:rsidRPr="00CE4097">
        <w:rPr>
          <w:rFonts w:ascii="Times New Roman" w:eastAsia="맑은 고딕" w:hAnsi="Times New Roman" w:cs="Times New Roman"/>
          <w:kern w:val="0"/>
          <w:sz w:val="24"/>
          <w:szCs w:val="24"/>
          <w:lang w:eastAsia="en-US"/>
        </w:rPr>
        <w:br w:type="page"/>
      </w:r>
    </w:p>
    <w:p w:rsidR="00DB2E09" w:rsidRPr="00CE4097" w:rsidRDefault="00917959">
      <w:r>
        <w:lastRenderedPageBreak/>
        <w:pict>
          <v:shape id="_x0000_i1028" type="#_x0000_t75" style="width:324.75pt;height:165pt">
            <v:imagedata r:id="rId10" o:title="Supplementary Fig"/>
          </v:shape>
        </w:pict>
      </w:r>
    </w:p>
    <w:p w:rsidR="00DB2E09" w:rsidRPr="00CE4097" w:rsidRDefault="005F508B" w:rsidP="00DB2E09">
      <w:pPr>
        <w:widowControl/>
        <w:wordWrap/>
        <w:autoSpaceDE/>
        <w:autoSpaceDN/>
        <w:spacing w:after="0" w:line="480" w:lineRule="auto"/>
        <w:contextualSpacing/>
        <w:jc w:val="left"/>
        <w:rPr>
          <w:rFonts w:ascii="Times New Roman" w:eastAsia="맑은 고딕" w:hAnsi="Times New Roman" w:cs="Times New Roman"/>
          <w:kern w:val="0"/>
          <w:sz w:val="24"/>
          <w:szCs w:val="24"/>
          <w:lang w:eastAsia="en-US"/>
        </w:rPr>
      </w:pPr>
      <w:r w:rsidRPr="00CE4097">
        <w:rPr>
          <w:rFonts w:ascii="Times New Roman" w:eastAsia="맑은 고딕" w:hAnsi="Times New Roman" w:cs="Times New Roman"/>
          <w:b/>
          <w:kern w:val="0"/>
          <w:sz w:val="24"/>
          <w:szCs w:val="24"/>
          <w:lang w:eastAsia="en-US"/>
        </w:rPr>
        <w:t>Figure S</w:t>
      </w:r>
      <w:r w:rsidR="00DB2E09" w:rsidRPr="00CE4097">
        <w:rPr>
          <w:rFonts w:ascii="Times New Roman" w:eastAsia="맑은 고딕" w:hAnsi="Times New Roman" w:cs="Times New Roman"/>
          <w:b/>
          <w:kern w:val="0"/>
          <w:sz w:val="24"/>
          <w:szCs w:val="24"/>
          <w:lang w:eastAsia="en-US"/>
        </w:rPr>
        <w:t>5</w:t>
      </w:r>
      <w:r w:rsidRPr="00CE4097">
        <w:rPr>
          <w:rFonts w:ascii="Times New Roman" w:eastAsia="맑은 고딕" w:hAnsi="Times New Roman" w:cs="Times New Roman"/>
          <w:b/>
          <w:kern w:val="0"/>
          <w:sz w:val="24"/>
          <w:szCs w:val="24"/>
          <w:lang w:eastAsia="en-US"/>
        </w:rPr>
        <w:t>.</w:t>
      </w:r>
      <w:r w:rsidR="00DB2E09"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 xml:space="preserve">Features of TEPs. </w:t>
      </w:r>
      <w:r w:rsidR="00DB2E09" w:rsidRPr="00CE4097">
        <w:rPr>
          <w:rFonts w:ascii="Times New Roman" w:eastAsia="맑은 고딕" w:hAnsi="Times New Roman" w:cs="Times New Roman"/>
          <w:kern w:val="0"/>
          <w:sz w:val="24"/>
          <w:szCs w:val="24"/>
          <w:lang w:eastAsia="en-US"/>
        </w:rPr>
        <w:t>(a) RNA-Seq read density near TEPs. (b) Nucleotide usage near TEPs.</w:t>
      </w:r>
    </w:p>
    <w:p w:rsidR="00DB2E09" w:rsidRPr="00CE4097" w:rsidRDefault="00DB2E09">
      <w:r w:rsidRPr="00CE4097">
        <w:br w:type="page"/>
      </w:r>
    </w:p>
    <w:p w:rsidR="00894835" w:rsidRPr="00CE4097" w:rsidRDefault="0064687E">
      <w:r>
        <w:lastRenderedPageBreak/>
        <w:pict>
          <v:shape id="_x0000_i1033" type="#_x0000_t75" style="width:450.75pt;height:508.5pt">
            <v:imagedata r:id="rId11" o:title="Supplementary Fig. 6"/>
          </v:shape>
        </w:pict>
      </w:r>
    </w:p>
    <w:p w:rsidR="00DB2E09" w:rsidRPr="0064687E" w:rsidRDefault="005F508B" w:rsidP="00DB2E09">
      <w:pPr>
        <w:widowControl/>
        <w:wordWrap/>
        <w:autoSpaceDE/>
        <w:autoSpaceDN/>
        <w:spacing w:after="0" w:line="480" w:lineRule="auto"/>
        <w:contextualSpacing/>
        <w:jc w:val="left"/>
        <w:rPr>
          <w:rFonts w:ascii="Times New Roman" w:eastAsia="맑은 고딕" w:hAnsi="Times New Roman" w:cs="Times New Roman"/>
          <w:kern w:val="0"/>
          <w:sz w:val="24"/>
          <w:szCs w:val="24"/>
          <w:lang w:eastAsia="en-US"/>
        </w:rPr>
      </w:pPr>
      <w:r w:rsidRPr="00CE4097">
        <w:rPr>
          <w:rFonts w:ascii="Times New Roman" w:eastAsia="맑은 고딕" w:hAnsi="Times New Roman" w:cs="Times New Roman"/>
          <w:b/>
          <w:kern w:val="0"/>
          <w:sz w:val="24"/>
          <w:szCs w:val="24"/>
          <w:lang w:eastAsia="en-US"/>
        </w:rPr>
        <w:t>Figure S</w:t>
      </w:r>
      <w:r w:rsidR="00DB2E09" w:rsidRPr="00CE4097">
        <w:rPr>
          <w:rFonts w:ascii="Times New Roman" w:eastAsia="맑은 고딕" w:hAnsi="Times New Roman" w:cs="Times New Roman"/>
          <w:b/>
          <w:kern w:val="0"/>
          <w:sz w:val="24"/>
          <w:szCs w:val="24"/>
          <w:lang w:eastAsia="en-US"/>
        </w:rPr>
        <w:t>6</w:t>
      </w:r>
      <w:r w:rsidRPr="00CE4097">
        <w:rPr>
          <w:rFonts w:ascii="Times New Roman" w:eastAsia="맑은 고딕" w:hAnsi="Times New Roman" w:cs="Times New Roman"/>
          <w:b/>
          <w:kern w:val="0"/>
          <w:sz w:val="24"/>
          <w:szCs w:val="24"/>
          <w:lang w:eastAsia="en-US"/>
        </w:rPr>
        <w:t>.</w:t>
      </w:r>
      <w:r w:rsidR="00DB2E09" w:rsidRPr="00CE4097">
        <w:rPr>
          <w:rFonts w:ascii="Times New Roman" w:eastAsia="맑은 고딕" w:hAnsi="Times New Roman" w:cs="Times New Roman"/>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Determined TSSs, TEPs and TUs of secondary metabolite biosynthesis gene</w:t>
      </w:r>
      <w:r w:rsidR="008A02FE" w:rsidRPr="00CE4097">
        <w:rPr>
          <w:rFonts w:ascii="Times New Roman" w:eastAsia="맑은 고딕" w:hAnsi="Times New Roman" w:cs="Times New Roman"/>
          <w:bCs/>
          <w:kern w:val="0"/>
          <w:sz w:val="24"/>
          <w:szCs w:val="24"/>
          <w:lang w:eastAsia="en-US"/>
        </w:rPr>
        <w:t xml:space="preserve"> </w:t>
      </w:r>
      <w:r w:rsidR="00DB2E09" w:rsidRPr="00CE4097">
        <w:rPr>
          <w:rFonts w:ascii="Times New Roman" w:eastAsia="맑은 고딕" w:hAnsi="Times New Roman" w:cs="Times New Roman"/>
          <w:bCs/>
          <w:kern w:val="0"/>
          <w:sz w:val="24"/>
          <w:szCs w:val="24"/>
          <w:lang w:eastAsia="en-US"/>
        </w:rPr>
        <w:t>clusters.</w:t>
      </w:r>
      <w:r w:rsidR="0064687E">
        <w:rPr>
          <w:rFonts w:ascii="Times New Roman" w:eastAsia="맑은 고딕" w:hAnsi="Times New Roman" w:cs="Times New Roman"/>
          <w:bCs/>
          <w:kern w:val="0"/>
          <w:sz w:val="24"/>
          <w:szCs w:val="24"/>
          <w:lang w:eastAsia="en-US"/>
        </w:rPr>
        <w:t xml:space="preserve"> The second line of each BGC is the putative product predicted by antiSMASH and the actual or predicted products are additionally written in red if the antiSMASH prediction is </w:t>
      </w:r>
      <w:r w:rsidR="0064687E">
        <w:rPr>
          <w:rFonts w:ascii="Times New Roman" w:eastAsia="맑은 고딕" w:hAnsi="Times New Roman" w:cs="Times New Roman"/>
          <w:bCs/>
          <w:kern w:val="0"/>
          <w:sz w:val="24"/>
          <w:szCs w:val="24"/>
        </w:rPr>
        <w:t>inaccurate.</w:t>
      </w:r>
      <w:bookmarkStart w:id="0" w:name="_GoBack"/>
      <w:bookmarkEnd w:id="0"/>
    </w:p>
    <w:p w:rsidR="00260DC7" w:rsidRPr="00260DC7" w:rsidRDefault="00260DC7" w:rsidP="00260DC7"/>
    <w:sectPr w:rsidR="00260DC7" w:rsidRPr="00260DC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CC2" w:rsidRDefault="00075CC2" w:rsidP="005F508B">
      <w:pPr>
        <w:spacing w:after="0" w:line="240" w:lineRule="auto"/>
      </w:pPr>
      <w:r>
        <w:separator/>
      </w:r>
    </w:p>
  </w:endnote>
  <w:endnote w:type="continuationSeparator" w:id="0">
    <w:p w:rsidR="00075CC2" w:rsidRDefault="00075CC2" w:rsidP="005F5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CC2" w:rsidRDefault="00075CC2" w:rsidP="005F508B">
      <w:pPr>
        <w:spacing w:after="0" w:line="240" w:lineRule="auto"/>
      </w:pPr>
      <w:r>
        <w:separator/>
      </w:r>
    </w:p>
  </w:footnote>
  <w:footnote w:type="continuationSeparator" w:id="0">
    <w:p w:rsidR="00075CC2" w:rsidRDefault="00075CC2" w:rsidP="005F50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E09"/>
    <w:rsid w:val="00075CC2"/>
    <w:rsid w:val="00084367"/>
    <w:rsid w:val="001667BC"/>
    <w:rsid w:val="002478BC"/>
    <w:rsid w:val="00260DC7"/>
    <w:rsid w:val="00320111"/>
    <w:rsid w:val="003547F3"/>
    <w:rsid w:val="00381EBD"/>
    <w:rsid w:val="003C080A"/>
    <w:rsid w:val="004212A6"/>
    <w:rsid w:val="00471ADB"/>
    <w:rsid w:val="00497196"/>
    <w:rsid w:val="0055329C"/>
    <w:rsid w:val="005F508B"/>
    <w:rsid w:val="0064687E"/>
    <w:rsid w:val="00704803"/>
    <w:rsid w:val="00894835"/>
    <w:rsid w:val="008A02FE"/>
    <w:rsid w:val="008B5C54"/>
    <w:rsid w:val="00917959"/>
    <w:rsid w:val="009A4AF6"/>
    <w:rsid w:val="00BA0676"/>
    <w:rsid w:val="00CE4097"/>
    <w:rsid w:val="00DB2E09"/>
    <w:rsid w:val="00E93B9E"/>
    <w:rsid w:val="00F006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FB2B8"/>
  <w15:chartTrackingRefBased/>
  <w15:docId w15:val="{4BD8E4AA-D92B-41BF-B283-421C41B6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F508B"/>
    <w:pPr>
      <w:tabs>
        <w:tab w:val="center" w:pos="4513"/>
        <w:tab w:val="right" w:pos="9026"/>
      </w:tabs>
      <w:snapToGrid w:val="0"/>
    </w:pPr>
  </w:style>
  <w:style w:type="character" w:customStyle="1" w:styleId="Char">
    <w:name w:val="머리글 Char"/>
    <w:basedOn w:val="a0"/>
    <w:link w:val="a3"/>
    <w:uiPriority w:val="99"/>
    <w:rsid w:val="005F508B"/>
  </w:style>
  <w:style w:type="paragraph" w:styleId="a4">
    <w:name w:val="footer"/>
    <w:basedOn w:val="a"/>
    <w:link w:val="Char0"/>
    <w:uiPriority w:val="99"/>
    <w:unhideWhenUsed/>
    <w:rsid w:val="005F508B"/>
    <w:pPr>
      <w:tabs>
        <w:tab w:val="center" w:pos="4513"/>
        <w:tab w:val="right" w:pos="9026"/>
      </w:tabs>
      <w:snapToGrid w:val="0"/>
    </w:pPr>
  </w:style>
  <w:style w:type="character" w:customStyle="1" w:styleId="Char0">
    <w:name w:val="바닥글 Char"/>
    <w:basedOn w:val="a0"/>
    <w:link w:val="a4"/>
    <w:uiPriority w:val="99"/>
    <w:rsid w:val="005F5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7</Pages>
  <Words>327</Words>
  <Characters>1866</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13</cp:revision>
  <dcterms:created xsi:type="dcterms:W3CDTF">2021-08-05T04:15:00Z</dcterms:created>
  <dcterms:modified xsi:type="dcterms:W3CDTF">2021-11-24T14:17:00Z</dcterms:modified>
</cp:coreProperties>
</file>