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817" w:rsidRPr="00B12526" w:rsidRDefault="00DC5817" w:rsidP="00DC5817">
      <w:pPr>
        <w:spacing w:line="276" w:lineRule="auto"/>
        <w:rPr>
          <w:rFonts w:asciiTheme="minorHAnsi" w:hAnsiTheme="minorHAnsi" w:cstheme="minorHAnsi"/>
          <w:lang w:val="en-US"/>
        </w:rPr>
      </w:pPr>
      <w:r w:rsidRPr="00B12526">
        <w:rPr>
          <w:rFonts w:asciiTheme="minorHAnsi" w:hAnsiTheme="minorHAnsi" w:cstheme="minorHAnsi"/>
          <w:lang w:val="en-US"/>
        </w:rPr>
        <w:t xml:space="preserve">Table </w:t>
      </w:r>
      <w:r>
        <w:rPr>
          <w:rFonts w:asciiTheme="minorHAnsi" w:hAnsiTheme="minorHAnsi" w:cstheme="minorHAnsi"/>
          <w:lang w:val="en-US"/>
        </w:rPr>
        <w:t>S</w:t>
      </w:r>
      <w:r w:rsidRPr="00B12526">
        <w:rPr>
          <w:rFonts w:asciiTheme="minorHAnsi" w:hAnsiTheme="minorHAnsi" w:cstheme="minorHAnsi"/>
          <w:lang w:val="en-US"/>
        </w:rPr>
        <w:t xml:space="preserve">1. Estimation of </w:t>
      </w:r>
      <w:r>
        <w:rPr>
          <w:rFonts w:asciiTheme="minorHAnsi" w:hAnsiTheme="minorHAnsi" w:cstheme="minorHAnsi"/>
          <w:lang w:val="en-US"/>
        </w:rPr>
        <w:t xml:space="preserve">genetic </w:t>
      </w:r>
      <w:r w:rsidRPr="00B12526">
        <w:rPr>
          <w:rFonts w:asciiTheme="minorHAnsi" w:hAnsiTheme="minorHAnsi" w:cstheme="minorHAnsi"/>
          <w:lang w:val="en-US"/>
        </w:rPr>
        <w:t xml:space="preserve">parameters in a model including </w:t>
      </w:r>
      <w:r>
        <w:rPr>
          <w:rFonts w:asciiTheme="minorHAnsi" w:hAnsiTheme="minorHAnsi" w:cstheme="minorHAnsi"/>
          <w:lang w:val="en-US"/>
        </w:rPr>
        <w:t>X-chromosome SNP effects with a REML algorithm and a Gibbs sampling approach. Five different chains were run for 130,000 iterations with a burn-in of 30,000 samples. We saved parameters every 50 samples.</w:t>
      </w:r>
    </w:p>
    <w:p w:rsidR="00DC5817" w:rsidRDefault="00DC5817" w:rsidP="00DC5817">
      <w:pPr>
        <w:pStyle w:val="Standard"/>
        <w:spacing w:line="276" w:lineRule="auto"/>
        <w:rPr>
          <w:rFonts w:asciiTheme="minorHAnsi" w:hAnsiTheme="minorHAnsi" w:cstheme="minorHAnsi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62"/>
        <w:gridCol w:w="1680"/>
        <w:gridCol w:w="1864"/>
        <w:gridCol w:w="1888"/>
        <w:gridCol w:w="1902"/>
      </w:tblGrid>
      <w:tr w:rsidR="00DC5817" w:rsidTr="00A6451B">
        <w:tc>
          <w:tcPr>
            <w:tcW w:w="2122" w:type="dxa"/>
            <w:vMerge w:val="restart"/>
          </w:tcPr>
          <w:p w:rsidR="00DC5817" w:rsidRDefault="00DC5817" w:rsidP="00DC5817">
            <w:pPr>
              <w:pStyle w:val="Standard"/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Estimation method</w:t>
            </w:r>
          </w:p>
        </w:tc>
        <w:tc>
          <w:tcPr>
            <w:tcW w:w="3654" w:type="dxa"/>
            <w:gridSpan w:val="2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Percentage variance explained by X-chromosome SNPs (in%)</w:t>
            </w:r>
          </w:p>
        </w:tc>
        <w:tc>
          <w:tcPr>
            <w:tcW w:w="3852" w:type="dxa"/>
            <w:gridSpan w:val="2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Genetic parameters</w:t>
            </w:r>
          </w:p>
        </w:tc>
      </w:tr>
      <w:tr w:rsidR="00DC5817" w:rsidTr="00A6451B">
        <w:tc>
          <w:tcPr>
            <w:tcW w:w="2122" w:type="dxa"/>
            <w:vMerge/>
          </w:tcPr>
          <w:p w:rsidR="00DC5817" w:rsidRDefault="00DC5817" w:rsidP="00DC5817">
            <w:pPr>
              <w:pStyle w:val="Standard"/>
              <w:spacing w:line="276" w:lineRule="auto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728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From total variance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From genetic variance</w:t>
            </w:r>
          </w:p>
        </w:tc>
        <w:tc>
          <w:tcPr>
            <w:tcW w:w="1926" w:type="dxa"/>
          </w:tcPr>
          <w:p w:rsidR="00DC5817" w:rsidRPr="00B12526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Heritability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1</w:t>
            </w:r>
          </w:p>
        </w:tc>
        <w:tc>
          <w:tcPr>
            <w:tcW w:w="1926" w:type="dxa"/>
          </w:tcPr>
          <w:p w:rsidR="00DC5817" w:rsidRPr="00B12526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Repeatability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1</w:t>
            </w:r>
          </w:p>
        </w:tc>
      </w:tr>
      <w:tr w:rsidR="00DC5817" w:rsidTr="00A6451B">
        <w:tc>
          <w:tcPr>
            <w:tcW w:w="2122" w:type="dxa"/>
          </w:tcPr>
          <w:p w:rsidR="00DC5817" w:rsidRDefault="00DC5817" w:rsidP="00DC5817">
            <w:pPr>
              <w:pStyle w:val="Standard"/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REML</w:t>
            </w:r>
          </w:p>
        </w:tc>
        <w:tc>
          <w:tcPr>
            <w:tcW w:w="1728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2.9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19.9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14.6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16.8</w:t>
            </w:r>
          </w:p>
        </w:tc>
      </w:tr>
      <w:tr w:rsidR="00DC5817" w:rsidTr="00A6451B">
        <w:tc>
          <w:tcPr>
            <w:tcW w:w="2122" w:type="dxa"/>
          </w:tcPr>
          <w:p w:rsidR="00DC5817" w:rsidRPr="00937F7A" w:rsidRDefault="00DC5817" w:rsidP="00DC5817">
            <w:pPr>
              <w:pStyle w:val="Standard"/>
              <w:spacing w:line="276" w:lineRule="auto"/>
              <w:rPr>
                <w:rFonts w:asciiTheme="minorHAnsi" w:hAnsiTheme="minorHAnsi" w:cstheme="minorHAnsi"/>
                <w:vertAlign w:val="superscript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REML</w:t>
            </w:r>
            <w:r>
              <w:rPr>
                <w:rFonts w:asciiTheme="minorHAnsi" w:hAnsiTheme="minorHAnsi" w:cstheme="minorHAnsi"/>
                <w:vertAlign w:val="superscript"/>
                <w:lang w:val="en-US"/>
              </w:rPr>
              <w:t>2</w:t>
            </w:r>
          </w:p>
        </w:tc>
        <w:tc>
          <w:tcPr>
            <w:tcW w:w="1728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2.9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20.1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14.6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16.8</w:t>
            </w:r>
          </w:p>
        </w:tc>
      </w:tr>
      <w:tr w:rsidR="00DC5817" w:rsidTr="00A6451B">
        <w:tc>
          <w:tcPr>
            <w:tcW w:w="2122" w:type="dxa"/>
          </w:tcPr>
          <w:p w:rsidR="00DC5817" w:rsidRDefault="00DC5817" w:rsidP="00DC5817">
            <w:pPr>
              <w:pStyle w:val="Standard"/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Gibbs – run1</w:t>
            </w:r>
          </w:p>
        </w:tc>
        <w:tc>
          <w:tcPr>
            <w:tcW w:w="1728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3.1 ± 0.1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20.6 ± 4.1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14.9 ± 1.3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17.0 ± 0.8</w:t>
            </w:r>
          </w:p>
        </w:tc>
      </w:tr>
      <w:tr w:rsidR="00DC5817" w:rsidTr="00A6451B">
        <w:tc>
          <w:tcPr>
            <w:tcW w:w="2122" w:type="dxa"/>
          </w:tcPr>
          <w:p w:rsidR="00DC5817" w:rsidRDefault="00DC5817" w:rsidP="00DC5817">
            <w:pPr>
              <w:pStyle w:val="Standard"/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Gibbs – run2</w:t>
            </w:r>
          </w:p>
        </w:tc>
        <w:tc>
          <w:tcPr>
            <w:tcW w:w="1728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3.1 ± 0.1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20.9 ± 4.1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14.8 ± 1.2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17.0 ± 0.8</w:t>
            </w:r>
          </w:p>
        </w:tc>
      </w:tr>
      <w:tr w:rsidR="00DC5817" w:rsidTr="00A6451B">
        <w:tc>
          <w:tcPr>
            <w:tcW w:w="2122" w:type="dxa"/>
          </w:tcPr>
          <w:p w:rsidR="00DC5817" w:rsidRDefault="00DC5817" w:rsidP="00DC5817">
            <w:pPr>
              <w:pStyle w:val="Standard"/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Gibbs – run3</w:t>
            </w:r>
          </w:p>
        </w:tc>
        <w:tc>
          <w:tcPr>
            <w:tcW w:w="1728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3.1 ± 0.1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20.9 ± 4.0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14.7 ± 1.2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17.0 ± 0.8</w:t>
            </w:r>
          </w:p>
        </w:tc>
      </w:tr>
      <w:tr w:rsidR="00DC5817" w:rsidTr="00A6451B">
        <w:tc>
          <w:tcPr>
            <w:tcW w:w="2122" w:type="dxa"/>
          </w:tcPr>
          <w:p w:rsidR="00DC5817" w:rsidRDefault="00DC5817" w:rsidP="00DC5817">
            <w:pPr>
              <w:pStyle w:val="Standard"/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Gibbs – run4</w:t>
            </w:r>
          </w:p>
        </w:tc>
        <w:tc>
          <w:tcPr>
            <w:tcW w:w="1728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3.1 ± 0.1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21.0 ± 4.0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14.8 ± 1.2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17.0 ± 0.8</w:t>
            </w:r>
          </w:p>
        </w:tc>
      </w:tr>
      <w:tr w:rsidR="00DC5817" w:rsidTr="00A6451B">
        <w:tc>
          <w:tcPr>
            <w:tcW w:w="2122" w:type="dxa"/>
          </w:tcPr>
          <w:p w:rsidR="00DC5817" w:rsidRDefault="00DC5817" w:rsidP="00DC5817">
            <w:pPr>
              <w:pStyle w:val="Standard"/>
              <w:spacing w:line="276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Gibbs – run5</w:t>
            </w:r>
          </w:p>
        </w:tc>
        <w:tc>
          <w:tcPr>
            <w:tcW w:w="1728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3.1 ± 0.1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20.8 ± 4.0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14.9 ± 1.2</w:t>
            </w:r>
          </w:p>
        </w:tc>
        <w:tc>
          <w:tcPr>
            <w:tcW w:w="1926" w:type="dxa"/>
          </w:tcPr>
          <w:p w:rsidR="00DC5817" w:rsidRDefault="00DC5817" w:rsidP="00DC581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17.0 ± 0.8</w:t>
            </w:r>
          </w:p>
        </w:tc>
      </w:tr>
    </w:tbl>
    <w:p w:rsidR="00DC5817" w:rsidRPr="00937F7A" w:rsidRDefault="00DC5817" w:rsidP="00DC5817">
      <w:pPr>
        <w:pStyle w:val="Standard"/>
        <w:spacing w:line="276" w:lineRule="auto"/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937F7A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>1</w:t>
      </w:r>
      <w:r w:rsidRPr="00937F7A">
        <w:rPr>
          <w:rFonts w:asciiTheme="minorHAnsi" w:hAnsiTheme="minorHAnsi" w:cstheme="minorHAnsi"/>
          <w:sz w:val="18"/>
          <w:szCs w:val="18"/>
          <w:lang w:val="en-US"/>
        </w:rPr>
        <w:t xml:space="preserve">Heritability and repeatability estimates included the additive genetic contribution of the autosomes and the X-chromosome SNPs; </w:t>
      </w:r>
      <w:r w:rsidRPr="00937F7A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>2</w:t>
      </w:r>
      <w:r w:rsidRPr="00937F7A">
        <w:rPr>
          <w:rFonts w:asciiTheme="minorHAnsi" w:hAnsiTheme="minorHAnsi" w:cstheme="minorHAnsi"/>
          <w:sz w:val="18"/>
          <w:szCs w:val="18"/>
          <w:lang w:val="en-US"/>
        </w:rPr>
        <w:t>A second REML was run with different starting values.</w:t>
      </w:r>
    </w:p>
    <w:p w:rsidR="0083458C" w:rsidRDefault="0083458C" w:rsidP="00DC5817">
      <w:pPr>
        <w:spacing w:line="276" w:lineRule="auto"/>
        <w:rPr>
          <w:lang w:val="en-US"/>
        </w:rPr>
      </w:pPr>
    </w:p>
    <w:p w:rsidR="00DC5817" w:rsidRDefault="00DC5817">
      <w:pPr>
        <w:suppressAutoHyphens w:val="0"/>
        <w:autoSpaceDN/>
        <w:spacing w:after="160" w:line="259" w:lineRule="auto"/>
        <w:textAlignment w:val="auto"/>
        <w:rPr>
          <w:lang w:val="en-US"/>
        </w:rPr>
      </w:pPr>
      <w:r>
        <w:rPr>
          <w:lang w:val="en-US"/>
        </w:rPr>
        <w:br w:type="page"/>
      </w:r>
    </w:p>
    <w:p w:rsidR="00DC5817" w:rsidRPr="00DC5817" w:rsidRDefault="00DC5817" w:rsidP="00DC5817">
      <w:pPr>
        <w:spacing w:line="276" w:lineRule="auto"/>
        <w:rPr>
          <w:lang w:val="en-US"/>
        </w:rPr>
      </w:pPr>
      <w:r>
        <w:rPr>
          <w:lang w:val="en-US"/>
        </w:rPr>
        <w:lastRenderedPageBreak/>
        <w:t>Figure S1. Distribution of imputation accuracy</w:t>
      </w:r>
      <w:bookmarkStart w:id="0" w:name="_GoBack"/>
      <w:bookmarkEnd w:id="0"/>
      <w:r>
        <w:rPr>
          <w:lang w:val="en-US"/>
        </w:rPr>
        <w:t>.</w:t>
      </w:r>
    </w:p>
    <w:sectPr w:rsidR="00DC5817" w:rsidRPr="00DC581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817"/>
    <w:rsid w:val="0083458C"/>
    <w:rsid w:val="00DC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18243"/>
  <w15:chartTrackingRefBased/>
  <w15:docId w15:val="{36645046-7A65-4803-88BD-CA893FAA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817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val="fr-BE"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DC5817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val="fr-BE" w:eastAsia="zh-CN" w:bidi="hi-IN"/>
    </w:rPr>
  </w:style>
  <w:style w:type="table" w:styleId="Grilledutableau">
    <w:name w:val="Table Grid"/>
    <w:basedOn w:val="TableauNormal"/>
    <w:uiPriority w:val="39"/>
    <w:rsid w:val="00DC5817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val="fr-BE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ULiège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Druet</dc:creator>
  <cp:keywords/>
  <dc:description/>
  <cp:lastModifiedBy>Tom Druet</cp:lastModifiedBy>
  <cp:revision>1</cp:revision>
  <dcterms:created xsi:type="dcterms:W3CDTF">2022-01-04T12:53:00Z</dcterms:created>
  <dcterms:modified xsi:type="dcterms:W3CDTF">2022-01-04T13:00:00Z</dcterms:modified>
</cp:coreProperties>
</file>