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1DD13" w14:textId="0A2355BD" w:rsidR="00B1237A" w:rsidRDefault="00B1237A" w:rsidP="00B1237A">
      <w:pPr>
        <w:rPr>
          <w:rFonts w:ascii="Times New Roman" w:hAnsi="Times New Roman" w:cs="Times New Roman"/>
          <w:kern w:val="0"/>
          <w:szCs w:val="21"/>
        </w:rPr>
      </w:pPr>
      <w:r>
        <w:rPr>
          <w:noProof/>
        </w:rPr>
        <w:drawing>
          <wp:inline distT="0" distB="0" distL="0" distR="0" wp14:anchorId="18558A8D" wp14:editId="24B0F0DB">
            <wp:extent cx="5274310" cy="3461385"/>
            <wp:effectExtent l="0" t="0" r="2540" b="571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274310" cy="3461385"/>
                    </a:xfrm>
                    <a:prstGeom prst="rect">
                      <a:avLst/>
                    </a:prstGeom>
                  </pic:spPr>
                </pic:pic>
              </a:graphicData>
            </a:graphic>
          </wp:inline>
        </w:drawing>
      </w:r>
    </w:p>
    <w:p w14:paraId="2E0E0ED5" w14:textId="03225BE9" w:rsidR="004A42A7" w:rsidRDefault="004A42A7" w:rsidP="00B1237A">
      <w:pPr>
        <w:widowControl/>
        <w:rPr>
          <w:rFonts w:ascii="Times New Roman" w:hAnsi="Times New Roman" w:cs="Times New Roman"/>
        </w:rPr>
      </w:pPr>
      <w:r w:rsidRPr="004A42A7">
        <w:rPr>
          <w:rFonts w:ascii="Times New Roman" w:hAnsi="Times New Roman" w:cs="Times New Roman"/>
          <w:b/>
          <w:bCs/>
          <w:kern w:val="0"/>
          <w:szCs w:val="21"/>
        </w:rPr>
        <w:t>Figure S1.</w:t>
      </w:r>
      <w:r w:rsidRPr="004A42A7">
        <w:rPr>
          <w:rFonts w:ascii="Times New Roman" w:hAnsi="Times New Roman" w:cs="Times New Roman"/>
        </w:rPr>
        <w:t xml:space="preserve"> Gene Ontology (GO) classification of DEGs. The GO classification involved all annotated unigenes divided into three functional GO categories: cellular component (CC), molecular function (MF) and biological process (BP).</w:t>
      </w:r>
    </w:p>
    <w:p w14:paraId="3BD795BE" w14:textId="77777777" w:rsidR="00B1237A" w:rsidRPr="004A42A7" w:rsidRDefault="00B1237A" w:rsidP="00B1237A">
      <w:pPr>
        <w:rPr>
          <w:rFonts w:ascii="Arial" w:hAnsi="Arial" w:cs="Arial"/>
          <w:lang w:val="en-GB"/>
        </w:rPr>
      </w:pPr>
    </w:p>
    <w:p w14:paraId="589878A8" w14:textId="77777777" w:rsidR="00B1237A" w:rsidRDefault="00B1237A" w:rsidP="00B1237A">
      <w:pPr>
        <w:rPr>
          <w:rFonts w:ascii="Arial" w:hAnsi="Arial" w:cs="Arial"/>
        </w:rPr>
        <w:sectPr w:rsidR="00B1237A">
          <w:pgSz w:w="11906" w:h="16838"/>
          <w:pgMar w:top="1440" w:right="1800" w:bottom="1440" w:left="1800" w:header="851" w:footer="992" w:gutter="0"/>
          <w:cols w:space="425"/>
          <w:docGrid w:type="lines" w:linePitch="312"/>
        </w:sectPr>
      </w:pPr>
    </w:p>
    <w:p w14:paraId="6C59AEAE" w14:textId="77777777" w:rsidR="00B1237A" w:rsidRDefault="00B1237A" w:rsidP="00B1237A">
      <w:pPr>
        <w:widowControl/>
        <w:rPr>
          <w:rFonts w:ascii="Times New Roman" w:hAnsi="Times New Roman" w:cs="Times New Roman"/>
          <w:kern w:val="0"/>
          <w:szCs w:val="21"/>
        </w:rPr>
      </w:pPr>
      <w:r>
        <w:rPr>
          <w:noProof/>
        </w:rPr>
        <w:lastRenderedPageBreak/>
        <w:drawing>
          <wp:inline distT="0" distB="0" distL="0" distR="0" wp14:anchorId="3314CCCA" wp14:editId="400122F2">
            <wp:extent cx="5274310" cy="2355850"/>
            <wp:effectExtent l="0" t="0" r="2540" b="635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74310" cy="2355850"/>
                    </a:xfrm>
                    <a:prstGeom prst="rect">
                      <a:avLst/>
                    </a:prstGeom>
                  </pic:spPr>
                </pic:pic>
              </a:graphicData>
            </a:graphic>
          </wp:inline>
        </w:drawing>
      </w:r>
    </w:p>
    <w:p w14:paraId="478F2765" w14:textId="77777777" w:rsidR="00B1237A" w:rsidRDefault="00B1237A" w:rsidP="00B1237A">
      <w:pPr>
        <w:widowControl/>
        <w:rPr>
          <w:rFonts w:ascii="Times New Roman" w:hAnsi="Times New Roman" w:cs="Times New Roman"/>
          <w:kern w:val="0"/>
          <w:szCs w:val="21"/>
        </w:rPr>
      </w:pPr>
    </w:p>
    <w:p w14:paraId="5B968CCF" w14:textId="6976D76F" w:rsidR="004A42A7" w:rsidRPr="0060386B" w:rsidRDefault="004A42A7" w:rsidP="00B1237A">
      <w:pPr>
        <w:widowControl/>
        <w:rPr>
          <w:rFonts w:ascii="Times New Roman" w:hAnsi="Times New Roman" w:cs="Times New Roman"/>
        </w:rPr>
      </w:pPr>
      <w:r w:rsidRPr="004A42A7">
        <w:rPr>
          <w:rFonts w:ascii="Times New Roman" w:hAnsi="Times New Roman" w:cs="Times New Roman"/>
          <w:b/>
          <w:bCs/>
        </w:rPr>
        <w:t>Figure S2.</w:t>
      </w:r>
      <w:r w:rsidRPr="004A42A7">
        <w:rPr>
          <w:rFonts w:ascii="Times New Roman" w:hAnsi="Times New Roman" w:cs="Times New Roman"/>
        </w:rPr>
        <w:t xml:space="preserve"> Enriched KEGG pathways of differential expressed genes (DEGs) during the four adjacent stages of </w:t>
      </w:r>
      <w:r w:rsidRPr="004A42A7">
        <w:rPr>
          <w:rFonts w:ascii="Times New Roman" w:hAnsi="Times New Roman" w:cs="Times New Roman"/>
          <w:i/>
          <w:iCs/>
        </w:rPr>
        <w:t>Tamarix hispida</w:t>
      </w:r>
      <w:r w:rsidRPr="004A42A7">
        <w:rPr>
          <w:rFonts w:ascii="Times New Roman" w:hAnsi="Times New Roman" w:cs="Times New Roman"/>
        </w:rPr>
        <w:t xml:space="preserve"> seed germination. (a) Enriched KEGG pathways of DEGs between stages 1 and 2. (b) Enriched KEGG pathways of DEGs between stages 2 and 3. </w:t>
      </w:r>
      <w:r w:rsidR="00337031">
        <w:rPr>
          <w:rFonts w:ascii="Times New Roman" w:hAnsi="Times New Roman" w:cs="Times New Roman"/>
        </w:rPr>
        <w:t>(</w:t>
      </w:r>
      <w:r w:rsidRPr="004A42A7">
        <w:rPr>
          <w:rFonts w:ascii="Times New Roman" w:hAnsi="Times New Roman" w:cs="Times New Roman"/>
        </w:rPr>
        <w:t>c</w:t>
      </w:r>
      <w:r w:rsidR="00337031">
        <w:rPr>
          <w:rFonts w:ascii="Times New Roman" w:hAnsi="Times New Roman" w:cs="Times New Roman"/>
        </w:rPr>
        <w:t>)</w:t>
      </w:r>
      <w:r w:rsidRPr="004A42A7">
        <w:rPr>
          <w:rFonts w:ascii="Times New Roman" w:hAnsi="Times New Roman" w:cs="Times New Roman"/>
        </w:rPr>
        <w:t xml:space="preserve"> Enriched KEGG pathways of DEGs between stages 3 and 4.</w:t>
      </w:r>
    </w:p>
    <w:p w14:paraId="09F05C13" w14:textId="77777777" w:rsidR="00B1237A" w:rsidRDefault="00B1237A" w:rsidP="00B1237A">
      <w:pPr>
        <w:rPr>
          <w:rFonts w:ascii="Arial" w:hAnsi="Arial" w:cs="Arial"/>
        </w:rPr>
      </w:pPr>
    </w:p>
    <w:p w14:paraId="15C1889D" w14:textId="5BA9535F" w:rsidR="00B1237A" w:rsidRDefault="00B1237A" w:rsidP="00B1237A">
      <w:pPr>
        <w:rPr>
          <w:rFonts w:ascii="Arial" w:hAnsi="Arial" w:cs="Arial"/>
        </w:rPr>
        <w:sectPr w:rsidR="00B1237A">
          <w:pgSz w:w="11906" w:h="16838"/>
          <w:pgMar w:top="1440" w:right="1800" w:bottom="1440" w:left="1800" w:header="851" w:footer="992" w:gutter="0"/>
          <w:cols w:space="425"/>
          <w:docGrid w:type="lines" w:linePitch="312"/>
        </w:sectPr>
      </w:pPr>
    </w:p>
    <w:p w14:paraId="3CA2A881" w14:textId="06D7D33F" w:rsidR="00B1237A" w:rsidRDefault="006B0E0D" w:rsidP="00B1237A">
      <w:pPr>
        <w:rPr>
          <w:rFonts w:ascii="Times New Roman" w:hAnsi="Times New Roman" w:cs="Times New Roman"/>
          <w:kern w:val="0"/>
          <w:szCs w:val="21"/>
        </w:rPr>
      </w:pPr>
      <w:r>
        <w:rPr>
          <w:noProof/>
        </w:rPr>
        <w:lastRenderedPageBreak/>
        <w:drawing>
          <wp:inline distT="0" distB="0" distL="0" distR="0" wp14:anchorId="20CFBC9B" wp14:editId="2FED50E1">
            <wp:extent cx="5274310" cy="5426075"/>
            <wp:effectExtent l="0" t="0" r="254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4310" cy="5426075"/>
                    </a:xfrm>
                    <a:prstGeom prst="rect">
                      <a:avLst/>
                    </a:prstGeom>
                  </pic:spPr>
                </pic:pic>
              </a:graphicData>
            </a:graphic>
          </wp:inline>
        </w:drawing>
      </w:r>
    </w:p>
    <w:p w14:paraId="472742EA" w14:textId="77777777" w:rsidR="00B1237A" w:rsidRDefault="00B1237A" w:rsidP="00B1237A">
      <w:pPr>
        <w:rPr>
          <w:rFonts w:ascii="Times New Roman" w:hAnsi="Times New Roman" w:cs="Times New Roman"/>
          <w:kern w:val="0"/>
          <w:szCs w:val="21"/>
        </w:rPr>
      </w:pPr>
    </w:p>
    <w:p w14:paraId="7229BDE8" w14:textId="06DE886B" w:rsidR="003C4AD9" w:rsidRPr="00B1237A" w:rsidRDefault="003C4AD9" w:rsidP="00B1237A">
      <w:pPr>
        <w:widowControl/>
        <w:rPr>
          <w:rFonts w:ascii="Times New Roman" w:hAnsi="Times New Roman" w:cs="Times New Roman"/>
        </w:rPr>
      </w:pPr>
      <w:r w:rsidRPr="003C4AD9">
        <w:rPr>
          <w:rFonts w:ascii="Times New Roman" w:hAnsi="Times New Roman" w:cs="Times New Roman"/>
          <w:b/>
          <w:bCs/>
        </w:rPr>
        <w:t>Figure S3.</w:t>
      </w:r>
      <w:r w:rsidRPr="003C4AD9">
        <w:rPr>
          <w:rFonts w:ascii="Times New Roman" w:hAnsi="Times New Roman" w:cs="Times New Roman"/>
        </w:rPr>
        <w:t xml:space="preserve"> Enriched Gene Ontology (GO) terms of differential expressed genes (DEGs) during the six adjacent stages of </w:t>
      </w:r>
      <w:r w:rsidRPr="003C4AD9">
        <w:rPr>
          <w:rFonts w:ascii="Times New Roman" w:hAnsi="Times New Roman" w:cs="Times New Roman"/>
          <w:i/>
          <w:iCs/>
        </w:rPr>
        <w:t>Tamarix hispida</w:t>
      </w:r>
      <w:r w:rsidRPr="003C4AD9">
        <w:rPr>
          <w:rFonts w:ascii="Times New Roman" w:hAnsi="Times New Roman" w:cs="Times New Roman"/>
        </w:rPr>
        <w:t xml:space="preserve"> seed germination and post- germination processes. (a) Enriched GO terms of DEGs between stages 1 and 2. (b) Enriched GO terms of DEGs between stages 2 and 3. (c) Enriched GO terms of DEGs between stages 3 and 4. (d) Enriched GO terms of DEGs between stages 4 and 5. (e) Enriched GO terms of DEGs between stages 5 and 6.</w:t>
      </w:r>
    </w:p>
    <w:p w14:paraId="7CA0FE2A" w14:textId="77777777" w:rsidR="00B1237A" w:rsidRDefault="00B1237A" w:rsidP="00B1237A">
      <w:pPr>
        <w:widowControl/>
        <w:jc w:val="left"/>
        <w:rPr>
          <w:rFonts w:ascii="Times New Roman" w:hAnsi="Times New Roman" w:cs="Times New Roman"/>
          <w:kern w:val="0"/>
          <w:szCs w:val="21"/>
        </w:rPr>
      </w:pPr>
      <w:r>
        <w:rPr>
          <w:rFonts w:ascii="Times New Roman" w:hAnsi="Times New Roman" w:cs="Times New Roman"/>
          <w:kern w:val="0"/>
          <w:szCs w:val="21"/>
        </w:rPr>
        <w:br w:type="page"/>
      </w:r>
    </w:p>
    <w:p w14:paraId="474384CC" w14:textId="77777777" w:rsidR="00B1237A" w:rsidRDefault="00B1237A" w:rsidP="00B1237A">
      <w:pPr>
        <w:rPr>
          <w:rFonts w:ascii="Times New Roman" w:hAnsi="Times New Roman" w:cs="Times New Roman"/>
          <w:kern w:val="0"/>
          <w:szCs w:val="21"/>
        </w:rPr>
      </w:pPr>
      <w:r>
        <w:rPr>
          <w:noProof/>
        </w:rPr>
        <w:lastRenderedPageBreak/>
        <w:drawing>
          <wp:inline distT="0" distB="0" distL="0" distR="0" wp14:anchorId="5BDD6A04" wp14:editId="583903AD">
            <wp:extent cx="5274310" cy="2957195"/>
            <wp:effectExtent l="0" t="0" r="254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2957195"/>
                    </a:xfrm>
                    <a:prstGeom prst="rect">
                      <a:avLst/>
                    </a:prstGeom>
                  </pic:spPr>
                </pic:pic>
              </a:graphicData>
            </a:graphic>
          </wp:inline>
        </w:drawing>
      </w:r>
    </w:p>
    <w:p w14:paraId="044A638D" w14:textId="77777777" w:rsidR="00B1237A" w:rsidRDefault="00B1237A" w:rsidP="00B1237A">
      <w:pPr>
        <w:widowControl/>
        <w:jc w:val="left"/>
        <w:rPr>
          <w:rFonts w:ascii="Times New Roman" w:hAnsi="Times New Roman" w:cs="Times New Roman"/>
          <w:kern w:val="0"/>
          <w:szCs w:val="21"/>
        </w:rPr>
      </w:pPr>
    </w:p>
    <w:p w14:paraId="6F8629A9" w14:textId="47F22DB0" w:rsidR="003C4AD9" w:rsidRDefault="003C4AD9" w:rsidP="00B1237A">
      <w:pPr>
        <w:rPr>
          <w:rFonts w:ascii="Times New Roman" w:hAnsi="Times New Roman" w:cs="Times New Roman"/>
          <w:kern w:val="0"/>
          <w:szCs w:val="21"/>
        </w:rPr>
      </w:pPr>
      <w:r w:rsidRPr="003C4AD9">
        <w:rPr>
          <w:rFonts w:ascii="Times New Roman" w:hAnsi="Times New Roman" w:cs="Times New Roman"/>
          <w:b/>
          <w:bCs/>
          <w:kern w:val="0"/>
          <w:szCs w:val="21"/>
        </w:rPr>
        <w:t>Figure S4.</w:t>
      </w:r>
      <w:r w:rsidRPr="003C4AD9">
        <w:rPr>
          <w:rFonts w:ascii="Times New Roman" w:hAnsi="Times New Roman" w:cs="Times New Roman"/>
          <w:kern w:val="0"/>
          <w:szCs w:val="21"/>
        </w:rPr>
        <w:t xml:space="preserve"> Analysis of DEGs in phenylpropanoid biosynthesis. (a) Expression pattern of DEGs involving phenylpropanoid biosynthesis in different stages. (b) Mapping of DEG enrichment in phenylpropanoid biosynthesis pathway (ko00940)</w:t>
      </w:r>
      <w:r w:rsidR="00C313DC">
        <w:rPr>
          <w:rFonts w:ascii="Times New Roman" w:hAnsi="Times New Roman" w:cs="Times New Roman"/>
          <w:kern w:val="0"/>
          <w:szCs w:val="21"/>
        </w:rPr>
        <w:t xml:space="preserve"> </w:t>
      </w:r>
      <w:r w:rsidR="00C313DC">
        <w:rPr>
          <w:rFonts w:ascii="Times New Roman" w:hAnsi="Times New Roman" w:cs="Times New Roman"/>
          <w:kern w:val="0"/>
          <w:szCs w:val="21"/>
        </w:rPr>
        <w:fldChar w:fldCharType="begin">
          <w:fldData xml:space="preserve">PEVuZE5vdGU+PENpdGU+PEF1dGhvcj5LYW5laGlzYTwvQXV0aG9yPjxZZWFyPjIwMDA8L1llYXI+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</w:fldData>
        </w:fldChar>
      </w:r>
      <w:r w:rsidR="00C313DC">
        <w:rPr>
          <w:rFonts w:ascii="Times New Roman" w:hAnsi="Times New Roman" w:cs="Times New Roman"/>
          <w:kern w:val="0"/>
          <w:szCs w:val="21"/>
        </w:rPr>
        <w:instrText xml:space="preserve"> ADDIN EN.CITE </w:instrText>
      </w:r>
      <w:r w:rsidR="00C313DC">
        <w:rPr>
          <w:rFonts w:ascii="Times New Roman" w:hAnsi="Times New Roman" w:cs="Times New Roman"/>
          <w:kern w:val="0"/>
          <w:szCs w:val="21"/>
        </w:rPr>
        <w:fldChar w:fldCharType="begin">
          <w:fldData xml:space="preserve">PEVuZE5vdGU+PENpdGU+PEF1dGhvcj5LYW5laGlzYTwvQXV0aG9yPjxZZWFyPjIwMDA8L1llYXI+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</w:fldData>
        </w:fldChar>
      </w:r>
      <w:r w:rsidR="00C313DC">
        <w:rPr>
          <w:rFonts w:ascii="Times New Roman" w:hAnsi="Times New Roman" w:cs="Times New Roman"/>
          <w:kern w:val="0"/>
          <w:szCs w:val="21"/>
        </w:rPr>
        <w:instrText xml:space="preserve"> ADDIN EN.CITE.DATA </w:instrText>
      </w:r>
      <w:r w:rsidR="00C313DC">
        <w:rPr>
          <w:rFonts w:ascii="Times New Roman" w:hAnsi="Times New Roman" w:cs="Times New Roman"/>
          <w:kern w:val="0"/>
          <w:szCs w:val="21"/>
        </w:rPr>
      </w:r>
      <w:r w:rsidR="00C313DC">
        <w:rPr>
          <w:rFonts w:ascii="Times New Roman" w:hAnsi="Times New Roman" w:cs="Times New Roman"/>
          <w:kern w:val="0"/>
          <w:szCs w:val="21"/>
        </w:rPr>
        <w:fldChar w:fldCharType="end"/>
      </w:r>
      <w:r w:rsidR="00C313DC">
        <w:rPr>
          <w:rFonts w:ascii="Times New Roman" w:hAnsi="Times New Roman" w:cs="Times New Roman"/>
          <w:kern w:val="0"/>
          <w:szCs w:val="21"/>
        </w:rPr>
      </w:r>
      <w:r w:rsidR="00C313DC">
        <w:rPr>
          <w:rFonts w:ascii="Times New Roman" w:hAnsi="Times New Roman" w:cs="Times New Roman"/>
          <w:kern w:val="0"/>
          <w:szCs w:val="21"/>
        </w:rPr>
        <w:fldChar w:fldCharType="separate"/>
      </w:r>
      <w:r w:rsidR="00C313DC">
        <w:rPr>
          <w:rFonts w:ascii="Times New Roman" w:hAnsi="Times New Roman" w:cs="Times New Roman"/>
          <w:noProof/>
          <w:kern w:val="0"/>
          <w:szCs w:val="21"/>
        </w:rPr>
        <w:t>[1-3]</w:t>
      </w:r>
      <w:r w:rsidR="00C313DC">
        <w:rPr>
          <w:rFonts w:ascii="Times New Roman" w:hAnsi="Times New Roman" w:cs="Times New Roman"/>
          <w:kern w:val="0"/>
          <w:szCs w:val="21"/>
        </w:rPr>
        <w:fldChar w:fldCharType="end"/>
      </w:r>
      <w:r w:rsidRPr="003C4AD9">
        <w:rPr>
          <w:rFonts w:ascii="Times New Roman" w:hAnsi="Times New Roman" w:cs="Times New Roman"/>
          <w:kern w:val="0"/>
          <w:szCs w:val="21"/>
        </w:rPr>
        <w:t>. The orange marks represent DEG enrichment.</w:t>
      </w:r>
    </w:p>
    <w:p w14:paraId="1F91246C" w14:textId="77777777" w:rsidR="00B1237A" w:rsidRDefault="00B1237A" w:rsidP="00B1237A">
      <w:pPr>
        <w:widowControl/>
        <w:jc w:val="left"/>
        <w:rPr>
          <w:rFonts w:ascii="Times New Roman" w:hAnsi="Times New Roman" w:cs="Times New Roman"/>
          <w:kern w:val="0"/>
          <w:szCs w:val="21"/>
        </w:rPr>
      </w:pPr>
      <w:r>
        <w:rPr>
          <w:rFonts w:ascii="Times New Roman" w:hAnsi="Times New Roman" w:cs="Times New Roman"/>
          <w:kern w:val="0"/>
          <w:szCs w:val="21"/>
        </w:rPr>
        <w:br w:type="page"/>
      </w:r>
    </w:p>
    <w:p w14:paraId="1E2EFD15" w14:textId="77777777" w:rsidR="00B1237A" w:rsidRDefault="00B1237A" w:rsidP="00B1237A">
      <w:pPr>
        <w:widowControl/>
        <w:jc w:val="left"/>
        <w:rPr>
          <w:rFonts w:ascii="Times New Roman" w:hAnsi="Times New Roman" w:cs="Times New Roman"/>
          <w:kern w:val="0"/>
          <w:szCs w:val="21"/>
        </w:rPr>
      </w:pPr>
      <w:r>
        <w:rPr>
          <w:noProof/>
        </w:rPr>
        <w:lastRenderedPageBreak/>
        <w:drawing>
          <wp:inline distT="0" distB="0" distL="0" distR="0" wp14:anchorId="1E4EF717" wp14:editId="5669EEC4">
            <wp:extent cx="5274310" cy="3300095"/>
            <wp:effectExtent l="0" t="0" r="254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74310" cy="3300095"/>
                    </a:xfrm>
                    <a:prstGeom prst="rect">
                      <a:avLst/>
                    </a:prstGeom>
                  </pic:spPr>
                </pic:pic>
              </a:graphicData>
            </a:graphic>
          </wp:inline>
        </w:drawing>
      </w:r>
    </w:p>
    <w:p w14:paraId="0BAFCACD" w14:textId="77777777" w:rsidR="00B1237A" w:rsidRDefault="00B1237A" w:rsidP="00B1237A">
      <w:pPr>
        <w:widowControl/>
        <w:jc w:val="left"/>
        <w:rPr>
          <w:rFonts w:ascii="Times New Roman" w:hAnsi="Times New Roman" w:cs="Times New Roman"/>
          <w:kern w:val="0"/>
          <w:szCs w:val="21"/>
        </w:rPr>
      </w:pPr>
    </w:p>
    <w:p w14:paraId="0904565E" w14:textId="1A932905" w:rsidR="003C4AD9" w:rsidRPr="005D74C8" w:rsidRDefault="003C4AD9" w:rsidP="00B1237A">
      <w:pPr>
        <w:rPr>
          <w:rFonts w:ascii="Times New Roman" w:hAnsi="Times New Roman" w:cs="Times New Roman"/>
          <w:kern w:val="0"/>
          <w:szCs w:val="21"/>
        </w:rPr>
      </w:pPr>
      <w:r w:rsidRPr="003C4AD9">
        <w:rPr>
          <w:rFonts w:ascii="Times New Roman" w:hAnsi="Times New Roman" w:cs="Times New Roman"/>
          <w:b/>
          <w:bCs/>
          <w:kern w:val="0"/>
          <w:szCs w:val="21"/>
        </w:rPr>
        <w:t>Figure S5.</w:t>
      </w:r>
      <w:r w:rsidRPr="003C4AD9">
        <w:rPr>
          <w:rFonts w:ascii="Times New Roman" w:hAnsi="Times New Roman" w:cs="Times New Roman"/>
          <w:kern w:val="0"/>
          <w:szCs w:val="21"/>
        </w:rPr>
        <w:t xml:space="preserve"> Enriched KEGG pathways and Gene Ontology (GO) terms of gene sets merging from specific stage-associated modules. (a) Enriched KEGG pathways of gene sets merging from modules (midnightblue, darkorange and skyblue) specific positively associated with stage</w:t>
      </w:r>
      <w:r>
        <w:rPr>
          <w:rFonts w:ascii="Times New Roman" w:hAnsi="Times New Roman" w:cs="Times New Roman"/>
          <w:kern w:val="0"/>
          <w:szCs w:val="21"/>
        </w:rPr>
        <w:t xml:space="preserve"> </w:t>
      </w:r>
      <w:r w:rsidRPr="003C4AD9">
        <w:rPr>
          <w:rFonts w:ascii="Times New Roman" w:hAnsi="Times New Roman" w:cs="Times New Roman"/>
          <w:kern w:val="0"/>
          <w:szCs w:val="21"/>
        </w:rPr>
        <w:t>1. (b) Enriched KEGG pathways of gene sets merging from modules (white and cyan) specific positively associated with stage</w:t>
      </w:r>
      <w:r>
        <w:rPr>
          <w:rFonts w:ascii="Times New Roman" w:hAnsi="Times New Roman" w:cs="Times New Roman"/>
          <w:kern w:val="0"/>
          <w:szCs w:val="21"/>
        </w:rPr>
        <w:t xml:space="preserve"> </w:t>
      </w:r>
      <w:r w:rsidRPr="003C4AD9">
        <w:rPr>
          <w:rFonts w:ascii="Times New Roman" w:hAnsi="Times New Roman" w:cs="Times New Roman"/>
          <w:kern w:val="0"/>
          <w:szCs w:val="21"/>
        </w:rPr>
        <w:t>2. (c) Enriched KEGG pathways of gene sets merging from modules (dark turquoise, salmon, black and darkred) specific positively associated with stage</w:t>
      </w:r>
      <w:r>
        <w:rPr>
          <w:rFonts w:ascii="Times New Roman" w:hAnsi="Times New Roman" w:cs="Times New Roman"/>
          <w:kern w:val="0"/>
          <w:szCs w:val="21"/>
        </w:rPr>
        <w:t xml:space="preserve"> </w:t>
      </w:r>
      <w:r w:rsidRPr="003C4AD9">
        <w:rPr>
          <w:rFonts w:ascii="Times New Roman" w:hAnsi="Times New Roman" w:cs="Times New Roman"/>
          <w:kern w:val="0"/>
          <w:szCs w:val="21"/>
        </w:rPr>
        <w:t>4. (d) Enriched GO terms of gene sets merging from modules (midnightblue, darkorange and skyblue) specific positively associated with stage</w:t>
      </w:r>
      <w:r>
        <w:rPr>
          <w:rFonts w:ascii="Times New Roman" w:hAnsi="Times New Roman" w:cs="Times New Roman"/>
          <w:kern w:val="0"/>
          <w:szCs w:val="21"/>
        </w:rPr>
        <w:t xml:space="preserve"> </w:t>
      </w:r>
      <w:r w:rsidRPr="003C4AD9">
        <w:rPr>
          <w:rFonts w:ascii="Times New Roman" w:hAnsi="Times New Roman" w:cs="Times New Roman"/>
          <w:kern w:val="0"/>
          <w:szCs w:val="21"/>
        </w:rPr>
        <w:t>1. (e) Enriched GO terms of gene sets merging from modules (white and cyan) specific positively associated with stage</w:t>
      </w:r>
      <w:r>
        <w:rPr>
          <w:rFonts w:ascii="Times New Roman" w:hAnsi="Times New Roman" w:cs="Times New Roman"/>
          <w:kern w:val="0"/>
          <w:szCs w:val="21"/>
        </w:rPr>
        <w:t xml:space="preserve"> </w:t>
      </w:r>
      <w:r w:rsidRPr="003C4AD9">
        <w:rPr>
          <w:rFonts w:ascii="Times New Roman" w:hAnsi="Times New Roman" w:cs="Times New Roman"/>
          <w:kern w:val="0"/>
          <w:szCs w:val="21"/>
        </w:rPr>
        <w:t>2. (f) Enriched GO terms of gene sets merging from modules (darkturquoise, salmon, black and darkred) specific positively associated with stage</w:t>
      </w:r>
      <w:r>
        <w:rPr>
          <w:rFonts w:ascii="Times New Roman" w:hAnsi="Times New Roman" w:cs="Times New Roman"/>
          <w:kern w:val="0"/>
          <w:szCs w:val="21"/>
        </w:rPr>
        <w:t xml:space="preserve"> </w:t>
      </w:r>
      <w:r w:rsidRPr="003C4AD9">
        <w:rPr>
          <w:rFonts w:ascii="Times New Roman" w:hAnsi="Times New Roman" w:cs="Times New Roman"/>
          <w:kern w:val="0"/>
          <w:szCs w:val="21"/>
        </w:rPr>
        <w:t>4. (g) Enriched GO terms of gene sets merging from modules (lightcyan and steelblue) specific positively associated with stage</w:t>
      </w:r>
      <w:r>
        <w:rPr>
          <w:rFonts w:ascii="Times New Roman" w:hAnsi="Times New Roman" w:cs="Times New Roman"/>
          <w:kern w:val="0"/>
          <w:szCs w:val="21"/>
        </w:rPr>
        <w:t xml:space="preserve"> </w:t>
      </w:r>
      <w:r w:rsidRPr="003C4AD9">
        <w:rPr>
          <w:rFonts w:ascii="Times New Roman" w:hAnsi="Times New Roman" w:cs="Times New Roman"/>
          <w:kern w:val="0"/>
          <w:szCs w:val="21"/>
        </w:rPr>
        <w:t>5.</w:t>
      </w:r>
    </w:p>
    <w:p w14:paraId="162EDE65" w14:textId="77777777" w:rsidR="00B1237A" w:rsidRDefault="00B1237A" w:rsidP="00B1237A">
      <w:pPr>
        <w:widowControl/>
        <w:jc w:val="left"/>
        <w:rPr>
          <w:rFonts w:ascii="Times New Roman" w:hAnsi="Times New Roman" w:cs="Times New Roman"/>
          <w:kern w:val="0"/>
          <w:szCs w:val="21"/>
        </w:rPr>
      </w:pPr>
      <w:r>
        <w:rPr>
          <w:rFonts w:ascii="Times New Roman" w:hAnsi="Times New Roman" w:cs="Times New Roman"/>
          <w:kern w:val="0"/>
          <w:szCs w:val="21"/>
        </w:rPr>
        <w:br w:type="page"/>
      </w:r>
    </w:p>
    <w:p w14:paraId="1F1675BA" w14:textId="77777777" w:rsidR="00B1237A" w:rsidRDefault="00B1237A" w:rsidP="00B1237A">
      <w:pPr>
        <w:rPr>
          <w:rFonts w:ascii="Times New Roman" w:hAnsi="Times New Roman" w:cs="Times New Roman"/>
          <w:kern w:val="0"/>
          <w:szCs w:val="21"/>
        </w:rPr>
      </w:pPr>
      <w:r>
        <w:rPr>
          <w:noProof/>
        </w:rPr>
        <w:lastRenderedPageBreak/>
        <w:drawing>
          <wp:inline distT="0" distB="0" distL="0" distR="0" wp14:anchorId="38F9C4FF" wp14:editId="610744C6">
            <wp:extent cx="5274310" cy="2941955"/>
            <wp:effectExtent l="0" t="0" r="254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4310" cy="2941955"/>
                    </a:xfrm>
                    <a:prstGeom prst="rect">
                      <a:avLst/>
                    </a:prstGeom>
                  </pic:spPr>
                </pic:pic>
              </a:graphicData>
            </a:graphic>
          </wp:inline>
        </w:drawing>
      </w:r>
    </w:p>
    <w:p w14:paraId="3BAF1A6A" w14:textId="77777777" w:rsidR="00B1237A" w:rsidRDefault="00B1237A" w:rsidP="00B1237A">
      <w:pPr>
        <w:rPr>
          <w:rFonts w:ascii="Times New Roman" w:hAnsi="Times New Roman" w:cs="Times New Roman"/>
          <w:kern w:val="0"/>
          <w:szCs w:val="21"/>
        </w:rPr>
      </w:pPr>
    </w:p>
    <w:p w14:paraId="1B1CB452" w14:textId="53591233" w:rsidR="00206CF9" w:rsidRDefault="00206CF9" w:rsidP="00B1237A">
      <w:pPr>
        <w:rPr>
          <w:rFonts w:ascii="Times New Roman" w:hAnsi="Times New Roman" w:cs="Times New Roman"/>
          <w:kern w:val="0"/>
          <w:szCs w:val="21"/>
        </w:rPr>
      </w:pPr>
      <w:r w:rsidRPr="00206CF9">
        <w:rPr>
          <w:rFonts w:ascii="Times New Roman" w:hAnsi="Times New Roman" w:cs="Times New Roman"/>
          <w:b/>
          <w:bCs/>
          <w:kern w:val="0"/>
          <w:szCs w:val="21"/>
        </w:rPr>
        <w:t>Figure S6.</w:t>
      </w:r>
      <w:r w:rsidRPr="00206CF9">
        <w:rPr>
          <w:rFonts w:ascii="Times New Roman" w:hAnsi="Times New Roman" w:cs="Times New Roman"/>
          <w:kern w:val="0"/>
          <w:szCs w:val="21"/>
        </w:rPr>
        <w:t xml:space="preserve"> Enriched KEGG pathways and Gene Ontology (GO) terms of DEGs in purple, black and green modules. (a) Enriched KEGG pathways of DEGs in purple module. (b) Enriched KEGG pathways of DEGs in black module. (c) Enriched KEGG pathways of DEGs in green module. (d) Enriched GO terms of DEGs in purple module. (e) Enriched GO terms of DEGs in black module. (f) Enriched GO terms of DEGs in green module.</w:t>
      </w:r>
    </w:p>
    <w:p w14:paraId="426D4F01" w14:textId="77777777" w:rsidR="00B1237A" w:rsidRDefault="00B1237A" w:rsidP="00B1237A">
      <w:pPr>
        <w:widowControl/>
        <w:jc w:val="left"/>
        <w:rPr>
          <w:rFonts w:ascii="Times New Roman" w:hAnsi="Times New Roman" w:cs="Times New Roman"/>
          <w:kern w:val="0"/>
          <w:szCs w:val="21"/>
        </w:rPr>
      </w:pPr>
      <w:r>
        <w:rPr>
          <w:rFonts w:ascii="Times New Roman" w:hAnsi="Times New Roman" w:cs="Times New Roman"/>
          <w:kern w:val="0"/>
          <w:szCs w:val="21"/>
        </w:rPr>
        <w:br w:type="page"/>
      </w:r>
    </w:p>
    <w:p w14:paraId="767CA111" w14:textId="77777777" w:rsidR="00B1237A" w:rsidRDefault="00B1237A" w:rsidP="00B1237A">
      <w:pPr>
        <w:rPr>
          <w:rFonts w:ascii="Times New Roman" w:hAnsi="Times New Roman" w:cs="Times New Roman"/>
          <w:kern w:val="0"/>
          <w:szCs w:val="21"/>
        </w:rPr>
      </w:pPr>
      <w:r>
        <w:rPr>
          <w:noProof/>
        </w:rPr>
        <w:lastRenderedPageBreak/>
        <w:drawing>
          <wp:inline distT="0" distB="0" distL="0" distR="0" wp14:anchorId="6EE64D79" wp14:editId="14370A3B">
            <wp:extent cx="5274310" cy="2041525"/>
            <wp:effectExtent l="0" t="0" r="254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4310" cy="2041525"/>
                    </a:xfrm>
                    <a:prstGeom prst="rect">
                      <a:avLst/>
                    </a:prstGeom>
                  </pic:spPr>
                </pic:pic>
              </a:graphicData>
            </a:graphic>
          </wp:inline>
        </w:drawing>
      </w:r>
    </w:p>
    <w:p w14:paraId="263C02DC" w14:textId="77777777" w:rsidR="00B1237A" w:rsidRDefault="00B1237A" w:rsidP="00B1237A">
      <w:pPr>
        <w:rPr>
          <w:rFonts w:ascii="Times New Roman" w:hAnsi="Times New Roman" w:cs="Times New Roman"/>
          <w:kern w:val="0"/>
          <w:szCs w:val="21"/>
        </w:rPr>
      </w:pPr>
    </w:p>
    <w:p w14:paraId="33F15728" w14:textId="77777777" w:rsidR="00C313DC" w:rsidRDefault="00206CF9">
      <w:pPr>
        <w:rPr>
          <w:rFonts w:ascii="Times New Roman" w:hAnsi="Times New Roman" w:cs="Times New Roman"/>
          <w:kern w:val="0"/>
          <w:szCs w:val="21"/>
        </w:rPr>
      </w:pPr>
      <w:r w:rsidRPr="00206CF9">
        <w:rPr>
          <w:rFonts w:ascii="Times New Roman" w:hAnsi="Times New Roman" w:cs="Times New Roman"/>
          <w:b/>
          <w:bCs/>
          <w:kern w:val="0"/>
          <w:szCs w:val="21"/>
        </w:rPr>
        <w:t>Figure S7.</w:t>
      </w:r>
      <w:r w:rsidRPr="00206CF9">
        <w:rPr>
          <w:rFonts w:ascii="Times New Roman" w:hAnsi="Times New Roman" w:cs="Times New Roman"/>
          <w:kern w:val="0"/>
          <w:szCs w:val="21"/>
        </w:rPr>
        <w:t xml:space="preserve"> Heatmap showing the contents of corresponding flavonoid expression at different stages. </w:t>
      </w:r>
      <w:r w:rsidR="00CE4D9D" w:rsidRPr="00CE4D9D">
        <w:rPr>
          <w:rFonts w:ascii="Times New Roman" w:hAnsi="Times New Roman" w:cs="Times New Roman"/>
          <w:kern w:val="0"/>
          <w:szCs w:val="21"/>
        </w:rPr>
        <w:t xml:space="preserve">Metabolic intermediates are marked in </w:t>
      </w:r>
      <w:r w:rsidR="00CE4D9D" w:rsidRPr="00206CF9">
        <w:rPr>
          <w:rFonts w:ascii="Times New Roman" w:hAnsi="Times New Roman" w:cs="Times New Roman"/>
          <w:kern w:val="0"/>
          <w:szCs w:val="21"/>
        </w:rPr>
        <w:t>green</w:t>
      </w:r>
      <w:r w:rsidR="00CE4D9D" w:rsidRPr="00CE4D9D">
        <w:rPr>
          <w:rFonts w:ascii="Times New Roman" w:hAnsi="Times New Roman" w:cs="Times New Roman"/>
          <w:kern w:val="0"/>
          <w:szCs w:val="21"/>
        </w:rPr>
        <w:t>, and end products are marked in red.</w:t>
      </w:r>
    </w:p>
    <w:p w14:paraId="1A4ED11D" w14:textId="3CCFBCF7" w:rsidR="00C313DC" w:rsidRDefault="00C313DC">
      <w:pPr>
        <w:rPr>
          <w:rFonts w:ascii="Times New Roman" w:hAnsi="Times New Roman" w:cs="Times New Roman"/>
          <w:kern w:val="0"/>
          <w:szCs w:val="21"/>
        </w:rPr>
      </w:pPr>
    </w:p>
    <w:p w14:paraId="08913154" w14:textId="2D5D80CB" w:rsidR="004D58A4" w:rsidRPr="004D58A4" w:rsidRDefault="004D58A4">
      <w:pPr>
        <w:rPr>
          <w:rFonts w:ascii="Times New Roman" w:hAnsi="Times New Roman" w:cs="Times New Roman" w:hint="eastAsia"/>
          <w:b/>
          <w:bCs/>
          <w:kern w:val="0"/>
          <w:szCs w:val="21"/>
        </w:rPr>
      </w:pPr>
      <w:r w:rsidRPr="004D58A4">
        <w:rPr>
          <w:rFonts w:ascii="Times New Roman" w:hAnsi="Times New Roman" w:cs="Times New Roman"/>
          <w:b/>
          <w:bCs/>
          <w:kern w:val="0"/>
          <w:szCs w:val="21"/>
        </w:rPr>
        <w:t>R</w:t>
      </w:r>
      <w:r w:rsidRPr="004D58A4">
        <w:rPr>
          <w:rFonts w:ascii="Times New Roman" w:hAnsi="Times New Roman" w:cs="Times New Roman" w:hint="eastAsia"/>
          <w:b/>
          <w:bCs/>
          <w:kern w:val="0"/>
          <w:szCs w:val="21"/>
        </w:rPr>
        <w:t>eference</w:t>
      </w:r>
      <w:r w:rsidR="00AF51AA">
        <w:rPr>
          <w:rFonts w:ascii="Times New Roman" w:hAnsi="Times New Roman" w:cs="Times New Roman"/>
          <w:b/>
          <w:bCs/>
          <w:kern w:val="0"/>
          <w:szCs w:val="21"/>
        </w:rPr>
        <w:t>s</w:t>
      </w:r>
    </w:p>
    <w:p w14:paraId="47F009EE" w14:textId="77777777" w:rsidR="00C313DC" w:rsidRPr="00445F93" w:rsidRDefault="00C313DC" w:rsidP="00C313DC">
      <w:pPr>
        <w:pStyle w:val="EndNoteBibliography"/>
        <w:ind w:left="720" w:hanging="720"/>
        <w:rPr>
          <w:rFonts w:ascii="Times New Roman" w:eastAsiaTheme="minorEastAsia" w:hAnsi="Times New Roman" w:cs="Times New Roman"/>
          <w:noProof w:val="0"/>
          <w:kern w:val="0"/>
          <w:sz w:val="21"/>
          <w:szCs w:val="21"/>
        </w:rPr>
      </w:pPr>
      <w:r>
        <w:rPr>
          <w:rFonts w:ascii="Times New Roman" w:hAnsi="Times New Roman" w:cs="Times New Roman"/>
          <w:kern w:val="0"/>
          <w:szCs w:val="21"/>
        </w:rPr>
        <w:fldChar w:fldCharType="begin"/>
      </w:r>
      <w:r>
        <w:rPr>
          <w:rFonts w:ascii="Times New Roman" w:hAnsi="Times New Roman" w:cs="Times New Roman"/>
          <w:kern w:val="0"/>
          <w:szCs w:val="21"/>
        </w:rPr>
        <w:instrText xml:space="preserve"> ADDIN EN.REFLIST </w:instrText>
      </w:r>
      <w:r>
        <w:rPr>
          <w:rFonts w:ascii="Times New Roman" w:hAnsi="Times New Roman" w:cs="Times New Roman"/>
          <w:kern w:val="0"/>
          <w:szCs w:val="21"/>
        </w:rPr>
        <w:fldChar w:fldCharType="separate"/>
      </w:r>
      <w:r w:rsidRPr="00445F93">
        <w:rPr>
          <w:rFonts w:ascii="Times New Roman" w:eastAsiaTheme="minorEastAsia" w:hAnsi="Times New Roman" w:cs="Times New Roman"/>
          <w:noProof w:val="0"/>
          <w:kern w:val="0"/>
          <w:sz w:val="21"/>
          <w:szCs w:val="21"/>
        </w:rPr>
        <w:t>1.</w:t>
      </w:r>
      <w:r w:rsidRPr="00445F93">
        <w:rPr>
          <w:rFonts w:ascii="Times New Roman" w:eastAsiaTheme="minorEastAsia" w:hAnsi="Times New Roman" w:cs="Times New Roman"/>
          <w:noProof w:val="0"/>
          <w:kern w:val="0"/>
          <w:sz w:val="21"/>
          <w:szCs w:val="21"/>
        </w:rPr>
        <w:tab/>
        <w:t>Kanehisa, M. and S. Goto, KEGG: kyoto encyclopedia of genes and genomes. Nucleic Acids Res, 2000. 28(1): p. 27-30.</w:t>
      </w:r>
    </w:p>
    <w:p w14:paraId="165E5850" w14:textId="77777777" w:rsidR="00C313DC" w:rsidRPr="00445F93" w:rsidRDefault="00C313DC" w:rsidP="00C313DC">
      <w:pPr>
        <w:pStyle w:val="EndNoteBibliography"/>
        <w:ind w:left="720" w:hanging="720"/>
        <w:rPr>
          <w:rFonts w:ascii="Times New Roman" w:eastAsiaTheme="minorEastAsia" w:hAnsi="Times New Roman" w:cs="Times New Roman"/>
          <w:noProof w:val="0"/>
          <w:kern w:val="0"/>
          <w:sz w:val="21"/>
          <w:szCs w:val="21"/>
        </w:rPr>
      </w:pPr>
      <w:r w:rsidRPr="00445F93">
        <w:rPr>
          <w:rFonts w:ascii="Times New Roman" w:eastAsiaTheme="minorEastAsia" w:hAnsi="Times New Roman" w:cs="Times New Roman"/>
          <w:noProof w:val="0"/>
          <w:kern w:val="0"/>
          <w:sz w:val="21"/>
          <w:szCs w:val="21"/>
        </w:rPr>
        <w:t>2.</w:t>
      </w:r>
      <w:r w:rsidRPr="00445F93">
        <w:rPr>
          <w:rFonts w:ascii="Times New Roman" w:eastAsiaTheme="minorEastAsia" w:hAnsi="Times New Roman" w:cs="Times New Roman"/>
          <w:noProof w:val="0"/>
          <w:kern w:val="0"/>
          <w:sz w:val="21"/>
          <w:szCs w:val="21"/>
        </w:rPr>
        <w:tab/>
        <w:t>Kanehisa, M., Toward understanding the origin and evolution of cellular organisms. Protein Sci, 2019. 28(11): p. 1947-1951.</w:t>
      </w:r>
    </w:p>
    <w:p w14:paraId="0125AD0A" w14:textId="77777777" w:rsidR="00C313DC" w:rsidRPr="00445F93" w:rsidRDefault="00C313DC" w:rsidP="00C313DC">
      <w:pPr>
        <w:pStyle w:val="EndNoteBibliography"/>
        <w:ind w:left="720" w:hanging="720"/>
        <w:rPr>
          <w:rFonts w:ascii="Times New Roman" w:eastAsiaTheme="minorEastAsia" w:hAnsi="Times New Roman" w:cs="Times New Roman"/>
          <w:noProof w:val="0"/>
          <w:kern w:val="0"/>
          <w:sz w:val="21"/>
          <w:szCs w:val="21"/>
        </w:rPr>
      </w:pPr>
      <w:r w:rsidRPr="00445F93">
        <w:rPr>
          <w:rFonts w:ascii="Times New Roman" w:eastAsiaTheme="minorEastAsia" w:hAnsi="Times New Roman" w:cs="Times New Roman"/>
          <w:noProof w:val="0"/>
          <w:kern w:val="0"/>
          <w:sz w:val="21"/>
          <w:szCs w:val="21"/>
        </w:rPr>
        <w:t>3.</w:t>
      </w:r>
      <w:r w:rsidRPr="00445F93">
        <w:rPr>
          <w:rFonts w:ascii="Times New Roman" w:eastAsiaTheme="minorEastAsia" w:hAnsi="Times New Roman" w:cs="Times New Roman"/>
          <w:noProof w:val="0"/>
          <w:kern w:val="0"/>
          <w:sz w:val="21"/>
          <w:szCs w:val="21"/>
        </w:rPr>
        <w:tab/>
        <w:t>Kanehisa, M., et al., KEGG: integrating viruses and cellular organisms. Nucleic Acids Res, 2021. 49(D1): p. D545-d551.</w:t>
      </w:r>
    </w:p>
    <w:p w14:paraId="7A9840A3" w14:textId="7FFBFCFF" w:rsidR="00206CF9" w:rsidRPr="00B1237A" w:rsidRDefault="00C313DC">
      <w:pPr>
        <w:rPr>
          <w:rFonts w:ascii="Times New Roman" w:hAnsi="Times New Roman" w:cs="Times New Roman"/>
          <w:kern w:val="0"/>
          <w:szCs w:val="21"/>
        </w:rPr>
      </w:pPr>
      <w:r>
        <w:rPr>
          <w:rFonts w:ascii="Times New Roman" w:hAnsi="Times New Roman" w:cs="Times New Roman"/>
          <w:kern w:val="0"/>
          <w:szCs w:val="21"/>
        </w:rPr>
        <w:fldChar w:fldCharType="end"/>
      </w:r>
    </w:p>
    <w:sectPr w:rsidR="00206CF9" w:rsidRPr="00B1237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4A7FE" w14:textId="77777777" w:rsidR="00F5545A" w:rsidRDefault="00F5545A" w:rsidP="00B1237A">
      <w:r>
        <w:separator/>
      </w:r>
    </w:p>
  </w:endnote>
  <w:endnote w:type="continuationSeparator" w:id="0">
    <w:p w14:paraId="47644B6A" w14:textId="77777777" w:rsidR="00F5545A" w:rsidRDefault="00F5545A" w:rsidP="00B12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15D17" w14:textId="77777777" w:rsidR="00F5545A" w:rsidRDefault="00F5545A" w:rsidP="00B1237A">
      <w:r>
        <w:separator/>
      </w:r>
    </w:p>
  </w:footnote>
  <w:footnote w:type="continuationSeparator" w:id="0">
    <w:p w14:paraId="7228BAFA" w14:textId="77777777" w:rsidR="00F5545A" w:rsidRDefault="00F5545A" w:rsidP="00B123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4"/>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pzwpr5w1t90wpe9zv2padxcsewwe9xp0tfd&quot;&gt;My EndNote Library-Converted&lt;record-ids&gt;&lt;item&gt;48&lt;/item&gt;&lt;item&gt;50&lt;/item&gt;&lt;item&gt;51&lt;/item&gt;&lt;/record-ids&gt;&lt;/item&gt;&lt;/Libraries&gt;"/>
  </w:docVars>
  <w:rsids>
    <w:rsidRoot w:val="002461A3"/>
    <w:rsid w:val="00033334"/>
    <w:rsid w:val="001E572D"/>
    <w:rsid w:val="00206CF9"/>
    <w:rsid w:val="002461A3"/>
    <w:rsid w:val="00337031"/>
    <w:rsid w:val="003C4AD9"/>
    <w:rsid w:val="00445F93"/>
    <w:rsid w:val="004A42A7"/>
    <w:rsid w:val="004D58A4"/>
    <w:rsid w:val="006A571E"/>
    <w:rsid w:val="006B0E0D"/>
    <w:rsid w:val="00854BDE"/>
    <w:rsid w:val="0098254C"/>
    <w:rsid w:val="00994B30"/>
    <w:rsid w:val="00AF51AA"/>
    <w:rsid w:val="00B1237A"/>
    <w:rsid w:val="00C313DC"/>
    <w:rsid w:val="00C95195"/>
    <w:rsid w:val="00CE4D9D"/>
    <w:rsid w:val="00D849C6"/>
    <w:rsid w:val="00F0136D"/>
    <w:rsid w:val="00F5545A"/>
    <w:rsid w:val="00F71524"/>
    <w:rsid w:val="00FA30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E8F59D"/>
  <w15:chartTrackingRefBased/>
  <w15:docId w15:val="{725E4616-3E19-44C9-BBC6-54BDFD128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237A"/>
    <w:pPr>
      <w:widowControl w:val="0"/>
      <w:jc w:val="both"/>
    </w:pPr>
    <w:rPr>
      <w:szCs w:val="24"/>
    </w:rPr>
  </w:style>
  <w:style w:type="paragraph" w:styleId="2">
    <w:name w:val="heading 2"/>
    <w:basedOn w:val="a"/>
    <w:next w:val="a"/>
    <w:link w:val="20"/>
    <w:unhideWhenUsed/>
    <w:qFormat/>
    <w:rsid w:val="00B1237A"/>
    <w:pPr>
      <w:keepNext/>
      <w:keepLines/>
      <w:spacing w:before="260" w:after="260" w:line="416" w:lineRule="auto"/>
      <w:jc w:val="center"/>
      <w:outlineLvl w:val="1"/>
    </w:pPr>
    <w:rPr>
      <w:rFonts w:ascii="Times New Roman" w:eastAsiaTheme="majorEastAsia" w:hAnsi="Times New Roman"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237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1237A"/>
    <w:rPr>
      <w:sz w:val="18"/>
      <w:szCs w:val="18"/>
    </w:rPr>
  </w:style>
  <w:style w:type="paragraph" w:styleId="a5">
    <w:name w:val="footer"/>
    <w:basedOn w:val="a"/>
    <w:link w:val="a6"/>
    <w:uiPriority w:val="99"/>
    <w:unhideWhenUsed/>
    <w:rsid w:val="00B1237A"/>
    <w:pPr>
      <w:tabs>
        <w:tab w:val="center" w:pos="4153"/>
        <w:tab w:val="right" w:pos="8306"/>
      </w:tabs>
      <w:snapToGrid w:val="0"/>
      <w:jc w:val="left"/>
    </w:pPr>
    <w:rPr>
      <w:sz w:val="18"/>
      <w:szCs w:val="18"/>
    </w:rPr>
  </w:style>
  <w:style w:type="character" w:customStyle="1" w:styleId="a6">
    <w:name w:val="页脚 字符"/>
    <w:basedOn w:val="a0"/>
    <w:link w:val="a5"/>
    <w:uiPriority w:val="99"/>
    <w:rsid w:val="00B1237A"/>
    <w:rPr>
      <w:sz w:val="18"/>
      <w:szCs w:val="18"/>
    </w:rPr>
  </w:style>
  <w:style w:type="character" w:customStyle="1" w:styleId="20">
    <w:name w:val="标题 2 字符"/>
    <w:basedOn w:val="a0"/>
    <w:link w:val="2"/>
    <w:rsid w:val="00B1237A"/>
    <w:rPr>
      <w:rFonts w:ascii="Times New Roman" w:eastAsiaTheme="majorEastAsia" w:hAnsi="Times New Roman" w:cstheme="majorBidi"/>
      <w:b/>
      <w:bCs/>
      <w:sz w:val="32"/>
      <w:szCs w:val="32"/>
    </w:rPr>
  </w:style>
  <w:style w:type="character" w:styleId="a7">
    <w:name w:val="annotation reference"/>
    <w:basedOn w:val="a0"/>
    <w:rsid w:val="00B1237A"/>
    <w:rPr>
      <w:sz w:val="21"/>
      <w:szCs w:val="21"/>
    </w:rPr>
  </w:style>
  <w:style w:type="paragraph" w:styleId="a8">
    <w:name w:val="annotation text"/>
    <w:basedOn w:val="a"/>
    <w:link w:val="a9"/>
    <w:rsid w:val="00B1237A"/>
    <w:pPr>
      <w:jc w:val="left"/>
    </w:pPr>
  </w:style>
  <w:style w:type="character" w:customStyle="1" w:styleId="a9">
    <w:name w:val="批注文字 字符"/>
    <w:basedOn w:val="a0"/>
    <w:link w:val="a8"/>
    <w:rsid w:val="00B1237A"/>
    <w:rPr>
      <w:szCs w:val="24"/>
    </w:rPr>
  </w:style>
  <w:style w:type="paragraph" w:customStyle="1" w:styleId="EndNoteBibliographyTitle">
    <w:name w:val="EndNote Bibliography Title"/>
    <w:basedOn w:val="a"/>
    <w:link w:val="EndNoteBibliographyTitle0"/>
    <w:rsid w:val="00C313DC"/>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C313DC"/>
    <w:rPr>
      <w:rFonts w:ascii="等线" w:eastAsia="等线" w:hAnsi="等线"/>
      <w:noProof/>
      <w:sz w:val="20"/>
      <w:szCs w:val="24"/>
    </w:rPr>
  </w:style>
  <w:style w:type="paragraph" w:customStyle="1" w:styleId="EndNoteBibliography">
    <w:name w:val="EndNote Bibliography"/>
    <w:basedOn w:val="a"/>
    <w:link w:val="EndNoteBibliography0"/>
    <w:rsid w:val="00C313DC"/>
    <w:rPr>
      <w:rFonts w:ascii="等线" w:eastAsia="等线" w:hAnsi="等线"/>
      <w:noProof/>
      <w:sz w:val="20"/>
    </w:rPr>
  </w:style>
  <w:style w:type="character" w:customStyle="1" w:styleId="EndNoteBibliography0">
    <w:name w:val="EndNote Bibliography 字符"/>
    <w:basedOn w:val="a0"/>
    <w:link w:val="EndNoteBibliography"/>
    <w:rsid w:val="00C313DC"/>
    <w:rPr>
      <w:rFonts w:ascii="等线" w:eastAsia="等线" w:hAnsi="等线"/>
      <w:noProo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7</Pages>
  <Words>510</Words>
  <Characters>2908</Characters>
  <Application>Microsoft Office Word</Application>
  <DocSecurity>0</DocSecurity>
  <Lines>24</Lines>
  <Paragraphs>6</Paragraphs>
  <ScaleCrop>false</ScaleCrop>
  <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liushuoyl@163.com</dc:creator>
  <cp:keywords/>
  <dc:description/>
  <cp:lastModifiedBy>吴智华</cp:lastModifiedBy>
  <cp:revision>13</cp:revision>
  <dcterms:created xsi:type="dcterms:W3CDTF">2021-11-07T07:05:00Z</dcterms:created>
  <dcterms:modified xsi:type="dcterms:W3CDTF">2022-01-12T07:14:00Z</dcterms:modified>
</cp:coreProperties>
</file>