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Shading2-Accent5"/>
        <w:tblW w:w="5000" w:type="pct"/>
        <w:tblLayout w:type="fixed"/>
        <w:tblLook w:val="0620" w:firstRow="1" w:lastRow="0" w:firstColumn="0" w:lastColumn="0" w:noHBand="1" w:noVBand="1"/>
      </w:tblPr>
      <w:tblGrid>
        <w:gridCol w:w="1144"/>
        <w:gridCol w:w="2940"/>
        <w:gridCol w:w="3760"/>
        <w:gridCol w:w="818"/>
        <w:gridCol w:w="914"/>
      </w:tblGrid>
      <w:tr w:rsidR="00BA3D04" w:rsidRPr="006C0ED2" w:rsidTr="00D26D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tcW w:w="5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</w:tcPr>
          <w:p w:rsidR="00BA3D04" w:rsidRPr="006C0ED2" w:rsidRDefault="00BA3D04" w:rsidP="00D26DB6">
            <w:pPr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eastAsia="SimSun" w:hAnsi="Times New Roman" w:cs="Times New Roman"/>
                <w:color w:val="000000" w:themeColor="text1"/>
                <w:sz w:val="15"/>
                <w:szCs w:val="15"/>
              </w:rPr>
              <w:t>Pathway ID</w:t>
            </w:r>
          </w:p>
        </w:tc>
        <w:tc>
          <w:tcPr>
            <w:tcW w:w="153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KEGG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class</w:t>
            </w:r>
          </w:p>
        </w:tc>
        <w:tc>
          <w:tcPr>
            <w:tcW w:w="196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Pathway</w:t>
            </w:r>
          </w:p>
        </w:tc>
        <w:tc>
          <w:tcPr>
            <w:tcW w:w="42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color w:val="000000" w:themeColor="text1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 w:hint="eastAsia"/>
                <w:color w:val="000000" w:themeColor="text1"/>
                <w:sz w:val="15"/>
                <w:szCs w:val="15"/>
              </w:rPr>
              <w:t>Count</w:t>
            </w: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  <w:t xml:space="preserve"> p</w:t>
            </w:r>
            <w:r w:rsidRPr="006C0ED2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r w:rsidRPr="006C0ED2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value</w:t>
            </w:r>
          </w:p>
        </w:tc>
      </w:tr>
      <w:tr w:rsidR="00BA3D04" w:rsidRPr="006C0ED2" w:rsidTr="00D26DB6">
        <w:trPr>
          <w:trHeight w:val="245"/>
        </w:trPr>
        <w:tc>
          <w:tcPr>
            <w:tcW w:w="598" w:type="pct"/>
            <w:tcBorders>
              <w:top w:val="single" w:sz="8" w:space="0" w:color="auto"/>
            </w:tcBorders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ko04514</w:t>
            </w:r>
          </w:p>
        </w:tc>
        <w:tc>
          <w:tcPr>
            <w:tcW w:w="1535" w:type="pct"/>
            <w:tcBorders>
              <w:top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Signaling molecules and interaction</w:t>
            </w:r>
          </w:p>
        </w:tc>
        <w:tc>
          <w:tcPr>
            <w:tcW w:w="1963" w:type="pct"/>
            <w:tcBorders>
              <w:top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Cell adhesion molecules (CAMs)</w:t>
            </w:r>
          </w:p>
        </w:tc>
        <w:tc>
          <w:tcPr>
            <w:tcW w:w="427" w:type="pct"/>
            <w:tcBorders>
              <w:top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19</w:t>
            </w:r>
          </w:p>
        </w:tc>
        <w:tc>
          <w:tcPr>
            <w:tcW w:w="47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1.95e-12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ko05322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Systemic lupus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erythematosus</w:t>
            </w:r>
            <w:proofErr w:type="spellEnd"/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12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7.12e-11</w:t>
            </w:r>
          </w:p>
        </w:tc>
      </w:tr>
      <w:tr w:rsidR="00BA3D04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ko04612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Antigen processing and presentation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2.75e-08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ko04640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Hematopoietic cell lineage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4.00e-07</w:t>
            </w:r>
          </w:p>
        </w:tc>
      </w:tr>
      <w:tr w:rsidR="00BA3D04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ko05332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Graft-versus-host disease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1.38e-06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ko05416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Cardiovascular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Viral myocarditis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5.44e-06</w:t>
            </w:r>
          </w:p>
        </w:tc>
      </w:tr>
      <w:tr w:rsidR="00BA3D04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ko04672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Intestinal immune network for IgA production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1.06e-05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ko04145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Transport and catabolism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Phagosome</w:t>
            </w:r>
            <w:proofErr w:type="spellEnd"/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1.12e-05</w:t>
            </w:r>
          </w:p>
        </w:tc>
      </w:tr>
      <w:tr w:rsidR="00BA3D04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ko05150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Staphylococcus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aureus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infection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7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1.17e-05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ko05330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Allograft rejection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3.60e-05</w:t>
            </w:r>
          </w:p>
        </w:tc>
      </w:tr>
      <w:tr w:rsidR="00BA3D04" w:rsidRPr="006C0ED2" w:rsidTr="00D26DB6">
        <w:trPr>
          <w:trHeight w:val="272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Autoimmune thyroid disease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5.99e-05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ko05168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Infectious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Herpes simplex infection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9.74e-05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ko04940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Endocrine and metabolic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Type I diabetes mellitus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0.000104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ko05310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Asthma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0.000252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ko00040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Carbohydrate metabolism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Pentose and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glucuronate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interconversions</w:t>
            </w:r>
            <w:proofErr w:type="spellEnd"/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0.000383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ko05034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Substance dependence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Alcoholism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8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0.000497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ko04015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Signal transduction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Rap1 signaling pathway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0.000662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ko05323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diseases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Rheumatoid arthritis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0.000696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ko04650</w:t>
            </w:r>
          </w:p>
        </w:tc>
        <w:tc>
          <w:tcPr>
            <w:tcW w:w="1535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Immune system</w:t>
            </w:r>
          </w:p>
        </w:tc>
        <w:tc>
          <w:tcPr>
            <w:tcW w:w="1963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Natural killer cell mediated cytotoxicity</w:t>
            </w:r>
          </w:p>
        </w:tc>
        <w:tc>
          <w:tcPr>
            <w:tcW w:w="427" w:type="pct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477" w:type="pct"/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0.001197</w:t>
            </w:r>
          </w:p>
        </w:tc>
      </w:tr>
      <w:tr w:rsidR="00BA3D04" w:rsidRPr="006C0ED2" w:rsidTr="00D26DB6">
        <w:trPr>
          <w:trHeight w:val="281"/>
        </w:trPr>
        <w:tc>
          <w:tcPr>
            <w:tcW w:w="598" w:type="pct"/>
            <w:tcBorders>
              <w:bottom w:val="single" w:sz="8" w:space="0" w:color="auto"/>
            </w:tcBorders>
            <w:noWrap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ko00980</w:t>
            </w:r>
          </w:p>
        </w:tc>
        <w:tc>
          <w:tcPr>
            <w:tcW w:w="1535" w:type="pct"/>
            <w:tcBorders>
              <w:bottom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Xenobiotics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biodegradation and metabolism</w:t>
            </w:r>
          </w:p>
        </w:tc>
        <w:tc>
          <w:tcPr>
            <w:tcW w:w="1963" w:type="pct"/>
            <w:tcBorders>
              <w:bottom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Metabolism of </w:t>
            </w:r>
            <w:proofErr w:type="spellStart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xenobiotics</w:t>
            </w:r>
            <w:proofErr w:type="spellEnd"/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 xml:space="preserve"> by cytochrome P450</w:t>
            </w:r>
          </w:p>
        </w:tc>
        <w:tc>
          <w:tcPr>
            <w:tcW w:w="427" w:type="pct"/>
            <w:tcBorders>
              <w:bottom w:val="single" w:sz="8" w:space="0" w:color="auto"/>
            </w:tcBorders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BA3D04" w:rsidRPr="006C0ED2" w:rsidRDefault="00BA3D04" w:rsidP="00D26DB6">
            <w:pPr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</w:pPr>
            <w:r w:rsidRPr="006C0ED2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0.001407</w:t>
            </w:r>
          </w:p>
        </w:tc>
      </w:tr>
    </w:tbl>
    <w:p w:rsidR="00844054" w:rsidRPr="00BA3D04" w:rsidRDefault="00844054" w:rsidP="00BA3D04">
      <w:bookmarkStart w:id="0" w:name="_GoBack"/>
      <w:bookmarkEnd w:id="0"/>
    </w:p>
    <w:sectPr w:rsidR="00844054" w:rsidRPr="00BA3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CF"/>
    <w:rsid w:val="00093ACB"/>
    <w:rsid w:val="001B5CB1"/>
    <w:rsid w:val="0047021E"/>
    <w:rsid w:val="00482811"/>
    <w:rsid w:val="004C5BCF"/>
    <w:rsid w:val="00542A79"/>
    <w:rsid w:val="00703EA4"/>
    <w:rsid w:val="00814EBA"/>
    <w:rsid w:val="00844054"/>
    <w:rsid w:val="00873760"/>
    <w:rsid w:val="008A7DCF"/>
    <w:rsid w:val="009456BD"/>
    <w:rsid w:val="00BA3D04"/>
    <w:rsid w:val="00CF7B84"/>
    <w:rsid w:val="00EB4541"/>
    <w:rsid w:val="00FE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DCF"/>
    <w:rPr>
      <w:rFonts w:ascii="Tahoma" w:hAnsi="Tahoma" w:cs="Tahoma"/>
      <w:sz w:val="16"/>
      <w:szCs w:val="16"/>
    </w:rPr>
  </w:style>
  <w:style w:type="table" w:styleId="MediumShading2-Accent5">
    <w:name w:val="Medium Shading 2 Accent 5"/>
    <w:basedOn w:val="TableNormal"/>
    <w:uiPriority w:val="64"/>
    <w:rsid w:val="0047021E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1223</Characters>
  <Application>Microsoft Office Word</Application>
  <DocSecurity>0</DocSecurity>
  <Lines>111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2022-03-31T16:29:00Z</dcterms:created>
  <dcterms:modified xsi:type="dcterms:W3CDTF">2022-03-31T16:29:00Z</dcterms:modified>
</cp:coreProperties>
</file>