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C55" w:rsidRPr="00C364BE" w:rsidRDefault="007C0C55" w:rsidP="007C0C55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364BE"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 wp14:anchorId="6D807973" wp14:editId="74C024B0">
            <wp:extent cx="5274310" cy="5274310"/>
            <wp:effectExtent l="0" t="0" r="254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_schem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64BE">
        <w:rPr>
          <w:rFonts w:ascii="Times New Roman" w:hAnsi="Times New Roman" w:cs="Times New Roman"/>
          <w:b/>
          <w:sz w:val="20"/>
          <w:szCs w:val="20"/>
        </w:rPr>
        <w:t>Figure S</w:t>
      </w:r>
      <w:r w:rsidRPr="00C364BE">
        <w:rPr>
          <w:rFonts w:ascii="Times New Roman" w:hAnsi="Times New Roman" w:cs="Times New Roman" w:hint="eastAsia"/>
          <w:b/>
          <w:sz w:val="20"/>
          <w:szCs w:val="20"/>
        </w:rPr>
        <w:t>1</w:t>
      </w:r>
      <w:r w:rsidRPr="00C364BE">
        <w:rPr>
          <w:rFonts w:ascii="Times New Roman" w:hAnsi="Times New Roman" w:cs="Times New Roman"/>
          <w:b/>
          <w:sz w:val="20"/>
          <w:szCs w:val="20"/>
        </w:rPr>
        <w:t>. The detailed schema of data warehousing in MySQL.</w:t>
      </w:r>
      <w:r w:rsidRPr="00C364BE">
        <w:rPr>
          <w:rFonts w:ascii="Times New Roman" w:hAnsi="Times New Roman" w:cs="Times New Roman"/>
          <w:sz w:val="20"/>
          <w:szCs w:val="20"/>
        </w:rPr>
        <w:t xml:space="preserve"> All the data tables including column names are illustrated. The primary keys for linking tables are depicted with black lines.</w:t>
      </w:r>
    </w:p>
    <w:p w:rsidR="007C0C55" w:rsidRPr="00C364BE" w:rsidRDefault="007C0C55" w:rsidP="007C0C55">
      <w:pPr>
        <w:snapToGrid w:val="0"/>
        <w:rPr>
          <w:rFonts w:ascii="Times New Roman" w:hAnsi="Times New Roman" w:cs="Times New Roman"/>
          <w:szCs w:val="24"/>
        </w:rPr>
      </w:pPr>
      <w:r w:rsidRPr="00C364BE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1B219084" wp14:editId="71B1DBFC">
            <wp:extent cx="5274310" cy="4834890"/>
            <wp:effectExtent l="0" t="0" r="2540" b="381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2_Jaccard_index.S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3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C55" w:rsidRPr="00C364BE" w:rsidRDefault="007C0C55" w:rsidP="007C0C55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364BE">
        <w:rPr>
          <w:rFonts w:ascii="Times New Roman" w:hAnsi="Times New Roman" w:cs="Times New Roman"/>
          <w:b/>
          <w:sz w:val="20"/>
          <w:szCs w:val="20"/>
        </w:rPr>
        <w:t>Figure S</w:t>
      </w:r>
      <w:r w:rsidRPr="00C364BE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Pr="00C364BE">
        <w:rPr>
          <w:rFonts w:ascii="Times New Roman" w:hAnsi="Times New Roman" w:cs="Times New Roman"/>
          <w:b/>
          <w:sz w:val="20"/>
          <w:szCs w:val="20"/>
        </w:rPr>
        <w:t xml:space="preserve">. The comparison of sample similarity in skipped exon (SE). </w:t>
      </w:r>
      <w:r w:rsidRPr="00C364BE">
        <w:rPr>
          <w:rFonts w:ascii="Times New Roman" w:hAnsi="Times New Roman" w:cs="Times New Roman"/>
          <w:sz w:val="20"/>
          <w:szCs w:val="20"/>
        </w:rPr>
        <w:t xml:space="preserve">The Jaccard coefficient index is pair-wisely computed to present the enhancer-AS similarity or overlapping between different samples. The number of enhancer-AS events which have identical enhancer present/absent calling and the same inclusive/exclusive AS shift are calculated, and then divided by the total enhancer-AS events to compute </w:t>
      </w:r>
      <w:r w:rsidRPr="00C364BE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Pr="00C364BE">
        <w:rPr>
          <w:rFonts w:ascii="Times New Roman" w:hAnsi="Times New Roman" w:cs="Times New Roman"/>
          <w:sz w:val="20"/>
          <w:szCs w:val="20"/>
        </w:rPr>
        <w:t>Jaccard coefficient index</w:t>
      </w:r>
      <w:r w:rsidRPr="00C364BE"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Pr="00C364BE">
        <w:rPr>
          <w:rFonts w:ascii="Times New Roman" w:hAnsi="Times New Roman" w:cs="Times New Roman"/>
          <w:sz w:val="20"/>
          <w:szCs w:val="20"/>
        </w:rPr>
        <w:t xml:space="preserve">The result shows that the enhancer-AS events are different between tissues </w:t>
      </w:r>
      <w:r w:rsidRPr="00C364BE">
        <w:rPr>
          <w:rFonts w:ascii="Times New Roman" w:hAnsi="Times New Roman" w:cs="Times New Roman" w:hint="eastAsia"/>
          <w:sz w:val="20"/>
          <w:szCs w:val="20"/>
        </w:rPr>
        <w:t xml:space="preserve">but </w:t>
      </w:r>
      <w:r w:rsidRPr="00C364BE">
        <w:rPr>
          <w:rFonts w:ascii="Times New Roman" w:hAnsi="Times New Roman" w:cs="Times New Roman"/>
          <w:sz w:val="20"/>
          <w:szCs w:val="20"/>
        </w:rPr>
        <w:t>quite similar within the triplicated samples under the same tissue type</w:t>
      </w:r>
      <w:r w:rsidRPr="00C364BE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C364BE">
        <w:rPr>
          <w:rFonts w:ascii="Times New Roman" w:hAnsi="Times New Roman" w:cs="Times New Roman"/>
          <w:sz w:val="20"/>
          <w:szCs w:val="20"/>
        </w:rPr>
        <w:t>except fetal stomach SRR980482 which has the lowest Jaccard index score comparing to the other two fetal stomach samples.</w:t>
      </w:r>
    </w:p>
    <w:p w:rsidR="007C0C55" w:rsidRPr="00C364BE" w:rsidRDefault="007C0C55" w:rsidP="007C0C55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:rsidR="007C0C55" w:rsidRPr="00C364BE" w:rsidRDefault="007C0C55">
      <w:pPr>
        <w:widowControl/>
        <w:rPr>
          <w:rFonts w:ascii="Times New Roman" w:hAnsi="Times New Roman" w:cs="Times New Roman"/>
          <w:b/>
          <w:szCs w:val="24"/>
        </w:rPr>
      </w:pPr>
      <w:r w:rsidRPr="00C364BE">
        <w:rPr>
          <w:rFonts w:ascii="Times New Roman" w:hAnsi="Times New Roman" w:cs="Times New Roman"/>
          <w:b/>
          <w:szCs w:val="24"/>
        </w:rPr>
        <w:br w:type="page"/>
      </w:r>
    </w:p>
    <w:p w:rsidR="007C0C55" w:rsidRPr="00C364BE" w:rsidRDefault="007C0C55" w:rsidP="007C0C55">
      <w:pPr>
        <w:snapToGrid w:val="0"/>
        <w:jc w:val="both"/>
        <w:rPr>
          <w:rFonts w:ascii="Times New Roman" w:hAnsi="Times New Roman" w:cs="Times New Roman"/>
          <w:szCs w:val="24"/>
        </w:rPr>
      </w:pPr>
      <w:bookmarkStart w:id="0" w:name="_GoBack"/>
      <w:r w:rsidRPr="00C364BE">
        <w:rPr>
          <w:rFonts w:ascii="Times New Roman" w:hAnsi="Times New Roman" w:cs="Times New Roman"/>
          <w:b/>
          <w:noProof/>
          <w:szCs w:val="24"/>
        </w:rPr>
        <w:lastRenderedPageBreak/>
        <w:drawing>
          <wp:inline distT="0" distB="0" distL="0" distR="0" wp14:anchorId="1C51C4FE" wp14:editId="07FF0CCF">
            <wp:extent cx="5255942" cy="3437942"/>
            <wp:effectExtent l="0" t="0" r="190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207" cy="3442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Pr="00C364BE">
        <w:rPr>
          <w:rFonts w:ascii="Times New Roman" w:hAnsi="Times New Roman" w:cs="Times New Roman"/>
          <w:b/>
          <w:sz w:val="20"/>
          <w:szCs w:val="20"/>
        </w:rPr>
        <w:t>Figure S3. The association relationships in human and mouse.</w:t>
      </w:r>
      <w:r w:rsidRPr="00C364BE">
        <w:rPr>
          <w:rFonts w:ascii="Times New Roman" w:hAnsi="Times New Roman" w:cs="Times New Roman"/>
          <w:sz w:val="20"/>
          <w:szCs w:val="20"/>
        </w:rPr>
        <w:t xml:space="preserve"> The boxplot of enhancer per gene in (A) human and (B) mouse. In the x-axis, “N” denotes all the genes having at least one gene-enhancer pairs and passing our filtering criteria mentioned in methodology. “S” means the genes having significant enhancer-AS associations. The boxplot of genes per enhancer in (C) human and (D) mouse. “N” represents all the enhancers having at least one gene-enhancer pairs and passing our filtering criteria. “S” denotes the enhancers having significant enhancer-AS associations.</w:t>
      </w:r>
    </w:p>
    <w:p w:rsidR="00DA2B7F" w:rsidRPr="00C364BE" w:rsidRDefault="00DA2B7F"/>
    <w:sectPr w:rsidR="00DA2B7F" w:rsidRPr="00C364BE" w:rsidSect="00F8163F">
      <w:footerReference w:type="default" r:id="rId9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61B" w:rsidRDefault="008F461B">
      <w:r>
        <w:separator/>
      </w:r>
    </w:p>
  </w:endnote>
  <w:endnote w:type="continuationSeparator" w:id="0">
    <w:p w:rsidR="008F461B" w:rsidRDefault="008F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4115401"/>
      <w:docPartObj>
        <w:docPartGallery w:val="Page Numbers (Bottom of Page)"/>
        <w:docPartUnique/>
      </w:docPartObj>
    </w:sdtPr>
    <w:sdtEndPr/>
    <w:sdtContent>
      <w:p w:rsidR="00892308" w:rsidRDefault="002F3CA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F3CA3">
          <w:rPr>
            <w:noProof/>
            <w:lang w:val="zh-TW"/>
          </w:rPr>
          <w:t>3</w:t>
        </w:r>
        <w:r>
          <w:fldChar w:fldCharType="end"/>
        </w:r>
      </w:p>
    </w:sdtContent>
  </w:sdt>
  <w:p w:rsidR="00892308" w:rsidRDefault="008F46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61B" w:rsidRDefault="008F461B">
      <w:r>
        <w:separator/>
      </w:r>
    </w:p>
  </w:footnote>
  <w:footnote w:type="continuationSeparator" w:id="0">
    <w:p w:rsidR="008F461B" w:rsidRDefault="008F4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C55"/>
    <w:rsid w:val="000F5A61"/>
    <w:rsid w:val="002F3CA3"/>
    <w:rsid w:val="007C0C55"/>
    <w:rsid w:val="008F461B"/>
    <w:rsid w:val="00C364BE"/>
    <w:rsid w:val="00DA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8BAF3B-795F-F341-B7E6-FD025C66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C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C0C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C0C55"/>
    <w:rPr>
      <w:sz w:val="20"/>
      <w:szCs w:val="20"/>
    </w:rPr>
  </w:style>
  <w:style w:type="character" w:styleId="a5">
    <w:name w:val="line number"/>
    <w:basedOn w:val="a0"/>
    <w:uiPriority w:val="99"/>
    <w:semiHidden/>
    <w:unhideWhenUsed/>
    <w:rsid w:val="007C0C55"/>
  </w:style>
  <w:style w:type="paragraph" w:styleId="a6">
    <w:name w:val="Balloon Text"/>
    <w:basedOn w:val="a"/>
    <w:link w:val="a7"/>
    <w:uiPriority w:val="99"/>
    <w:semiHidden/>
    <w:unhideWhenUsed/>
    <w:rsid w:val="007C0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C0C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hktsai</dc:creator>
  <cp:lastModifiedBy>HK Tsai</cp:lastModifiedBy>
  <cp:revision>4</cp:revision>
  <dcterms:created xsi:type="dcterms:W3CDTF">2021-01-06T10:21:00Z</dcterms:created>
  <dcterms:modified xsi:type="dcterms:W3CDTF">2021-05-28T03:37:00Z</dcterms:modified>
</cp:coreProperties>
</file>