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0B808" w14:textId="165836BE" w:rsidR="00811669" w:rsidRDefault="006B6ECD">
      <w:pPr>
        <w:rPr>
          <w:b/>
          <w:bCs/>
        </w:rPr>
      </w:pPr>
      <w:r w:rsidRPr="006B6ECD">
        <w:rPr>
          <w:b/>
          <w:bCs/>
        </w:rPr>
        <w:t xml:space="preserve">Supplementary Figures </w:t>
      </w:r>
    </w:p>
    <w:p w14:paraId="5138CF38" w14:textId="0B727A07" w:rsidR="006B6ECD" w:rsidRDefault="006B6ECD">
      <w:pPr>
        <w:rPr>
          <w:b/>
          <w:bCs/>
        </w:rPr>
      </w:pPr>
    </w:p>
    <w:p w14:paraId="05BB6AFF" w14:textId="77777777" w:rsidR="006B6ECD" w:rsidRDefault="006B6ECD">
      <w:pPr>
        <w:rPr>
          <w:b/>
          <w:bCs/>
        </w:rPr>
      </w:pPr>
    </w:p>
    <w:p w14:paraId="41C01A7C" w14:textId="6A6E5563" w:rsidR="006B6ECD" w:rsidRDefault="006B6EC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AC02171" wp14:editId="15F04720">
            <wp:extent cx="5041900" cy="3822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21EBFD" w14:textId="77777777" w:rsidR="006B6ECD" w:rsidRPr="006B6ECD" w:rsidRDefault="006B6ECD" w:rsidP="006B6ECD">
      <w:pPr>
        <w:spacing w:line="480" w:lineRule="auto"/>
        <w:rPr>
          <w:rFonts w:ascii="Arial" w:hAnsi="Arial" w:cs="Arial"/>
        </w:rPr>
      </w:pPr>
      <w:r w:rsidRPr="006B6ECD">
        <w:rPr>
          <w:rFonts w:ascii="Arial" w:hAnsi="Arial" w:cs="Arial"/>
        </w:rPr>
        <w:t>Suppl. Figure 1. The average depth of coverage obtained after SARS-CoV-2 sequencing using the four different random priming methods coupled with next-generation sequencing. The virus was 10-fold serially diluted (from 2.3 x10^6 pfu/mL, mark as “0” on x axis).</w:t>
      </w:r>
    </w:p>
    <w:p w14:paraId="25CEA556" w14:textId="73666A47" w:rsidR="006B6ECD" w:rsidRDefault="00D7335C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B081716" wp14:editId="0FDFD93C">
            <wp:extent cx="5731510" cy="35217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37E9A" w14:textId="77777777" w:rsidR="006B6ECD" w:rsidRPr="006B6ECD" w:rsidRDefault="006B6ECD" w:rsidP="006B6ECD">
      <w:pPr>
        <w:spacing w:line="480" w:lineRule="auto"/>
        <w:rPr>
          <w:rFonts w:ascii="Arial" w:hAnsi="Arial" w:cs="Arial"/>
        </w:rPr>
      </w:pPr>
      <w:r w:rsidRPr="006B6ECD">
        <w:rPr>
          <w:rFonts w:ascii="Arial" w:hAnsi="Arial" w:cs="Arial"/>
        </w:rPr>
        <w:t xml:space="preserve">Suppl. Figure 2.  Read distributions aligning to SARS-CoV-2 viral genome following Sequence-Independent, Single-Primer Amplification (SISPA) coupled with </w:t>
      </w:r>
      <w:proofErr w:type="spellStart"/>
      <w:r w:rsidRPr="006B6ECD">
        <w:rPr>
          <w:rFonts w:ascii="Arial" w:hAnsi="Arial" w:cs="Arial"/>
        </w:rPr>
        <w:t>Miseq</w:t>
      </w:r>
      <w:proofErr w:type="spellEnd"/>
      <w:r w:rsidRPr="006B6ECD">
        <w:rPr>
          <w:rFonts w:ascii="Arial" w:hAnsi="Arial" w:cs="Arial"/>
        </w:rPr>
        <w:t xml:space="preserve"> </w:t>
      </w:r>
      <w:proofErr w:type="spellStart"/>
      <w:r w:rsidRPr="006B6ECD">
        <w:rPr>
          <w:rFonts w:ascii="Arial" w:hAnsi="Arial" w:cs="Arial"/>
        </w:rPr>
        <w:t>Ilumina</w:t>
      </w:r>
      <w:proofErr w:type="spellEnd"/>
      <w:r w:rsidRPr="006B6ECD">
        <w:rPr>
          <w:rFonts w:ascii="Arial" w:hAnsi="Arial" w:cs="Arial"/>
        </w:rPr>
        <w:t xml:space="preserve"> sequencing. SARS-CoV-2 virus was 10-fold serially diluted, starting from viral load of 2.3 x 10</w:t>
      </w:r>
      <w:r w:rsidRPr="006B6ECD">
        <w:rPr>
          <w:rFonts w:ascii="Arial" w:hAnsi="Arial" w:cs="Arial"/>
          <w:vertAlign w:val="superscript"/>
        </w:rPr>
        <w:t>6</w:t>
      </w:r>
      <w:r w:rsidRPr="006B6ECD">
        <w:rPr>
          <w:rFonts w:ascii="Arial" w:hAnsi="Arial" w:cs="Arial"/>
        </w:rPr>
        <w:t xml:space="preserve"> pfu/mL (S0), 2.3 x 10</w:t>
      </w:r>
      <w:r w:rsidRPr="006B6ECD">
        <w:rPr>
          <w:rFonts w:ascii="Arial" w:hAnsi="Arial" w:cs="Arial"/>
          <w:vertAlign w:val="superscript"/>
        </w:rPr>
        <w:t>5</w:t>
      </w:r>
      <w:r w:rsidRPr="006B6ECD">
        <w:rPr>
          <w:rFonts w:ascii="Arial" w:hAnsi="Arial" w:cs="Arial"/>
        </w:rPr>
        <w:t xml:space="preserve"> pfu/mL (S1), 2.3 x 10</w:t>
      </w:r>
      <w:r w:rsidRPr="006B6ECD">
        <w:rPr>
          <w:rFonts w:ascii="Arial" w:hAnsi="Arial" w:cs="Arial"/>
          <w:vertAlign w:val="superscript"/>
        </w:rPr>
        <w:t>4</w:t>
      </w:r>
      <w:r w:rsidRPr="006B6ECD">
        <w:rPr>
          <w:rFonts w:ascii="Arial" w:hAnsi="Arial" w:cs="Arial"/>
        </w:rPr>
        <w:t xml:space="preserve"> pfu/mL (S2), etc. </w:t>
      </w:r>
      <w:bookmarkStart w:id="0" w:name="_Hlk74136889"/>
      <w:r w:rsidRPr="006B6ECD">
        <w:rPr>
          <w:rFonts w:ascii="Arial" w:hAnsi="Arial" w:cs="Arial"/>
        </w:rPr>
        <w:t xml:space="preserve">Number of reads at each genome position is plotted. </w:t>
      </w:r>
    </w:p>
    <w:bookmarkEnd w:id="0"/>
    <w:p w14:paraId="772AED1D" w14:textId="77777777" w:rsidR="006B6ECD" w:rsidRDefault="006B6ECD">
      <w:pPr>
        <w:rPr>
          <w:b/>
          <w:bCs/>
        </w:rPr>
      </w:pPr>
    </w:p>
    <w:p w14:paraId="54C0E69B" w14:textId="77777777" w:rsidR="006B6ECD" w:rsidRPr="006B6ECD" w:rsidRDefault="006B6ECD">
      <w:pPr>
        <w:rPr>
          <w:b/>
          <w:bCs/>
        </w:rPr>
      </w:pPr>
    </w:p>
    <w:sectPr w:rsidR="006B6ECD" w:rsidRPr="006B6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CD"/>
    <w:rsid w:val="006B6ECD"/>
    <w:rsid w:val="00811669"/>
    <w:rsid w:val="00D7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19D00"/>
  <w15:chartTrackingRefBased/>
  <w15:docId w15:val="{A10920A5-9CDA-4CD3-9C57-D3DFA19D6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Shelton</dc:creator>
  <cp:keywords/>
  <dc:description/>
  <cp:lastModifiedBy>Holly Shelton</cp:lastModifiedBy>
  <cp:revision>2</cp:revision>
  <dcterms:created xsi:type="dcterms:W3CDTF">2021-06-24T10:11:00Z</dcterms:created>
  <dcterms:modified xsi:type="dcterms:W3CDTF">2021-06-24T13:18:00Z</dcterms:modified>
</cp:coreProperties>
</file>