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FCA" w:rsidRPr="00D20FCA" w:rsidRDefault="00D20FCA">
      <w:pPr>
        <w:rPr>
          <w:lang w:val="en-US"/>
        </w:rPr>
      </w:pPr>
      <w:r w:rsidRPr="00D20FCA">
        <w:rPr>
          <w:noProof/>
          <w:lang w:val="en-US"/>
        </w:rPr>
        <w:drawing>
          <wp:inline distT="0" distB="0" distL="0" distR="0">
            <wp:extent cx="5396230" cy="4777740"/>
            <wp:effectExtent l="0" t="0" r="127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 15 - Figure S7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77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0B1" w:rsidRDefault="00C250B1" w:rsidP="00D20FCA">
      <w:pPr>
        <w:spacing w:line="480" w:lineRule="auto"/>
        <w:jc w:val="both"/>
        <w:rPr>
          <w:rFonts w:ascii="Arial" w:hAnsi="Arial" w:cs="Arial"/>
          <w:b/>
          <w:color w:val="000000" w:themeColor="text1"/>
          <w:sz w:val="21"/>
          <w:lang w:val="en-US"/>
        </w:rPr>
      </w:pPr>
    </w:p>
    <w:p w:rsidR="00DD660C" w:rsidRDefault="00C250B1" w:rsidP="00D20FCA">
      <w:pPr>
        <w:spacing w:line="480" w:lineRule="auto"/>
        <w:jc w:val="both"/>
        <w:rPr>
          <w:rFonts w:ascii="Arial" w:hAnsi="Arial" w:cs="Arial"/>
          <w:b/>
          <w:color w:val="000000" w:themeColor="text1"/>
          <w:sz w:val="21"/>
          <w:lang w:val="en-US"/>
        </w:rPr>
      </w:pPr>
      <w:r>
        <w:rPr>
          <w:rFonts w:ascii="Arial" w:hAnsi="Arial" w:cs="Arial"/>
          <w:b/>
          <w:color w:val="000000" w:themeColor="text1"/>
          <w:sz w:val="21"/>
          <w:lang w:val="en-US"/>
        </w:rPr>
        <w:t>Additional file 15: Figure S7</w:t>
      </w:r>
      <w:r w:rsidR="002F4E96">
        <w:rPr>
          <w:rFonts w:ascii="Arial" w:hAnsi="Arial" w:cs="Arial"/>
          <w:b/>
          <w:color w:val="000000" w:themeColor="text1"/>
          <w:sz w:val="21"/>
          <w:lang w:val="en-US"/>
        </w:rPr>
        <w:t>.</w:t>
      </w:r>
      <w:bookmarkStart w:id="0" w:name="_GoBack"/>
      <w:bookmarkEnd w:id="0"/>
      <w:r w:rsidR="00DD660C">
        <w:rPr>
          <w:rFonts w:ascii="Arial" w:hAnsi="Arial" w:cs="Arial"/>
          <w:b/>
          <w:color w:val="000000" w:themeColor="text1"/>
          <w:sz w:val="21"/>
          <w:lang w:val="en-US"/>
        </w:rPr>
        <w:t xml:space="preserve"> </w:t>
      </w:r>
      <w:r w:rsidR="00D20FCA" w:rsidRPr="00D20FCA">
        <w:rPr>
          <w:rFonts w:ascii="Arial" w:hAnsi="Arial" w:cs="Arial"/>
          <w:b/>
          <w:color w:val="000000" w:themeColor="text1"/>
          <w:sz w:val="21"/>
          <w:lang w:val="en-US"/>
        </w:rPr>
        <w:t xml:space="preserve">Constitutive differences between the resistant and susceptible genotypes viewed through heat maps of DEGs distribution across pathways (pathway fingerprint). </w:t>
      </w:r>
    </w:p>
    <w:p w:rsidR="00D20FCA" w:rsidRPr="00DD660C" w:rsidRDefault="00D20FCA" w:rsidP="00D20FCA">
      <w:pPr>
        <w:spacing w:line="480" w:lineRule="auto"/>
        <w:jc w:val="both"/>
        <w:rPr>
          <w:rFonts w:ascii="Arial" w:hAnsi="Arial" w:cs="Arial"/>
          <w:b/>
          <w:color w:val="000000" w:themeColor="text1"/>
          <w:sz w:val="21"/>
          <w:lang w:val="en-US"/>
        </w:rPr>
      </w:pPr>
      <w:r w:rsidRPr="00D20FCA">
        <w:rPr>
          <w:rFonts w:ascii="Arial" w:hAnsi="Arial" w:cs="Arial"/>
          <w:color w:val="000000" w:themeColor="text1"/>
          <w:sz w:val="21"/>
          <w:lang w:val="en-US"/>
        </w:rPr>
        <w:t xml:space="preserve">(a) DEGs distribution across pathways for all independent contrasts between PRA-R NS needles and susceptible genotypes NS needles (PRA-R NS vs. PRA-A NS, PRA-R NS vs. PRA-B NS and PRA-R NS vs. PRA-D NS), grouped together with the subset of 706 shared transcripts (PRA-R NS vs. PRA-A/B/C NS) for both under and over-expressed DEGs. (b) Among the shared DEGs, we found a set of DEGs coding for enzymes previously proposed to be involved in plant </w:t>
      </w:r>
      <w:proofErr w:type="spellStart"/>
      <w:r w:rsidRPr="00D20FCA">
        <w:rPr>
          <w:rFonts w:ascii="Arial" w:hAnsi="Arial" w:cs="Arial"/>
          <w:color w:val="000000" w:themeColor="text1"/>
          <w:sz w:val="21"/>
          <w:lang w:val="en-US"/>
        </w:rPr>
        <w:t>defence</w:t>
      </w:r>
      <w:proofErr w:type="spellEnd"/>
      <w:r w:rsidRPr="00D20FCA">
        <w:rPr>
          <w:rFonts w:ascii="Arial" w:hAnsi="Arial" w:cs="Arial"/>
          <w:color w:val="000000" w:themeColor="text1"/>
          <w:sz w:val="21"/>
          <w:lang w:val="en-US"/>
        </w:rPr>
        <w:t xml:space="preserve"> pathways (Trujillo-Moya et al. 2020), marked with a green dot. The number of enzymes-encoding genes found within each pathway is indicated using a </w:t>
      </w:r>
      <w:proofErr w:type="spellStart"/>
      <w:r w:rsidRPr="00D20FCA">
        <w:rPr>
          <w:rFonts w:ascii="Arial" w:hAnsi="Arial" w:cs="Arial"/>
          <w:color w:val="000000" w:themeColor="text1"/>
          <w:sz w:val="21"/>
          <w:lang w:val="en-US"/>
        </w:rPr>
        <w:t>colour</w:t>
      </w:r>
      <w:proofErr w:type="spellEnd"/>
      <w:r w:rsidRPr="00D20FCA">
        <w:rPr>
          <w:rFonts w:ascii="Arial" w:hAnsi="Arial" w:cs="Arial"/>
          <w:color w:val="000000" w:themeColor="text1"/>
          <w:sz w:val="21"/>
          <w:lang w:val="en-US"/>
        </w:rPr>
        <w:t xml:space="preserve"> scale from light yellow (0) to dark red </w:t>
      </w:r>
      <w:proofErr w:type="spellStart"/>
      <w:r w:rsidRPr="00D20FCA">
        <w:rPr>
          <w:rFonts w:ascii="Arial" w:hAnsi="Arial" w:cs="Arial"/>
          <w:color w:val="000000" w:themeColor="text1"/>
          <w:sz w:val="21"/>
          <w:lang w:val="en-US"/>
        </w:rPr>
        <w:t>colour</w:t>
      </w:r>
      <w:proofErr w:type="spellEnd"/>
      <w:r w:rsidRPr="00D20FCA">
        <w:rPr>
          <w:rFonts w:ascii="Arial" w:hAnsi="Arial" w:cs="Arial"/>
          <w:color w:val="000000" w:themeColor="text1"/>
          <w:sz w:val="21"/>
          <w:lang w:val="en-US"/>
        </w:rPr>
        <w:t xml:space="preserve"> (22 for “a” and 5 for “b”).</w:t>
      </w:r>
    </w:p>
    <w:sectPr w:rsidR="00D20FCA" w:rsidRPr="00DD660C" w:rsidSect="00E0052C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FCA"/>
    <w:rsid w:val="002F4E96"/>
    <w:rsid w:val="00C250B1"/>
    <w:rsid w:val="00D20FCA"/>
    <w:rsid w:val="00DD660C"/>
    <w:rsid w:val="00E0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4D172DD"/>
  <w15:chartTrackingRefBased/>
  <w15:docId w15:val="{E6BE9D95-9C73-5B40-AE4A-1436A4411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740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4</cp:revision>
  <dcterms:created xsi:type="dcterms:W3CDTF">2022-03-09T16:38:00Z</dcterms:created>
  <dcterms:modified xsi:type="dcterms:W3CDTF">2022-03-09T16:46:00Z</dcterms:modified>
</cp:coreProperties>
</file>