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19B71" w14:textId="0CAB8F78" w:rsidR="00A07E4D" w:rsidRDefault="00A07E4D">
      <w:r>
        <w:rPr>
          <w:noProof/>
        </w:rPr>
        <w:drawing>
          <wp:inline distT="0" distB="0" distL="0" distR="0" wp14:anchorId="37AD8F5A" wp14:editId="2094EF43">
            <wp:extent cx="8229600" cy="2179320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BB5ED" w14:textId="1DA14165" w:rsidR="00A07E4D" w:rsidRDefault="00A07E4D"/>
    <w:p w14:paraId="6A7DD163" w14:textId="6D86491D" w:rsidR="00A07E4D" w:rsidRPr="00A07E4D" w:rsidRDefault="00A07E4D" w:rsidP="00A07E4D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A07E4D">
        <w:rPr>
          <w:rFonts w:ascii="Arial" w:hAnsi="Arial" w:cs="Arial"/>
          <w:b/>
          <w:bCs/>
          <w:color w:val="000000" w:themeColor="text1"/>
          <w:sz w:val="20"/>
          <w:szCs w:val="20"/>
        </w:rPr>
        <w:t>Additional file 2</w:t>
      </w:r>
      <w:r w:rsidR="00293F9E" w:rsidRPr="00293F9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2</w:t>
      </w:r>
      <w:r w:rsidRPr="00A07E4D">
        <w:rPr>
          <w:rFonts w:ascii="Arial" w:hAnsi="Arial" w:cs="Arial"/>
          <w:b/>
          <w:bCs/>
          <w:color w:val="000000" w:themeColor="text1"/>
          <w:sz w:val="20"/>
          <w:szCs w:val="20"/>
        </w:rPr>
        <w:t>: Figure S</w:t>
      </w:r>
      <w:r w:rsidR="00293F9E"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  <w:t>9</w:t>
      </w:r>
      <w:bookmarkStart w:id="0" w:name="_GoBack"/>
      <w:bookmarkEnd w:id="0"/>
      <w:r w:rsidRPr="00A07E4D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.</w:t>
      </w:r>
      <w:r w:rsidRPr="00A07E4D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A07E4D">
        <w:rPr>
          <w:rFonts w:ascii="Arial" w:hAnsi="Arial" w:cs="Arial"/>
          <w:b/>
          <w:sz w:val="20"/>
          <w:szCs w:val="20"/>
        </w:rPr>
        <w:t>Principal component analysis (PCA) of terpene contents over time.</w:t>
      </w:r>
    </w:p>
    <w:p w14:paraId="2A4E0FA0" w14:textId="77777777" w:rsidR="00A07E4D" w:rsidRPr="00A07E4D" w:rsidRDefault="00A07E4D" w:rsidP="00A07E4D">
      <w:pPr>
        <w:spacing w:after="120"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07E4D">
        <w:rPr>
          <w:rFonts w:ascii="Arial" w:hAnsi="Arial" w:cs="Arial"/>
          <w:color w:val="000000" w:themeColor="text1"/>
          <w:sz w:val="20"/>
          <w:szCs w:val="20"/>
        </w:rPr>
        <w:t>Note how the first component (PC1) separates the resistant genotype PRA-R from the susceptible genotypes PRA-A, PRA-B and PRA-D at 7 dpi, and how PRA-A becomes more similar to PRA-R with time.</w:t>
      </w:r>
    </w:p>
    <w:p w14:paraId="5E16C345" w14:textId="77777777" w:rsidR="00A07E4D" w:rsidRPr="00A07E4D" w:rsidRDefault="00A07E4D" w:rsidP="00A07E4D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4E569423" w14:textId="77777777" w:rsidR="00A07E4D" w:rsidRDefault="00A07E4D"/>
    <w:sectPr w:rsidR="00A07E4D" w:rsidSect="00A07E4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4D"/>
    <w:rsid w:val="00293F9E"/>
    <w:rsid w:val="00A0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097A5"/>
  <w15:chartTrackingRefBased/>
  <w15:docId w15:val="{D1C7232D-7396-0049-B6AA-0941A528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250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Trujillo-Moya</dc:creator>
  <cp:keywords/>
  <dc:description/>
  <cp:lastModifiedBy>Usuario de Microsoft Office</cp:lastModifiedBy>
  <cp:revision>2</cp:revision>
  <dcterms:created xsi:type="dcterms:W3CDTF">2021-11-29T19:34:00Z</dcterms:created>
  <dcterms:modified xsi:type="dcterms:W3CDTF">2022-03-09T17:01:00Z</dcterms:modified>
</cp:coreProperties>
</file>