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11758" w14:textId="20CDFD9E" w:rsidR="00013964" w:rsidRDefault="00013964" w:rsidP="00013964">
      <w:pPr>
        <w:jc w:val="center"/>
      </w:pPr>
      <w:r>
        <w:rPr>
          <w:noProof/>
        </w:rPr>
        <w:drawing>
          <wp:inline distT="0" distB="0" distL="0" distR="0" wp14:anchorId="76BB4666" wp14:editId="57FAE998">
            <wp:extent cx="3650874" cy="645422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0874" cy="645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74FB9" w14:textId="17853D3A" w:rsidR="00013964" w:rsidRPr="009A7B90" w:rsidRDefault="00013964">
      <w:pPr>
        <w:rPr>
          <w:b/>
          <w:bCs/>
        </w:rPr>
      </w:pPr>
    </w:p>
    <w:p w14:paraId="2B1A5865" w14:textId="77777777" w:rsidR="00E03314" w:rsidRDefault="00013964" w:rsidP="00290FE2">
      <w:pPr>
        <w:spacing w:after="120"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C522CD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Additional file 5: Figure S2.</w:t>
      </w:r>
      <w:r w:rsidRPr="001862F6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C522CD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Numbers and proportion of differentially expressed genes</w:t>
      </w:r>
      <w:r w:rsidR="00C522CD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.</w:t>
      </w:r>
      <w:r w:rsidR="00E03314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</w:p>
    <w:p w14:paraId="6D8AA61F" w14:textId="01D38823" w:rsidR="00013964" w:rsidRPr="001862F6" w:rsidRDefault="00013964" w:rsidP="00290FE2">
      <w:pPr>
        <w:spacing w:after="120"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bookmarkStart w:id="0" w:name="_GoBack"/>
      <w:bookmarkEnd w:id="0"/>
      <w:r w:rsidRPr="00C522CD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(a)</w:t>
      </w:r>
      <w:r w:rsidRPr="00C522CD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  <w:r w:rsidRPr="00C522CD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Absolute numbers (b) and proportions of over- and under-expressed genes of symptomatic (S) vs. </w:t>
      </w:r>
      <w:r w:rsidRPr="00C522CD">
        <w:rPr>
          <w:rFonts w:ascii="Arial" w:hAnsi="Arial" w:cs="Arial"/>
          <w:sz w:val="22"/>
          <w:szCs w:val="22"/>
          <w:lang w:val="en-US"/>
        </w:rPr>
        <w:t xml:space="preserve">non-symptomatic needles (NS) for all genotypes (PRA-R, PRA-A, PRA-B and PRA-D) and the contrast between NS needles of PRA-R vs. NS needles of all susceptible genotypes (Rn vs. An, Rn vs. </w:t>
      </w:r>
      <w:proofErr w:type="spellStart"/>
      <w:r w:rsidRPr="00C522CD">
        <w:rPr>
          <w:rFonts w:ascii="Arial" w:hAnsi="Arial" w:cs="Arial"/>
          <w:sz w:val="22"/>
          <w:szCs w:val="22"/>
          <w:lang w:val="en-US"/>
        </w:rPr>
        <w:t>Bn</w:t>
      </w:r>
      <w:proofErr w:type="spellEnd"/>
      <w:r w:rsidRPr="00C522CD">
        <w:rPr>
          <w:rFonts w:ascii="Arial" w:hAnsi="Arial" w:cs="Arial"/>
          <w:sz w:val="22"/>
          <w:szCs w:val="22"/>
          <w:lang w:val="en-US"/>
        </w:rPr>
        <w:t xml:space="preserve">, Rn vs. </w:t>
      </w:r>
      <w:proofErr w:type="spellStart"/>
      <w:r w:rsidRPr="00C522CD">
        <w:rPr>
          <w:rFonts w:ascii="Arial" w:hAnsi="Arial" w:cs="Arial"/>
          <w:sz w:val="22"/>
          <w:szCs w:val="22"/>
          <w:lang w:val="en-US"/>
        </w:rPr>
        <w:t>Dn</w:t>
      </w:r>
      <w:proofErr w:type="spellEnd"/>
      <w:r w:rsidRPr="00C522CD">
        <w:rPr>
          <w:rFonts w:ascii="Arial" w:hAnsi="Arial" w:cs="Arial"/>
          <w:sz w:val="22"/>
          <w:szCs w:val="22"/>
          <w:lang w:val="en-US"/>
        </w:rPr>
        <w:t>).</w:t>
      </w:r>
    </w:p>
    <w:sectPr w:rsidR="00013964" w:rsidRPr="001862F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64"/>
    <w:rsid w:val="00013964"/>
    <w:rsid w:val="001862F6"/>
    <w:rsid w:val="00290FE2"/>
    <w:rsid w:val="004C1D14"/>
    <w:rsid w:val="009A7B90"/>
    <w:rsid w:val="00C522CD"/>
    <w:rsid w:val="00E0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643E7B3"/>
  <w15:chartTrackingRefBased/>
  <w15:docId w15:val="{BC64510F-CDA2-5F42-A6EA-2991526B1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334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Trujillo-Moya</dc:creator>
  <cp:keywords/>
  <dc:description/>
  <cp:lastModifiedBy>Usuario de Microsoft Office</cp:lastModifiedBy>
  <cp:revision>7</cp:revision>
  <dcterms:created xsi:type="dcterms:W3CDTF">2021-11-29T18:33:00Z</dcterms:created>
  <dcterms:modified xsi:type="dcterms:W3CDTF">2022-03-09T16:47:00Z</dcterms:modified>
</cp:coreProperties>
</file>