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1CA1FA" w14:textId="5B1E7E4A" w:rsidR="00F92C04" w:rsidRPr="00F92C04" w:rsidRDefault="00F92C04" w:rsidP="00B7190B">
      <w:pPr>
        <w:spacing w:after="0"/>
        <w:rPr>
          <w:b/>
          <w:bCs/>
          <w:sz w:val="28"/>
          <w:szCs w:val="28"/>
        </w:rPr>
      </w:pPr>
      <w:r w:rsidRPr="00F92C04">
        <w:rPr>
          <w:b/>
          <w:bCs/>
          <w:sz w:val="28"/>
          <w:szCs w:val="28"/>
        </w:rPr>
        <w:t>Supplemental Information</w:t>
      </w:r>
    </w:p>
    <w:p w14:paraId="0E426CEF" w14:textId="09652CB7" w:rsidR="00B7190B" w:rsidRDefault="00B7190B" w:rsidP="00B7190B">
      <w:pPr>
        <w:spacing w:after="0"/>
      </w:pPr>
      <w:r>
        <w:rPr>
          <w:b/>
          <w:bCs/>
        </w:rPr>
        <w:t>Table S1.</w:t>
      </w:r>
      <w:r>
        <w:t xml:space="preserve"> Summary of QTL</w:t>
      </w:r>
      <w:r w:rsidR="00A435DB">
        <w:t xml:space="preserve"> with five or more supporting SNPs </w:t>
      </w:r>
      <w:r>
        <w:t xml:space="preserve">detected for </w:t>
      </w:r>
      <w:r w:rsidR="00733D40">
        <w:t>birth weight</w:t>
      </w:r>
      <w:r>
        <w:t xml:space="preserve">, </w:t>
      </w:r>
      <w:r w:rsidR="00733D40">
        <w:t>weaning weight</w:t>
      </w:r>
      <w:r>
        <w:t xml:space="preserve">, and </w:t>
      </w:r>
      <w:r w:rsidR="00733D40">
        <w:t>yearling weight</w:t>
      </w:r>
      <w:r>
        <w:t xml:space="preserve"> GWAA and GxE GWAA in U.S. Red Angus cattle</w:t>
      </w:r>
      <w:r w:rsidR="00A435DB">
        <w:t xml:space="preserve"> compar</w:t>
      </w:r>
      <w:r w:rsidR="00171CC2">
        <w:t>ed</w:t>
      </w:r>
      <w:r w:rsidR="00A435DB">
        <w:t xml:space="preserve"> to </w:t>
      </w:r>
      <w:r w:rsidR="00EB4D61">
        <w:t>previous</w:t>
      </w:r>
      <w:r w:rsidR="00A435DB">
        <w:t xml:space="preserve"> studies.</w:t>
      </w:r>
    </w:p>
    <w:tbl>
      <w:tblPr>
        <w:tblStyle w:val="TableGrid"/>
        <w:tblW w:w="9355" w:type="dxa"/>
        <w:tblCellMar>
          <w:left w:w="115" w:type="dxa"/>
          <w:right w:w="115" w:type="dxa"/>
        </w:tblCellMar>
        <w:tblLook w:val="04A0" w:firstRow="1" w:lastRow="0" w:firstColumn="1" w:lastColumn="0" w:noHBand="0" w:noVBand="1"/>
      </w:tblPr>
      <w:tblGrid>
        <w:gridCol w:w="1022"/>
        <w:gridCol w:w="2777"/>
        <w:gridCol w:w="2777"/>
        <w:gridCol w:w="2779"/>
      </w:tblGrid>
      <w:tr w:rsidR="00B7190B" w14:paraId="686BF427" w14:textId="77777777" w:rsidTr="003879B6">
        <w:tc>
          <w:tcPr>
            <w:tcW w:w="1022" w:type="dxa"/>
            <w:tcBorders>
              <w:bottom w:val="single" w:sz="12" w:space="0" w:color="auto"/>
            </w:tcBorders>
          </w:tcPr>
          <w:p w14:paraId="2559BE21" w14:textId="77777777" w:rsidR="00B7190B" w:rsidRPr="00F85CC8" w:rsidRDefault="00B7190B" w:rsidP="00B47F85">
            <w:pPr>
              <w:rPr>
                <w:b/>
                <w:bCs/>
                <w:sz w:val="20"/>
                <w:szCs w:val="20"/>
              </w:rPr>
            </w:pPr>
            <w:r w:rsidRPr="00F85CC8">
              <w:rPr>
                <w:b/>
                <w:bCs/>
                <w:sz w:val="20"/>
                <w:szCs w:val="20"/>
              </w:rPr>
              <w:t>All QTL</w:t>
            </w:r>
          </w:p>
          <w:p w14:paraId="7EDFBF64" w14:textId="77777777" w:rsidR="00B7190B" w:rsidRPr="00F85CC8" w:rsidRDefault="00B7190B" w:rsidP="00B47F85">
            <w:pPr>
              <w:rPr>
                <w:b/>
                <w:bCs/>
                <w:sz w:val="20"/>
                <w:szCs w:val="20"/>
              </w:rPr>
            </w:pPr>
            <w:r w:rsidRPr="00F85CC8">
              <w:rPr>
                <w:b/>
                <w:bCs/>
                <w:sz w:val="20"/>
                <w:szCs w:val="20"/>
              </w:rPr>
              <w:t>(</w:t>
            </w:r>
            <w:proofErr w:type="spellStart"/>
            <w:r w:rsidRPr="00F85CC8">
              <w:rPr>
                <w:b/>
                <w:bCs/>
                <w:sz w:val="20"/>
                <w:szCs w:val="20"/>
              </w:rPr>
              <w:t>Chr_Mb</w:t>
            </w:r>
            <w:proofErr w:type="spellEnd"/>
            <w:r w:rsidRPr="00F85CC8">
              <w:rPr>
                <w:b/>
                <w:bCs/>
                <w:sz w:val="20"/>
                <w:szCs w:val="20"/>
              </w:rPr>
              <w:t>)</w:t>
            </w:r>
          </w:p>
        </w:tc>
        <w:tc>
          <w:tcPr>
            <w:tcW w:w="2777" w:type="dxa"/>
            <w:tcBorders>
              <w:bottom w:val="single" w:sz="12" w:space="0" w:color="auto"/>
            </w:tcBorders>
          </w:tcPr>
          <w:p w14:paraId="68BE6380" w14:textId="77777777" w:rsidR="00B7190B" w:rsidRPr="00F85CC8" w:rsidRDefault="00B7190B" w:rsidP="00B47F85">
            <w:pPr>
              <w:jc w:val="center"/>
              <w:rPr>
                <w:b/>
                <w:bCs/>
                <w:sz w:val="20"/>
                <w:szCs w:val="20"/>
              </w:rPr>
            </w:pPr>
            <w:r w:rsidRPr="00F85CC8">
              <w:rPr>
                <w:b/>
                <w:bCs/>
                <w:sz w:val="20"/>
                <w:szCs w:val="20"/>
              </w:rPr>
              <w:t>Within-study evidence for pleiotropy influencing Red Angus growth traits</w:t>
            </w:r>
          </w:p>
        </w:tc>
        <w:tc>
          <w:tcPr>
            <w:tcW w:w="2777" w:type="dxa"/>
            <w:tcBorders>
              <w:bottom w:val="single" w:sz="12" w:space="0" w:color="auto"/>
            </w:tcBorders>
          </w:tcPr>
          <w:p w14:paraId="6AFC0F39" w14:textId="77777777" w:rsidR="00B7190B" w:rsidRPr="00F85CC8" w:rsidRDefault="00B7190B" w:rsidP="00B47F85">
            <w:pPr>
              <w:jc w:val="center"/>
              <w:rPr>
                <w:b/>
                <w:bCs/>
                <w:sz w:val="20"/>
                <w:szCs w:val="20"/>
                <w:vertAlign w:val="superscript"/>
              </w:rPr>
            </w:pPr>
            <w:r w:rsidRPr="00F85CC8">
              <w:rPr>
                <w:b/>
                <w:bCs/>
                <w:sz w:val="20"/>
                <w:szCs w:val="20"/>
              </w:rPr>
              <w:t xml:space="preserve">Evidence for pleiotropy influencing Gelbvieh growth traits </w:t>
            </w:r>
            <w:r w:rsidRPr="00F85CC8">
              <w:rPr>
                <w:b/>
                <w:bCs/>
                <w:sz w:val="20"/>
                <w:szCs w:val="20"/>
                <w:vertAlign w:val="superscript"/>
              </w:rPr>
              <w:t>a</w:t>
            </w:r>
          </w:p>
        </w:tc>
        <w:tc>
          <w:tcPr>
            <w:tcW w:w="2779" w:type="dxa"/>
            <w:tcBorders>
              <w:bottom w:val="single" w:sz="12" w:space="0" w:color="auto"/>
            </w:tcBorders>
          </w:tcPr>
          <w:p w14:paraId="62E0E2DC" w14:textId="77777777" w:rsidR="00B7190B" w:rsidRPr="00F85CC8" w:rsidRDefault="00B7190B" w:rsidP="00B47F85">
            <w:pPr>
              <w:jc w:val="center"/>
              <w:rPr>
                <w:b/>
                <w:bCs/>
                <w:sz w:val="20"/>
                <w:szCs w:val="20"/>
                <w:vertAlign w:val="superscript"/>
              </w:rPr>
            </w:pPr>
            <w:r w:rsidRPr="00F85CC8">
              <w:rPr>
                <w:b/>
                <w:bCs/>
                <w:sz w:val="20"/>
                <w:szCs w:val="20"/>
              </w:rPr>
              <w:t xml:space="preserve">Evidence for pleiotropy influencing bovine growth, feed efficiency, production, and/or carcass traits </w:t>
            </w:r>
            <w:r w:rsidRPr="00F85CC8">
              <w:rPr>
                <w:b/>
                <w:bCs/>
                <w:sz w:val="20"/>
                <w:szCs w:val="20"/>
                <w:vertAlign w:val="superscript"/>
              </w:rPr>
              <w:t>b</w:t>
            </w:r>
          </w:p>
        </w:tc>
      </w:tr>
      <w:tr w:rsidR="00B7190B" w14:paraId="65C47B93" w14:textId="77777777" w:rsidTr="003879B6">
        <w:trPr>
          <w:trHeight w:val="272"/>
        </w:trPr>
        <w:tc>
          <w:tcPr>
            <w:tcW w:w="1022" w:type="dxa"/>
            <w:tcBorders>
              <w:top w:val="single" w:sz="4" w:space="0" w:color="auto"/>
            </w:tcBorders>
          </w:tcPr>
          <w:p w14:paraId="33849ECD" w14:textId="77777777" w:rsidR="00B7190B" w:rsidRPr="00F85CC8" w:rsidRDefault="00B7190B" w:rsidP="00B47F85">
            <w:pPr>
              <w:rPr>
                <w:sz w:val="20"/>
                <w:szCs w:val="20"/>
              </w:rPr>
            </w:pPr>
            <w:r w:rsidRPr="00F85CC8">
              <w:rPr>
                <w:sz w:val="20"/>
                <w:szCs w:val="20"/>
              </w:rPr>
              <w:t>2_93</w:t>
            </w:r>
          </w:p>
        </w:tc>
        <w:tc>
          <w:tcPr>
            <w:tcW w:w="2777" w:type="dxa"/>
            <w:tcBorders>
              <w:top w:val="single" w:sz="4" w:space="0" w:color="auto"/>
            </w:tcBorders>
          </w:tcPr>
          <w:p w14:paraId="01CCFE03" w14:textId="77777777" w:rsidR="00B7190B" w:rsidRPr="00F85CC8" w:rsidRDefault="00B7190B" w:rsidP="00B47F85">
            <w:pPr>
              <w:rPr>
                <w:sz w:val="20"/>
                <w:szCs w:val="20"/>
              </w:rPr>
            </w:pPr>
          </w:p>
        </w:tc>
        <w:tc>
          <w:tcPr>
            <w:tcW w:w="2777" w:type="dxa"/>
            <w:tcBorders>
              <w:top w:val="single" w:sz="4" w:space="0" w:color="auto"/>
            </w:tcBorders>
          </w:tcPr>
          <w:p w14:paraId="30395CE8" w14:textId="77777777" w:rsidR="00B7190B" w:rsidRPr="00F85CC8" w:rsidRDefault="00B7190B" w:rsidP="00B47F85">
            <w:pPr>
              <w:rPr>
                <w:sz w:val="20"/>
                <w:szCs w:val="20"/>
              </w:rPr>
            </w:pPr>
          </w:p>
        </w:tc>
        <w:tc>
          <w:tcPr>
            <w:tcW w:w="2779" w:type="dxa"/>
            <w:tcBorders>
              <w:top w:val="single" w:sz="4" w:space="0" w:color="auto"/>
            </w:tcBorders>
          </w:tcPr>
          <w:p w14:paraId="23AE0362" w14:textId="77777777" w:rsidR="00B7190B" w:rsidRPr="00F85CC8" w:rsidRDefault="00B7190B" w:rsidP="00B47F85">
            <w:pPr>
              <w:rPr>
                <w:sz w:val="20"/>
                <w:szCs w:val="20"/>
              </w:rPr>
            </w:pPr>
            <w:r w:rsidRPr="00F85CC8">
              <w:rPr>
                <w:sz w:val="20"/>
                <w:szCs w:val="20"/>
              </w:rPr>
              <w:t>X</w:t>
            </w:r>
          </w:p>
        </w:tc>
      </w:tr>
      <w:tr w:rsidR="00B7190B" w14:paraId="137CE3A7" w14:textId="77777777" w:rsidTr="003879B6">
        <w:trPr>
          <w:trHeight w:val="272"/>
        </w:trPr>
        <w:tc>
          <w:tcPr>
            <w:tcW w:w="1022" w:type="dxa"/>
            <w:tcBorders>
              <w:top w:val="single" w:sz="4" w:space="0" w:color="auto"/>
            </w:tcBorders>
          </w:tcPr>
          <w:p w14:paraId="3DC5A05A" w14:textId="77777777" w:rsidR="00B7190B" w:rsidRPr="00F85CC8" w:rsidRDefault="00B7190B" w:rsidP="00B47F85">
            <w:pPr>
              <w:rPr>
                <w:sz w:val="20"/>
                <w:szCs w:val="20"/>
              </w:rPr>
            </w:pPr>
            <w:r w:rsidRPr="00F85CC8">
              <w:rPr>
                <w:sz w:val="20"/>
                <w:szCs w:val="20"/>
              </w:rPr>
              <w:t>2_94</w:t>
            </w:r>
          </w:p>
        </w:tc>
        <w:tc>
          <w:tcPr>
            <w:tcW w:w="2777" w:type="dxa"/>
            <w:tcBorders>
              <w:top w:val="single" w:sz="4" w:space="0" w:color="auto"/>
            </w:tcBorders>
          </w:tcPr>
          <w:p w14:paraId="61A57063" w14:textId="77777777" w:rsidR="00B7190B" w:rsidRPr="00F85CC8" w:rsidRDefault="00B7190B" w:rsidP="00B47F85">
            <w:pPr>
              <w:rPr>
                <w:sz w:val="20"/>
                <w:szCs w:val="20"/>
              </w:rPr>
            </w:pPr>
          </w:p>
        </w:tc>
        <w:tc>
          <w:tcPr>
            <w:tcW w:w="2777" w:type="dxa"/>
            <w:tcBorders>
              <w:top w:val="single" w:sz="4" w:space="0" w:color="auto"/>
            </w:tcBorders>
          </w:tcPr>
          <w:p w14:paraId="22D5820C" w14:textId="77777777" w:rsidR="00B7190B" w:rsidRPr="00F85CC8" w:rsidRDefault="00B7190B" w:rsidP="00B47F85">
            <w:pPr>
              <w:rPr>
                <w:sz w:val="20"/>
                <w:szCs w:val="20"/>
              </w:rPr>
            </w:pPr>
          </w:p>
        </w:tc>
        <w:tc>
          <w:tcPr>
            <w:tcW w:w="2779" w:type="dxa"/>
            <w:tcBorders>
              <w:top w:val="single" w:sz="4" w:space="0" w:color="auto"/>
            </w:tcBorders>
          </w:tcPr>
          <w:p w14:paraId="73EAD867" w14:textId="77777777" w:rsidR="00B7190B" w:rsidRPr="00F85CC8" w:rsidRDefault="00B7190B" w:rsidP="00B47F85">
            <w:pPr>
              <w:rPr>
                <w:sz w:val="20"/>
                <w:szCs w:val="20"/>
              </w:rPr>
            </w:pPr>
            <w:r w:rsidRPr="00F85CC8">
              <w:rPr>
                <w:sz w:val="20"/>
                <w:szCs w:val="20"/>
              </w:rPr>
              <w:t>X</w:t>
            </w:r>
          </w:p>
        </w:tc>
      </w:tr>
      <w:tr w:rsidR="00B7190B" w14:paraId="4299741C" w14:textId="77777777" w:rsidTr="003879B6">
        <w:trPr>
          <w:trHeight w:val="272"/>
        </w:trPr>
        <w:tc>
          <w:tcPr>
            <w:tcW w:w="1022" w:type="dxa"/>
          </w:tcPr>
          <w:p w14:paraId="1C98FE4B" w14:textId="77777777" w:rsidR="00B7190B" w:rsidRPr="00F85CC8" w:rsidRDefault="00B7190B" w:rsidP="00B47F85">
            <w:pPr>
              <w:rPr>
                <w:sz w:val="20"/>
                <w:szCs w:val="20"/>
              </w:rPr>
            </w:pPr>
            <w:r w:rsidRPr="00F85CC8">
              <w:rPr>
                <w:sz w:val="20"/>
                <w:szCs w:val="20"/>
              </w:rPr>
              <w:t>5_78</w:t>
            </w:r>
          </w:p>
        </w:tc>
        <w:tc>
          <w:tcPr>
            <w:tcW w:w="2777" w:type="dxa"/>
          </w:tcPr>
          <w:p w14:paraId="3460421D" w14:textId="77777777" w:rsidR="00B7190B" w:rsidRPr="00F85CC8" w:rsidRDefault="00B7190B" w:rsidP="00B47F85">
            <w:pPr>
              <w:rPr>
                <w:sz w:val="20"/>
                <w:szCs w:val="20"/>
              </w:rPr>
            </w:pPr>
          </w:p>
        </w:tc>
        <w:tc>
          <w:tcPr>
            <w:tcW w:w="2777" w:type="dxa"/>
          </w:tcPr>
          <w:p w14:paraId="6BD51538" w14:textId="77777777" w:rsidR="00B7190B" w:rsidRPr="00F85CC8" w:rsidRDefault="00B7190B" w:rsidP="00B47F85">
            <w:pPr>
              <w:rPr>
                <w:sz w:val="20"/>
                <w:szCs w:val="20"/>
              </w:rPr>
            </w:pPr>
          </w:p>
        </w:tc>
        <w:tc>
          <w:tcPr>
            <w:tcW w:w="2779" w:type="dxa"/>
          </w:tcPr>
          <w:p w14:paraId="689BF882" w14:textId="77777777" w:rsidR="00B7190B" w:rsidRPr="00F85CC8" w:rsidRDefault="00B7190B" w:rsidP="00B47F85">
            <w:pPr>
              <w:rPr>
                <w:sz w:val="20"/>
                <w:szCs w:val="20"/>
              </w:rPr>
            </w:pPr>
            <w:r w:rsidRPr="00F85CC8">
              <w:rPr>
                <w:sz w:val="20"/>
                <w:szCs w:val="20"/>
              </w:rPr>
              <w:t>X</w:t>
            </w:r>
          </w:p>
        </w:tc>
      </w:tr>
      <w:tr w:rsidR="00B7190B" w14:paraId="3998FAF3" w14:textId="77777777" w:rsidTr="003879B6">
        <w:trPr>
          <w:trHeight w:val="272"/>
        </w:trPr>
        <w:tc>
          <w:tcPr>
            <w:tcW w:w="1022" w:type="dxa"/>
          </w:tcPr>
          <w:p w14:paraId="14082AB2" w14:textId="77777777" w:rsidR="00B7190B" w:rsidRPr="00F85CC8" w:rsidRDefault="00B7190B" w:rsidP="00B47F85">
            <w:pPr>
              <w:rPr>
                <w:sz w:val="20"/>
                <w:szCs w:val="20"/>
              </w:rPr>
            </w:pPr>
            <w:r w:rsidRPr="00F85CC8">
              <w:rPr>
                <w:sz w:val="20"/>
                <w:szCs w:val="20"/>
              </w:rPr>
              <w:t>6_32</w:t>
            </w:r>
          </w:p>
        </w:tc>
        <w:tc>
          <w:tcPr>
            <w:tcW w:w="2777" w:type="dxa"/>
          </w:tcPr>
          <w:p w14:paraId="185A9DF2" w14:textId="77777777" w:rsidR="00B7190B" w:rsidRPr="00F85CC8" w:rsidRDefault="00B7190B" w:rsidP="00B47F85">
            <w:pPr>
              <w:rPr>
                <w:sz w:val="20"/>
                <w:szCs w:val="20"/>
              </w:rPr>
            </w:pPr>
            <w:r w:rsidRPr="00F85CC8">
              <w:rPr>
                <w:sz w:val="20"/>
                <w:szCs w:val="20"/>
              </w:rPr>
              <w:t>X</w:t>
            </w:r>
          </w:p>
        </w:tc>
        <w:tc>
          <w:tcPr>
            <w:tcW w:w="2777" w:type="dxa"/>
          </w:tcPr>
          <w:p w14:paraId="676A17FD" w14:textId="77777777" w:rsidR="00B7190B" w:rsidRPr="00F85CC8" w:rsidRDefault="00B7190B" w:rsidP="00B47F85">
            <w:pPr>
              <w:rPr>
                <w:sz w:val="20"/>
                <w:szCs w:val="20"/>
              </w:rPr>
            </w:pPr>
          </w:p>
        </w:tc>
        <w:tc>
          <w:tcPr>
            <w:tcW w:w="2779" w:type="dxa"/>
          </w:tcPr>
          <w:p w14:paraId="6C274543" w14:textId="77777777" w:rsidR="00B7190B" w:rsidRPr="00F85CC8" w:rsidRDefault="00B7190B" w:rsidP="00B47F85">
            <w:pPr>
              <w:rPr>
                <w:sz w:val="20"/>
                <w:szCs w:val="20"/>
              </w:rPr>
            </w:pPr>
            <w:r w:rsidRPr="00F85CC8">
              <w:rPr>
                <w:sz w:val="20"/>
                <w:szCs w:val="20"/>
              </w:rPr>
              <w:t>X</w:t>
            </w:r>
          </w:p>
        </w:tc>
      </w:tr>
      <w:tr w:rsidR="00B7190B" w14:paraId="1E0DB842" w14:textId="77777777" w:rsidTr="003879B6">
        <w:trPr>
          <w:trHeight w:val="272"/>
        </w:trPr>
        <w:tc>
          <w:tcPr>
            <w:tcW w:w="1022" w:type="dxa"/>
          </w:tcPr>
          <w:p w14:paraId="3CE00D6D" w14:textId="77777777" w:rsidR="00B7190B" w:rsidRPr="00F85CC8" w:rsidRDefault="00B7190B" w:rsidP="00B47F85">
            <w:pPr>
              <w:rPr>
                <w:sz w:val="20"/>
                <w:szCs w:val="20"/>
              </w:rPr>
            </w:pPr>
            <w:r w:rsidRPr="00F85CC8">
              <w:rPr>
                <w:sz w:val="20"/>
                <w:szCs w:val="20"/>
              </w:rPr>
              <w:t>6_33</w:t>
            </w:r>
          </w:p>
        </w:tc>
        <w:tc>
          <w:tcPr>
            <w:tcW w:w="2777" w:type="dxa"/>
          </w:tcPr>
          <w:p w14:paraId="7A6FDD92" w14:textId="1D79B1A9" w:rsidR="00B7190B" w:rsidRPr="00F85CC8" w:rsidRDefault="00B7190B" w:rsidP="00B47F85">
            <w:pPr>
              <w:rPr>
                <w:sz w:val="20"/>
                <w:szCs w:val="20"/>
              </w:rPr>
            </w:pPr>
          </w:p>
        </w:tc>
        <w:tc>
          <w:tcPr>
            <w:tcW w:w="2777" w:type="dxa"/>
          </w:tcPr>
          <w:p w14:paraId="3094151D" w14:textId="77777777" w:rsidR="00B7190B" w:rsidRPr="00F85CC8" w:rsidRDefault="00B7190B" w:rsidP="00B47F85">
            <w:pPr>
              <w:rPr>
                <w:sz w:val="20"/>
                <w:szCs w:val="20"/>
              </w:rPr>
            </w:pPr>
          </w:p>
        </w:tc>
        <w:tc>
          <w:tcPr>
            <w:tcW w:w="2779" w:type="dxa"/>
          </w:tcPr>
          <w:p w14:paraId="3BFAC2BE" w14:textId="77777777" w:rsidR="00B7190B" w:rsidRPr="00F85CC8" w:rsidRDefault="00B7190B" w:rsidP="00B47F85">
            <w:pPr>
              <w:rPr>
                <w:sz w:val="20"/>
                <w:szCs w:val="20"/>
              </w:rPr>
            </w:pPr>
            <w:r w:rsidRPr="00F85CC8">
              <w:rPr>
                <w:sz w:val="20"/>
                <w:szCs w:val="20"/>
              </w:rPr>
              <w:t>X</w:t>
            </w:r>
          </w:p>
        </w:tc>
      </w:tr>
      <w:tr w:rsidR="00B7190B" w14:paraId="67F10A54" w14:textId="77777777" w:rsidTr="003879B6">
        <w:trPr>
          <w:trHeight w:val="262"/>
        </w:trPr>
        <w:tc>
          <w:tcPr>
            <w:tcW w:w="1022" w:type="dxa"/>
          </w:tcPr>
          <w:p w14:paraId="0F628F86" w14:textId="77777777" w:rsidR="00B7190B" w:rsidRPr="00F85CC8" w:rsidRDefault="00B7190B" w:rsidP="00B47F85">
            <w:pPr>
              <w:rPr>
                <w:sz w:val="20"/>
                <w:szCs w:val="20"/>
              </w:rPr>
            </w:pPr>
            <w:r w:rsidRPr="00F85CC8">
              <w:rPr>
                <w:sz w:val="20"/>
                <w:szCs w:val="20"/>
              </w:rPr>
              <w:t>6_34</w:t>
            </w:r>
          </w:p>
        </w:tc>
        <w:tc>
          <w:tcPr>
            <w:tcW w:w="2777" w:type="dxa"/>
          </w:tcPr>
          <w:p w14:paraId="5328CF76" w14:textId="77777777" w:rsidR="00B7190B" w:rsidRPr="00F85CC8" w:rsidRDefault="00B7190B" w:rsidP="00B47F85">
            <w:pPr>
              <w:rPr>
                <w:sz w:val="20"/>
                <w:szCs w:val="20"/>
              </w:rPr>
            </w:pPr>
            <w:r w:rsidRPr="00F85CC8">
              <w:rPr>
                <w:sz w:val="20"/>
                <w:szCs w:val="20"/>
              </w:rPr>
              <w:t>X</w:t>
            </w:r>
          </w:p>
        </w:tc>
        <w:tc>
          <w:tcPr>
            <w:tcW w:w="2777" w:type="dxa"/>
          </w:tcPr>
          <w:p w14:paraId="5FABBC27" w14:textId="77777777" w:rsidR="00B7190B" w:rsidRPr="00F85CC8" w:rsidRDefault="00B7190B" w:rsidP="00B47F85">
            <w:pPr>
              <w:rPr>
                <w:sz w:val="20"/>
                <w:szCs w:val="20"/>
              </w:rPr>
            </w:pPr>
            <w:r w:rsidRPr="00F85CC8">
              <w:rPr>
                <w:sz w:val="20"/>
                <w:szCs w:val="20"/>
              </w:rPr>
              <w:t>X</w:t>
            </w:r>
          </w:p>
        </w:tc>
        <w:tc>
          <w:tcPr>
            <w:tcW w:w="2779" w:type="dxa"/>
          </w:tcPr>
          <w:p w14:paraId="5A5E1FA6" w14:textId="77777777" w:rsidR="00B7190B" w:rsidRPr="00F85CC8" w:rsidRDefault="00B7190B" w:rsidP="00B47F85">
            <w:pPr>
              <w:rPr>
                <w:sz w:val="20"/>
                <w:szCs w:val="20"/>
              </w:rPr>
            </w:pPr>
            <w:r w:rsidRPr="00F85CC8">
              <w:rPr>
                <w:sz w:val="20"/>
                <w:szCs w:val="20"/>
              </w:rPr>
              <w:t>X</w:t>
            </w:r>
          </w:p>
        </w:tc>
      </w:tr>
      <w:tr w:rsidR="00B7190B" w14:paraId="4BD17BCB" w14:textId="77777777" w:rsidTr="003879B6">
        <w:trPr>
          <w:trHeight w:val="272"/>
        </w:trPr>
        <w:tc>
          <w:tcPr>
            <w:tcW w:w="1022" w:type="dxa"/>
          </w:tcPr>
          <w:p w14:paraId="25262F5B" w14:textId="77777777" w:rsidR="00B7190B" w:rsidRPr="00F85CC8" w:rsidRDefault="00B7190B" w:rsidP="00B47F85">
            <w:pPr>
              <w:rPr>
                <w:sz w:val="20"/>
                <w:szCs w:val="20"/>
              </w:rPr>
            </w:pPr>
            <w:r w:rsidRPr="00F85CC8">
              <w:rPr>
                <w:sz w:val="20"/>
                <w:szCs w:val="20"/>
              </w:rPr>
              <w:t>6_35</w:t>
            </w:r>
          </w:p>
        </w:tc>
        <w:tc>
          <w:tcPr>
            <w:tcW w:w="2777" w:type="dxa"/>
          </w:tcPr>
          <w:p w14:paraId="44F36CAE" w14:textId="77777777" w:rsidR="00B7190B" w:rsidRPr="00F85CC8" w:rsidRDefault="00B7190B" w:rsidP="00B47F85">
            <w:pPr>
              <w:rPr>
                <w:sz w:val="20"/>
                <w:szCs w:val="20"/>
              </w:rPr>
            </w:pPr>
            <w:r w:rsidRPr="00F85CC8">
              <w:rPr>
                <w:sz w:val="20"/>
                <w:szCs w:val="20"/>
              </w:rPr>
              <w:t>X</w:t>
            </w:r>
          </w:p>
        </w:tc>
        <w:tc>
          <w:tcPr>
            <w:tcW w:w="2777" w:type="dxa"/>
          </w:tcPr>
          <w:p w14:paraId="499D3902" w14:textId="77777777" w:rsidR="00B7190B" w:rsidRPr="00F85CC8" w:rsidRDefault="00B7190B" w:rsidP="00B47F85">
            <w:pPr>
              <w:rPr>
                <w:sz w:val="20"/>
                <w:szCs w:val="20"/>
              </w:rPr>
            </w:pPr>
          </w:p>
        </w:tc>
        <w:tc>
          <w:tcPr>
            <w:tcW w:w="2779" w:type="dxa"/>
          </w:tcPr>
          <w:p w14:paraId="2FA0EDD9" w14:textId="77777777" w:rsidR="00B7190B" w:rsidRPr="00F85CC8" w:rsidRDefault="00B7190B" w:rsidP="00B47F85">
            <w:pPr>
              <w:rPr>
                <w:sz w:val="20"/>
                <w:szCs w:val="20"/>
              </w:rPr>
            </w:pPr>
            <w:r w:rsidRPr="00F85CC8">
              <w:rPr>
                <w:sz w:val="20"/>
                <w:szCs w:val="20"/>
              </w:rPr>
              <w:t>X</w:t>
            </w:r>
          </w:p>
        </w:tc>
      </w:tr>
      <w:tr w:rsidR="00B7190B" w14:paraId="730A6F17" w14:textId="77777777" w:rsidTr="003879B6">
        <w:trPr>
          <w:trHeight w:val="272"/>
        </w:trPr>
        <w:tc>
          <w:tcPr>
            <w:tcW w:w="1022" w:type="dxa"/>
          </w:tcPr>
          <w:p w14:paraId="3E86EC0B" w14:textId="77777777" w:rsidR="00B7190B" w:rsidRPr="00F85CC8" w:rsidRDefault="00B7190B" w:rsidP="00B47F85">
            <w:pPr>
              <w:rPr>
                <w:sz w:val="20"/>
                <w:szCs w:val="20"/>
              </w:rPr>
            </w:pPr>
            <w:r w:rsidRPr="00F85CC8">
              <w:rPr>
                <w:sz w:val="20"/>
                <w:szCs w:val="20"/>
              </w:rPr>
              <w:t>6_36</w:t>
            </w:r>
          </w:p>
        </w:tc>
        <w:tc>
          <w:tcPr>
            <w:tcW w:w="2777" w:type="dxa"/>
          </w:tcPr>
          <w:p w14:paraId="591A3EE8" w14:textId="77777777" w:rsidR="00B7190B" w:rsidRPr="00F85CC8" w:rsidRDefault="00B7190B" w:rsidP="00B47F85">
            <w:pPr>
              <w:rPr>
                <w:sz w:val="20"/>
                <w:szCs w:val="20"/>
              </w:rPr>
            </w:pPr>
            <w:r w:rsidRPr="00F85CC8">
              <w:rPr>
                <w:sz w:val="20"/>
                <w:szCs w:val="20"/>
              </w:rPr>
              <w:t>X</w:t>
            </w:r>
          </w:p>
        </w:tc>
        <w:tc>
          <w:tcPr>
            <w:tcW w:w="2777" w:type="dxa"/>
          </w:tcPr>
          <w:p w14:paraId="5EEC2D1C" w14:textId="77777777" w:rsidR="00B7190B" w:rsidRPr="00F85CC8" w:rsidRDefault="00B7190B" w:rsidP="00B47F85">
            <w:pPr>
              <w:rPr>
                <w:sz w:val="20"/>
                <w:szCs w:val="20"/>
              </w:rPr>
            </w:pPr>
            <w:r w:rsidRPr="00F85CC8">
              <w:rPr>
                <w:sz w:val="20"/>
                <w:szCs w:val="20"/>
              </w:rPr>
              <w:t>X</w:t>
            </w:r>
          </w:p>
        </w:tc>
        <w:tc>
          <w:tcPr>
            <w:tcW w:w="2779" w:type="dxa"/>
          </w:tcPr>
          <w:p w14:paraId="258B7B6B" w14:textId="77777777" w:rsidR="00B7190B" w:rsidRPr="00F85CC8" w:rsidRDefault="00B7190B" w:rsidP="00B47F85">
            <w:pPr>
              <w:rPr>
                <w:sz w:val="20"/>
                <w:szCs w:val="20"/>
              </w:rPr>
            </w:pPr>
            <w:r w:rsidRPr="00F85CC8">
              <w:rPr>
                <w:sz w:val="20"/>
                <w:szCs w:val="20"/>
              </w:rPr>
              <w:t>X</w:t>
            </w:r>
          </w:p>
        </w:tc>
      </w:tr>
      <w:tr w:rsidR="00B7190B" w14:paraId="26942D9D" w14:textId="77777777" w:rsidTr="003879B6">
        <w:trPr>
          <w:trHeight w:val="272"/>
        </w:trPr>
        <w:tc>
          <w:tcPr>
            <w:tcW w:w="1022" w:type="dxa"/>
          </w:tcPr>
          <w:p w14:paraId="7254C089" w14:textId="77777777" w:rsidR="00B7190B" w:rsidRPr="00F85CC8" w:rsidRDefault="00B7190B" w:rsidP="00B47F85">
            <w:pPr>
              <w:rPr>
                <w:sz w:val="20"/>
                <w:szCs w:val="20"/>
              </w:rPr>
            </w:pPr>
            <w:r w:rsidRPr="00F85CC8">
              <w:rPr>
                <w:sz w:val="20"/>
                <w:szCs w:val="20"/>
              </w:rPr>
              <w:t>6_37</w:t>
            </w:r>
          </w:p>
        </w:tc>
        <w:tc>
          <w:tcPr>
            <w:tcW w:w="2777" w:type="dxa"/>
          </w:tcPr>
          <w:p w14:paraId="386B3949" w14:textId="77777777" w:rsidR="00B7190B" w:rsidRPr="00F85CC8" w:rsidRDefault="00B7190B" w:rsidP="00B47F85">
            <w:pPr>
              <w:rPr>
                <w:sz w:val="20"/>
                <w:szCs w:val="20"/>
              </w:rPr>
            </w:pPr>
            <w:r w:rsidRPr="00F85CC8">
              <w:rPr>
                <w:sz w:val="20"/>
                <w:szCs w:val="20"/>
              </w:rPr>
              <w:t>X</w:t>
            </w:r>
          </w:p>
        </w:tc>
        <w:tc>
          <w:tcPr>
            <w:tcW w:w="2777" w:type="dxa"/>
          </w:tcPr>
          <w:p w14:paraId="0481868E" w14:textId="77777777" w:rsidR="00B7190B" w:rsidRPr="00F85CC8" w:rsidRDefault="00B7190B" w:rsidP="00B47F85">
            <w:pPr>
              <w:rPr>
                <w:sz w:val="20"/>
                <w:szCs w:val="20"/>
              </w:rPr>
            </w:pPr>
            <w:r w:rsidRPr="00F85CC8">
              <w:rPr>
                <w:sz w:val="20"/>
                <w:szCs w:val="20"/>
              </w:rPr>
              <w:t>X</w:t>
            </w:r>
          </w:p>
        </w:tc>
        <w:tc>
          <w:tcPr>
            <w:tcW w:w="2779" w:type="dxa"/>
          </w:tcPr>
          <w:p w14:paraId="7813B1AD" w14:textId="77777777" w:rsidR="00B7190B" w:rsidRPr="00F85CC8" w:rsidRDefault="00B7190B" w:rsidP="00B47F85">
            <w:pPr>
              <w:rPr>
                <w:sz w:val="20"/>
                <w:szCs w:val="20"/>
              </w:rPr>
            </w:pPr>
            <w:r w:rsidRPr="00F85CC8">
              <w:rPr>
                <w:sz w:val="20"/>
                <w:szCs w:val="20"/>
              </w:rPr>
              <w:t>X</w:t>
            </w:r>
          </w:p>
        </w:tc>
      </w:tr>
      <w:tr w:rsidR="00B7190B" w14:paraId="455EB3F1" w14:textId="77777777" w:rsidTr="003879B6">
        <w:trPr>
          <w:trHeight w:val="272"/>
        </w:trPr>
        <w:tc>
          <w:tcPr>
            <w:tcW w:w="1022" w:type="dxa"/>
          </w:tcPr>
          <w:p w14:paraId="1DA6ABF1" w14:textId="77777777" w:rsidR="00B7190B" w:rsidRPr="00F85CC8" w:rsidRDefault="00B7190B" w:rsidP="00B47F85">
            <w:pPr>
              <w:rPr>
                <w:sz w:val="20"/>
                <w:szCs w:val="20"/>
              </w:rPr>
            </w:pPr>
            <w:r w:rsidRPr="00F85CC8">
              <w:rPr>
                <w:sz w:val="20"/>
                <w:szCs w:val="20"/>
              </w:rPr>
              <w:t>6_38</w:t>
            </w:r>
          </w:p>
        </w:tc>
        <w:tc>
          <w:tcPr>
            <w:tcW w:w="2777" w:type="dxa"/>
          </w:tcPr>
          <w:p w14:paraId="1E1EF01B" w14:textId="77777777" w:rsidR="00B7190B" w:rsidRPr="00F85CC8" w:rsidRDefault="00B7190B" w:rsidP="00B47F85">
            <w:pPr>
              <w:rPr>
                <w:sz w:val="20"/>
                <w:szCs w:val="20"/>
              </w:rPr>
            </w:pPr>
            <w:r w:rsidRPr="00F85CC8">
              <w:rPr>
                <w:sz w:val="20"/>
                <w:szCs w:val="20"/>
              </w:rPr>
              <w:t>X</w:t>
            </w:r>
          </w:p>
        </w:tc>
        <w:tc>
          <w:tcPr>
            <w:tcW w:w="2777" w:type="dxa"/>
          </w:tcPr>
          <w:p w14:paraId="23EDEE16" w14:textId="77777777" w:rsidR="00B7190B" w:rsidRPr="00F85CC8" w:rsidRDefault="00B7190B" w:rsidP="00B47F85">
            <w:pPr>
              <w:rPr>
                <w:sz w:val="20"/>
                <w:szCs w:val="20"/>
              </w:rPr>
            </w:pPr>
            <w:r w:rsidRPr="00F85CC8">
              <w:rPr>
                <w:sz w:val="20"/>
                <w:szCs w:val="20"/>
              </w:rPr>
              <w:t>X</w:t>
            </w:r>
          </w:p>
        </w:tc>
        <w:tc>
          <w:tcPr>
            <w:tcW w:w="2779" w:type="dxa"/>
          </w:tcPr>
          <w:p w14:paraId="79D39742" w14:textId="77777777" w:rsidR="00B7190B" w:rsidRPr="00F85CC8" w:rsidRDefault="00B7190B" w:rsidP="00B47F85">
            <w:pPr>
              <w:rPr>
                <w:sz w:val="20"/>
                <w:szCs w:val="20"/>
              </w:rPr>
            </w:pPr>
            <w:r w:rsidRPr="00F85CC8">
              <w:rPr>
                <w:sz w:val="20"/>
                <w:szCs w:val="20"/>
              </w:rPr>
              <w:t>X</w:t>
            </w:r>
          </w:p>
        </w:tc>
      </w:tr>
      <w:tr w:rsidR="00B7190B" w14:paraId="64725E24" w14:textId="77777777" w:rsidTr="003879B6">
        <w:trPr>
          <w:trHeight w:val="272"/>
        </w:trPr>
        <w:tc>
          <w:tcPr>
            <w:tcW w:w="1022" w:type="dxa"/>
          </w:tcPr>
          <w:p w14:paraId="5D29ECDB" w14:textId="77777777" w:rsidR="00B7190B" w:rsidRPr="00F85CC8" w:rsidRDefault="00B7190B" w:rsidP="00B47F85">
            <w:pPr>
              <w:rPr>
                <w:sz w:val="20"/>
                <w:szCs w:val="20"/>
              </w:rPr>
            </w:pPr>
            <w:r w:rsidRPr="00F85CC8">
              <w:rPr>
                <w:sz w:val="20"/>
                <w:szCs w:val="20"/>
              </w:rPr>
              <w:t>6_39</w:t>
            </w:r>
          </w:p>
        </w:tc>
        <w:tc>
          <w:tcPr>
            <w:tcW w:w="2777" w:type="dxa"/>
          </w:tcPr>
          <w:p w14:paraId="2C707244" w14:textId="77777777" w:rsidR="00B7190B" w:rsidRPr="00F85CC8" w:rsidRDefault="00B7190B" w:rsidP="00B47F85">
            <w:pPr>
              <w:rPr>
                <w:sz w:val="20"/>
                <w:szCs w:val="20"/>
              </w:rPr>
            </w:pPr>
            <w:r w:rsidRPr="00F85CC8">
              <w:rPr>
                <w:sz w:val="20"/>
                <w:szCs w:val="20"/>
              </w:rPr>
              <w:t>X</w:t>
            </w:r>
          </w:p>
        </w:tc>
        <w:tc>
          <w:tcPr>
            <w:tcW w:w="2777" w:type="dxa"/>
          </w:tcPr>
          <w:p w14:paraId="70DC52F9" w14:textId="77777777" w:rsidR="00B7190B" w:rsidRPr="00F85CC8" w:rsidRDefault="00B7190B" w:rsidP="00B47F85">
            <w:pPr>
              <w:rPr>
                <w:sz w:val="20"/>
                <w:szCs w:val="20"/>
              </w:rPr>
            </w:pPr>
            <w:r w:rsidRPr="00F85CC8">
              <w:rPr>
                <w:sz w:val="20"/>
                <w:szCs w:val="20"/>
              </w:rPr>
              <w:t>X</w:t>
            </w:r>
          </w:p>
        </w:tc>
        <w:tc>
          <w:tcPr>
            <w:tcW w:w="2779" w:type="dxa"/>
          </w:tcPr>
          <w:p w14:paraId="4F68041B" w14:textId="77777777" w:rsidR="00B7190B" w:rsidRPr="00F85CC8" w:rsidRDefault="00B7190B" w:rsidP="00B47F85">
            <w:pPr>
              <w:rPr>
                <w:sz w:val="20"/>
                <w:szCs w:val="20"/>
              </w:rPr>
            </w:pPr>
            <w:r w:rsidRPr="00F85CC8">
              <w:rPr>
                <w:sz w:val="20"/>
                <w:szCs w:val="20"/>
              </w:rPr>
              <w:t>X</w:t>
            </w:r>
          </w:p>
        </w:tc>
      </w:tr>
      <w:tr w:rsidR="00B7190B" w14:paraId="61DA8A12" w14:textId="77777777" w:rsidTr="003879B6">
        <w:trPr>
          <w:trHeight w:val="272"/>
        </w:trPr>
        <w:tc>
          <w:tcPr>
            <w:tcW w:w="1022" w:type="dxa"/>
          </w:tcPr>
          <w:p w14:paraId="12927F38" w14:textId="77777777" w:rsidR="00B7190B" w:rsidRPr="00F85CC8" w:rsidRDefault="00B7190B" w:rsidP="00B47F85">
            <w:pPr>
              <w:rPr>
                <w:sz w:val="20"/>
                <w:szCs w:val="20"/>
              </w:rPr>
            </w:pPr>
            <w:r w:rsidRPr="00F85CC8">
              <w:rPr>
                <w:sz w:val="20"/>
                <w:szCs w:val="20"/>
              </w:rPr>
              <w:t>6_40</w:t>
            </w:r>
          </w:p>
        </w:tc>
        <w:tc>
          <w:tcPr>
            <w:tcW w:w="2777" w:type="dxa"/>
          </w:tcPr>
          <w:p w14:paraId="19274FA7" w14:textId="77777777" w:rsidR="00B7190B" w:rsidRPr="00F85CC8" w:rsidRDefault="00B7190B" w:rsidP="00B47F85">
            <w:pPr>
              <w:rPr>
                <w:sz w:val="20"/>
                <w:szCs w:val="20"/>
              </w:rPr>
            </w:pPr>
            <w:r w:rsidRPr="00F85CC8">
              <w:rPr>
                <w:sz w:val="20"/>
                <w:szCs w:val="20"/>
              </w:rPr>
              <w:t>X</w:t>
            </w:r>
          </w:p>
        </w:tc>
        <w:tc>
          <w:tcPr>
            <w:tcW w:w="2777" w:type="dxa"/>
          </w:tcPr>
          <w:p w14:paraId="14277803" w14:textId="77777777" w:rsidR="00B7190B" w:rsidRPr="00F85CC8" w:rsidRDefault="00B7190B" w:rsidP="00B47F85">
            <w:pPr>
              <w:rPr>
                <w:sz w:val="20"/>
                <w:szCs w:val="20"/>
              </w:rPr>
            </w:pPr>
            <w:r w:rsidRPr="00F85CC8">
              <w:rPr>
                <w:sz w:val="20"/>
                <w:szCs w:val="20"/>
              </w:rPr>
              <w:t>X</w:t>
            </w:r>
          </w:p>
        </w:tc>
        <w:tc>
          <w:tcPr>
            <w:tcW w:w="2779" w:type="dxa"/>
          </w:tcPr>
          <w:p w14:paraId="4933C35C" w14:textId="77777777" w:rsidR="00B7190B" w:rsidRPr="00F85CC8" w:rsidRDefault="00B7190B" w:rsidP="00B47F85">
            <w:pPr>
              <w:rPr>
                <w:sz w:val="20"/>
                <w:szCs w:val="20"/>
              </w:rPr>
            </w:pPr>
            <w:r w:rsidRPr="00F85CC8">
              <w:rPr>
                <w:sz w:val="20"/>
                <w:szCs w:val="20"/>
              </w:rPr>
              <w:t>X</w:t>
            </w:r>
          </w:p>
        </w:tc>
      </w:tr>
      <w:tr w:rsidR="00B7190B" w14:paraId="2F3B7E4B" w14:textId="77777777" w:rsidTr="003879B6">
        <w:trPr>
          <w:trHeight w:val="262"/>
        </w:trPr>
        <w:tc>
          <w:tcPr>
            <w:tcW w:w="1022" w:type="dxa"/>
          </w:tcPr>
          <w:p w14:paraId="17EFB2BA" w14:textId="77777777" w:rsidR="00B7190B" w:rsidRPr="00F85CC8" w:rsidRDefault="00B7190B" w:rsidP="00B47F85">
            <w:pPr>
              <w:rPr>
                <w:sz w:val="20"/>
                <w:szCs w:val="20"/>
              </w:rPr>
            </w:pPr>
            <w:r w:rsidRPr="00F85CC8">
              <w:rPr>
                <w:sz w:val="20"/>
                <w:szCs w:val="20"/>
              </w:rPr>
              <w:t>6_41</w:t>
            </w:r>
          </w:p>
        </w:tc>
        <w:tc>
          <w:tcPr>
            <w:tcW w:w="2777" w:type="dxa"/>
          </w:tcPr>
          <w:p w14:paraId="61A84968" w14:textId="77777777" w:rsidR="00B7190B" w:rsidRPr="00F85CC8" w:rsidRDefault="00B7190B" w:rsidP="00B47F85">
            <w:pPr>
              <w:rPr>
                <w:sz w:val="20"/>
                <w:szCs w:val="20"/>
              </w:rPr>
            </w:pPr>
            <w:r w:rsidRPr="00F85CC8">
              <w:rPr>
                <w:sz w:val="20"/>
                <w:szCs w:val="20"/>
              </w:rPr>
              <w:t>X</w:t>
            </w:r>
          </w:p>
        </w:tc>
        <w:tc>
          <w:tcPr>
            <w:tcW w:w="2777" w:type="dxa"/>
          </w:tcPr>
          <w:p w14:paraId="101511B2" w14:textId="77777777" w:rsidR="00B7190B" w:rsidRPr="00F85CC8" w:rsidRDefault="00B7190B" w:rsidP="00B47F85">
            <w:pPr>
              <w:rPr>
                <w:sz w:val="20"/>
                <w:szCs w:val="20"/>
              </w:rPr>
            </w:pPr>
            <w:r w:rsidRPr="00F85CC8">
              <w:rPr>
                <w:sz w:val="20"/>
                <w:szCs w:val="20"/>
              </w:rPr>
              <w:t>X</w:t>
            </w:r>
          </w:p>
        </w:tc>
        <w:tc>
          <w:tcPr>
            <w:tcW w:w="2779" w:type="dxa"/>
          </w:tcPr>
          <w:p w14:paraId="13549742" w14:textId="77777777" w:rsidR="00B7190B" w:rsidRPr="00F85CC8" w:rsidRDefault="00B7190B" w:rsidP="00B47F85">
            <w:pPr>
              <w:rPr>
                <w:sz w:val="20"/>
                <w:szCs w:val="20"/>
              </w:rPr>
            </w:pPr>
            <w:r w:rsidRPr="00F85CC8">
              <w:rPr>
                <w:sz w:val="20"/>
                <w:szCs w:val="20"/>
              </w:rPr>
              <w:t>X</w:t>
            </w:r>
          </w:p>
        </w:tc>
      </w:tr>
      <w:tr w:rsidR="00B7190B" w14:paraId="1D62F78F" w14:textId="77777777" w:rsidTr="003879B6">
        <w:trPr>
          <w:trHeight w:val="272"/>
        </w:trPr>
        <w:tc>
          <w:tcPr>
            <w:tcW w:w="1022" w:type="dxa"/>
          </w:tcPr>
          <w:p w14:paraId="72B224FA" w14:textId="77777777" w:rsidR="00B7190B" w:rsidRPr="00F85CC8" w:rsidRDefault="00B7190B" w:rsidP="00B47F85">
            <w:pPr>
              <w:rPr>
                <w:sz w:val="20"/>
                <w:szCs w:val="20"/>
              </w:rPr>
            </w:pPr>
            <w:r w:rsidRPr="00F85CC8">
              <w:rPr>
                <w:sz w:val="20"/>
                <w:szCs w:val="20"/>
              </w:rPr>
              <w:t>6_88</w:t>
            </w:r>
          </w:p>
        </w:tc>
        <w:tc>
          <w:tcPr>
            <w:tcW w:w="2777" w:type="dxa"/>
          </w:tcPr>
          <w:p w14:paraId="37418F12" w14:textId="77777777" w:rsidR="00B7190B" w:rsidRPr="00F85CC8" w:rsidRDefault="00B7190B" w:rsidP="00B47F85">
            <w:pPr>
              <w:rPr>
                <w:sz w:val="20"/>
                <w:szCs w:val="20"/>
              </w:rPr>
            </w:pPr>
          </w:p>
        </w:tc>
        <w:tc>
          <w:tcPr>
            <w:tcW w:w="2777" w:type="dxa"/>
          </w:tcPr>
          <w:p w14:paraId="691A6FF1" w14:textId="77777777" w:rsidR="00B7190B" w:rsidRPr="00F85CC8" w:rsidRDefault="00B7190B" w:rsidP="00B47F85">
            <w:pPr>
              <w:rPr>
                <w:sz w:val="20"/>
                <w:szCs w:val="20"/>
              </w:rPr>
            </w:pPr>
          </w:p>
        </w:tc>
        <w:tc>
          <w:tcPr>
            <w:tcW w:w="2779" w:type="dxa"/>
          </w:tcPr>
          <w:p w14:paraId="3645588D" w14:textId="77777777" w:rsidR="00B7190B" w:rsidRPr="00F85CC8" w:rsidRDefault="00B7190B" w:rsidP="00B47F85">
            <w:pPr>
              <w:rPr>
                <w:sz w:val="20"/>
                <w:szCs w:val="20"/>
              </w:rPr>
            </w:pPr>
            <w:r w:rsidRPr="00F85CC8">
              <w:rPr>
                <w:sz w:val="20"/>
                <w:szCs w:val="20"/>
              </w:rPr>
              <w:t>X</w:t>
            </w:r>
          </w:p>
        </w:tc>
      </w:tr>
      <w:tr w:rsidR="00B7190B" w14:paraId="7E21E487" w14:textId="77777777" w:rsidTr="003879B6">
        <w:trPr>
          <w:trHeight w:val="272"/>
        </w:trPr>
        <w:tc>
          <w:tcPr>
            <w:tcW w:w="1022" w:type="dxa"/>
          </w:tcPr>
          <w:p w14:paraId="701BC66B" w14:textId="77777777" w:rsidR="00B7190B" w:rsidRPr="00F85CC8" w:rsidRDefault="00B7190B" w:rsidP="00B47F85">
            <w:pPr>
              <w:rPr>
                <w:sz w:val="20"/>
                <w:szCs w:val="20"/>
              </w:rPr>
            </w:pPr>
            <w:r w:rsidRPr="00F85CC8">
              <w:rPr>
                <w:sz w:val="20"/>
                <w:szCs w:val="20"/>
              </w:rPr>
              <w:t>7_90</w:t>
            </w:r>
          </w:p>
        </w:tc>
        <w:tc>
          <w:tcPr>
            <w:tcW w:w="2777" w:type="dxa"/>
          </w:tcPr>
          <w:p w14:paraId="7497E6BC" w14:textId="60A160E8" w:rsidR="00B7190B" w:rsidRPr="00F85CC8" w:rsidRDefault="00B7190B" w:rsidP="00B47F85">
            <w:pPr>
              <w:rPr>
                <w:sz w:val="20"/>
                <w:szCs w:val="20"/>
              </w:rPr>
            </w:pPr>
          </w:p>
        </w:tc>
        <w:tc>
          <w:tcPr>
            <w:tcW w:w="2777" w:type="dxa"/>
          </w:tcPr>
          <w:p w14:paraId="027BC1D9" w14:textId="77777777" w:rsidR="00B7190B" w:rsidRPr="00F85CC8" w:rsidRDefault="00B7190B" w:rsidP="00B47F85">
            <w:pPr>
              <w:rPr>
                <w:sz w:val="20"/>
                <w:szCs w:val="20"/>
              </w:rPr>
            </w:pPr>
          </w:p>
        </w:tc>
        <w:tc>
          <w:tcPr>
            <w:tcW w:w="2779" w:type="dxa"/>
          </w:tcPr>
          <w:p w14:paraId="60C84592" w14:textId="77777777" w:rsidR="00B7190B" w:rsidRPr="00F85CC8" w:rsidRDefault="00B7190B" w:rsidP="00B47F85">
            <w:pPr>
              <w:rPr>
                <w:sz w:val="20"/>
                <w:szCs w:val="20"/>
              </w:rPr>
            </w:pPr>
            <w:r w:rsidRPr="00F85CC8">
              <w:rPr>
                <w:sz w:val="20"/>
                <w:szCs w:val="20"/>
              </w:rPr>
              <w:t>X</w:t>
            </w:r>
          </w:p>
        </w:tc>
      </w:tr>
      <w:tr w:rsidR="00B7190B" w14:paraId="1B7A3D1B" w14:textId="77777777" w:rsidTr="003879B6">
        <w:trPr>
          <w:trHeight w:val="272"/>
        </w:trPr>
        <w:tc>
          <w:tcPr>
            <w:tcW w:w="1022" w:type="dxa"/>
          </w:tcPr>
          <w:p w14:paraId="754914DD" w14:textId="77777777" w:rsidR="00B7190B" w:rsidRPr="00F85CC8" w:rsidRDefault="00B7190B" w:rsidP="00B47F85">
            <w:pPr>
              <w:rPr>
                <w:sz w:val="20"/>
                <w:szCs w:val="20"/>
              </w:rPr>
            </w:pPr>
            <w:r w:rsidRPr="00F85CC8">
              <w:rPr>
                <w:sz w:val="20"/>
                <w:szCs w:val="20"/>
              </w:rPr>
              <w:t>7_91</w:t>
            </w:r>
          </w:p>
        </w:tc>
        <w:tc>
          <w:tcPr>
            <w:tcW w:w="2777" w:type="dxa"/>
          </w:tcPr>
          <w:p w14:paraId="0FB24C03" w14:textId="77777777" w:rsidR="00B7190B" w:rsidRPr="00F85CC8" w:rsidRDefault="00B7190B" w:rsidP="00B47F85">
            <w:pPr>
              <w:rPr>
                <w:sz w:val="20"/>
                <w:szCs w:val="20"/>
              </w:rPr>
            </w:pPr>
            <w:r w:rsidRPr="00F85CC8">
              <w:rPr>
                <w:sz w:val="20"/>
                <w:szCs w:val="20"/>
              </w:rPr>
              <w:t>X</w:t>
            </w:r>
          </w:p>
        </w:tc>
        <w:tc>
          <w:tcPr>
            <w:tcW w:w="2777" w:type="dxa"/>
          </w:tcPr>
          <w:p w14:paraId="461ACDF4" w14:textId="77777777" w:rsidR="00B7190B" w:rsidRPr="00F85CC8" w:rsidRDefault="00B7190B" w:rsidP="00B47F85">
            <w:pPr>
              <w:rPr>
                <w:sz w:val="20"/>
                <w:szCs w:val="20"/>
              </w:rPr>
            </w:pPr>
          </w:p>
        </w:tc>
        <w:tc>
          <w:tcPr>
            <w:tcW w:w="2779" w:type="dxa"/>
          </w:tcPr>
          <w:p w14:paraId="0D5BF2B2" w14:textId="77777777" w:rsidR="00B7190B" w:rsidRPr="00F85CC8" w:rsidRDefault="00B7190B" w:rsidP="00B47F85">
            <w:pPr>
              <w:rPr>
                <w:sz w:val="20"/>
                <w:szCs w:val="20"/>
              </w:rPr>
            </w:pPr>
            <w:r w:rsidRPr="00F85CC8">
              <w:rPr>
                <w:sz w:val="20"/>
                <w:szCs w:val="20"/>
              </w:rPr>
              <w:t>X</w:t>
            </w:r>
          </w:p>
        </w:tc>
      </w:tr>
      <w:tr w:rsidR="00B7190B" w14:paraId="24F8CB04" w14:textId="77777777" w:rsidTr="003879B6">
        <w:trPr>
          <w:trHeight w:val="272"/>
        </w:trPr>
        <w:tc>
          <w:tcPr>
            <w:tcW w:w="1022" w:type="dxa"/>
          </w:tcPr>
          <w:p w14:paraId="439DCAD5" w14:textId="77777777" w:rsidR="00B7190B" w:rsidRPr="00F85CC8" w:rsidRDefault="00B7190B" w:rsidP="00B47F85">
            <w:pPr>
              <w:rPr>
                <w:sz w:val="20"/>
                <w:szCs w:val="20"/>
              </w:rPr>
            </w:pPr>
            <w:r w:rsidRPr="00F85CC8">
              <w:rPr>
                <w:sz w:val="20"/>
                <w:szCs w:val="20"/>
              </w:rPr>
              <w:t>7_99</w:t>
            </w:r>
          </w:p>
        </w:tc>
        <w:tc>
          <w:tcPr>
            <w:tcW w:w="2777" w:type="dxa"/>
          </w:tcPr>
          <w:p w14:paraId="177B1F94" w14:textId="77777777" w:rsidR="00B7190B" w:rsidRPr="00F85CC8" w:rsidRDefault="00B7190B" w:rsidP="00B47F85">
            <w:pPr>
              <w:rPr>
                <w:sz w:val="20"/>
                <w:szCs w:val="20"/>
              </w:rPr>
            </w:pPr>
          </w:p>
        </w:tc>
        <w:tc>
          <w:tcPr>
            <w:tcW w:w="2777" w:type="dxa"/>
          </w:tcPr>
          <w:p w14:paraId="69772E34" w14:textId="77777777" w:rsidR="00B7190B" w:rsidRPr="00F85CC8" w:rsidRDefault="00B7190B" w:rsidP="00B47F85">
            <w:pPr>
              <w:rPr>
                <w:sz w:val="20"/>
                <w:szCs w:val="20"/>
              </w:rPr>
            </w:pPr>
          </w:p>
        </w:tc>
        <w:tc>
          <w:tcPr>
            <w:tcW w:w="2779" w:type="dxa"/>
          </w:tcPr>
          <w:p w14:paraId="1C347EFF" w14:textId="77777777" w:rsidR="00B7190B" w:rsidRPr="00F85CC8" w:rsidRDefault="00B7190B" w:rsidP="00B47F85">
            <w:pPr>
              <w:rPr>
                <w:sz w:val="20"/>
                <w:szCs w:val="20"/>
              </w:rPr>
            </w:pPr>
            <w:r w:rsidRPr="00F85CC8">
              <w:rPr>
                <w:sz w:val="20"/>
                <w:szCs w:val="20"/>
              </w:rPr>
              <w:t>X</w:t>
            </w:r>
          </w:p>
        </w:tc>
      </w:tr>
      <w:tr w:rsidR="00B7190B" w14:paraId="510A1F6A" w14:textId="77777777" w:rsidTr="003879B6">
        <w:trPr>
          <w:trHeight w:val="272"/>
        </w:trPr>
        <w:tc>
          <w:tcPr>
            <w:tcW w:w="1022" w:type="dxa"/>
          </w:tcPr>
          <w:p w14:paraId="77910BC7" w14:textId="77777777" w:rsidR="00B7190B" w:rsidRPr="00F85CC8" w:rsidRDefault="00B7190B" w:rsidP="00B47F85">
            <w:pPr>
              <w:rPr>
                <w:sz w:val="20"/>
                <w:szCs w:val="20"/>
              </w:rPr>
            </w:pPr>
            <w:r w:rsidRPr="00F85CC8">
              <w:rPr>
                <w:sz w:val="20"/>
                <w:szCs w:val="20"/>
              </w:rPr>
              <w:t>7_101</w:t>
            </w:r>
          </w:p>
        </w:tc>
        <w:tc>
          <w:tcPr>
            <w:tcW w:w="2777" w:type="dxa"/>
          </w:tcPr>
          <w:p w14:paraId="127DBB65" w14:textId="77777777" w:rsidR="00B7190B" w:rsidRPr="00F85CC8" w:rsidRDefault="00B7190B" w:rsidP="00B47F85">
            <w:pPr>
              <w:rPr>
                <w:sz w:val="20"/>
                <w:szCs w:val="20"/>
              </w:rPr>
            </w:pPr>
          </w:p>
        </w:tc>
        <w:tc>
          <w:tcPr>
            <w:tcW w:w="2777" w:type="dxa"/>
          </w:tcPr>
          <w:p w14:paraId="7C8ACCF5" w14:textId="77777777" w:rsidR="00B7190B" w:rsidRPr="00F85CC8" w:rsidRDefault="00B7190B" w:rsidP="00B47F85">
            <w:pPr>
              <w:rPr>
                <w:sz w:val="20"/>
                <w:szCs w:val="20"/>
              </w:rPr>
            </w:pPr>
          </w:p>
        </w:tc>
        <w:tc>
          <w:tcPr>
            <w:tcW w:w="2779" w:type="dxa"/>
          </w:tcPr>
          <w:p w14:paraId="73E5C6D7" w14:textId="77777777" w:rsidR="00B7190B" w:rsidRPr="00F85CC8" w:rsidRDefault="00B7190B" w:rsidP="00B47F85">
            <w:pPr>
              <w:rPr>
                <w:sz w:val="20"/>
                <w:szCs w:val="20"/>
              </w:rPr>
            </w:pPr>
            <w:r w:rsidRPr="00F85CC8">
              <w:rPr>
                <w:sz w:val="20"/>
                <w:szCs w:val="20"/>
              </w:rPr>
              <w:t>X</w:t>
            </w:r>
          </w:p>
        </w:tc>
      </w:tr>
      <w:tr w:rsidR="00B7190B" w14:paraId="15FC6F99" w14:textId="77777777" w:rsidTr="003879B6">
        <w:trPr>
          <w:trHeight w:val="272"/>
        </w:trPr>
        <w:tc>
          <w:tcPr>
            <w:tcW w:w="1022" w:type="dxa"/>
          </w:tcPr>
          <w:p w14:paraId="1B5C510D" w14:textId="77777777" w:rsidR="00B7190B" w:rsidRPr="00F85CC8" w:rsidRDefault="00B7190B" w:rsidP="00B47F85">
            <w:pPr>
              <w:rPr>
                <w:sz w:val="20"/>
                <w:szCs w:val="20"/>
              </w:rPr>
            </w:pPr>
            <w:r w:rsidRPr="00F85CC8">
              <w:rPr>
                <w:sz w:val="20"/>
                <w:szCs w:val="20"/>
              </w:rPr>
              <w:t>11_69</w:t>
            </w:r>
          </w:p>
        </w:tc>
        <w:tc>
          <w:tcPr>
            <w:tcW w:w="2777" w:type="dxa"/>
          </w:tcPr>
          <w:p w14:paraId="3F9E2375" w14:textId="77777777" w:rsidR="00B7190B" w:rsidRPr="00F85CC8" w:rsidRDefault="00B7190B" w:rsidP="00B47F85">
            <w:pPr>
              <w:rPr>
                <w:sz w:val="20"/>
                <w:szCs w:val="20"/>
              </w:rPr>
            </w:pPr>
          </w:p>
        </w:tc>
        <w:tc>
          <w:tcPr>
            <w:tcW w:w="2777" w:type="dxa"/>
          </w:tcPr>
          <w:p w14:paraId="30C32123" w14:textId="77777777" w:rsidR="00B7190B" w:rsidRPr="00F85CC8" w:rsidRDefault="00B7190B" w:rsidP="00B47F85">
            <w:pPr>
              <w:rPr>
                <w:sz w:val="20"/>
                <w:szCs w:val="20"/>
              </w:rPr>
            </w:pPr>
          </w:p>
        </w:tc>
        <w:tc>
          <w:tcPr>
            <w:tcW w:w="2779" w:type="dxa"/>
          </w:tcPr>
          <w:p w14:paraId="48DB0931" w14:textId="77777777" w:rsidR="00B7190B" w:rsidRPr="00F85CC8" w:rsidRDefault="00B7190B" w:rsidP="00B47F85">
            <w:pPr>
              <w:rPr>
                <w:sz w:val="20"/>
                <w:szCs w:val="20"/>
              </w:rPr>
            </w:pPr>
            <w:r w:rsidRPr="00F85CC8">
              <w:rPr>
                <w:sz w:val="20"/>
                <w:szCs w:val="20"/>
              </w:rPr>
              <w:t>X</w:t>
            </w:r>
          </w:p>
        </w:tc>
      </w:tr>
      <w:tr w:rsidR="00B7190B" w14:paraId="5032A790" w14:textId="77777777" w:rsidTr="003879B6">
        <w:trPr>
          <w:trHeight w:val="272"/>
        </w:trPr>
        <w:tc>
          <w:tcPr>
            <w:tcW w:w="1022" w:type="dxa"/>
          </w:tcPr>
          <w:p w14:paraId="0D6BCF04" w14:textId="77777777" w:rsidR="00B7190B" w:rsidRPr="00F85CC8" w:rsidRDefault="00B7190B" w:rsidP="00B47F85">
            <w:pPr>
              <w:rPr>
                <w:sz w:val="20"/>
                <w:szCs w:val="20"/>
              </w:rPr>
            </w:pPr>
            <w:r w:rsidRPr="00F85CC8">
              <w:rPr>
                <w:sz w:val="20"/>
                <w:szCs w:val="20"/>
              </w:rPr>
              <w:t>12_54</w:t>
            </w:r>
          </w:p>
        </w:tc>
        <w:tc>
          <w:tcPr>
            <w:tcW w:w="2777" w:type="dxa"/>
          </w:tcPr>
          <w:p w14:paraId="7BF1847F" w14:textId="77777777" w:rsidR="00B7190B" w:rsidRPr="00F85CC8" w:rsidRDefault="00B7190B" w:rsidP="00B47F85">
            <w:pPr>
              <w:rPr>
                <w:sz w:val="20"/>
                <w:szCs w:val="20"/>
              </w:rPr>
            </w:pPr>
          </w:p>
        </w:tc>
        <w:tc>
          <w:tcPr>
            <w:tcW w:w="2777" w:type="dxa"/>
          </w:tcPr>
          <w:p w14:paraId="7B74F73E" w14:textId="77777777" w:rsidR="00B7190B" w:rsidRPr="00F85CC8" w:rsidRDefault="00B7190B" w:rsidP="00B47F85">
            <w:pPr>
              <w:rPr>
                <w:sz w:val="20"/>
                <w:szCs w:val="20"/>
              </w:rPr>
            </w:pPr>
          </w:p>
        </w:tc>
        <w:tc>
          <w:tcPr>
            <w:tcW w:w="2779" w:type="dxa"/>
          </w:tcPr>
          <w:p w14:paraId="513DF025" w14:textId="77777777" w:rsidR="00B7190B" w:rsidRPr="00F85CC8" w:rsidRDefault="00B7190B" w:rsidP="00B47F85">
            <w:pPr>
              <w:rPr>
                <w:sz w:val="20"/>
                <w:szCs w:val="20"/>
              </w:rPr>
            </w:pPr>
            <w:r w:rsidRPr="00F85CC8">
              <w:rPr>
                <w:sz w:val="20"/>
                <w:szCs w:val="20"/>
              </w:rPr>
              <w:t>X</w:t>
            </w:r>
          </w:p>
        </w:tc>
      </w:tr>
      <w:tr w:rsidR="00B7190B" w14:paraId="0238CDE9" w14:textId="77777777" w:rsidTr="003879B6">
        <w:trPr>
          <w:trHeight w:val="272"/>
        </w:trPr>
        <w:tc>
          <w:tcPr>
            <w:tcW w:w="1022" w:type="dxa"/>
          </w:tcPr>
          <w:p w14:paraId="42531D46" w14:textId="77777777" w:rsidR="00B7190B" w:rsidRPr="00F85CC8" w:rsidRDefault="00B7190B" w:rsidP="00B47F85">
            <w:pPr>
              <w:rPr>
                <w:sz w:val="20"/>
                <w:szCs w:val="20"/>
              </w:rPr>
            </w:pPr>
            <w:r w:rsidRPr="00F85CC8">
              <w:rPr>
                <w:sz w:val="20"/>
                <w:szCs w:val="20"/>
              </w:rPr>
              <w:t>13_70</w:t>
            </w:r>
          </w:p>
        </w:tc>
        <w:tc>
          <w:tcPr>
            <w:tcW w:w="2777" w:type="dxa"/>
          </w:tcPr>
          <w:p w14:paraId="0996D7BB" w14:textId="77777777" w:rsidR="00B7190B" w:rsidRPr="00F85CC8" w:rsidRDefault="00B7190B" w:rsidP="00B47F85">
            <w:pPr>
              <w:rPr>
                <w:sz w:val="20"/>
                <w:szCs w:val="20"/>
              </w:rPr>
            </w:pPr>
          </w:p>
        </w:tc>
        <w:tc>
          <w:tcPr>
            <w:tcW w:w="2777" w:type="dxa"/>
          </w:tcPr>
          <w:p w14:paraId="7ADED77A" w14:textId="77777777" w:rsidR="00B7190B" w:rsidRPr="00F85CC8" w:rsidRDefault="00B7190B" w:rsidP="00B47F85">
            <w:pPr>
              <w:rPr>
                <w:sz w:val="20"/>
                <w:szCs w:val="20"/>
              </w:rPr>
            </w:pPr>
          </w:p>
        </w:tc>
        <w:tc>
          <w:tcPr>
            <w:tcW w:w="2779" w:type="dxa"/>
          </w:tcPr>
          <w:p w14:paraId="51FD6C83" w14:textId="77777777" w:rsidR="00B7190B" w:rsidRPr="00F85CC8" w:rsidRDefault="00B7190B" w:rsidP="00B47F85">
            <w:pPr>
              <w:rPr>
                <w:sz w:val="20"/>
                <w:szCs w:val="20"/>
              </w:rPr>
            </w:pPr>
            <w:r w:rsidRPr="00F85CC8">
              <w:rPr>
                <w:sz w:val="20"/>
                <w:szCs w:val="20"/>
              </w:rPr>
              <w:t>X</w:t>
            </w:r>
          </w:p>
        </w:tc>
      </w:tr>
      <w:tr w:rsidR="00B7190B" w14:paraId="439DF235" w14:textId="77777777" w:rsidTr="003879B6">
        <w:trPr>
          <w:trHeight w:val="272"/>
        </w:trPr>
        <w:tc>
          <w:tcPr>
            <w:tcW w:w="1022" w:type="dxa"/>
          </w:tcPr>
          <w:p w14:paraId="584021D5" w14:textId="77777777" w:rsidR="00B7190B" w:rsidRPr="00F85CC8" w:rsidRDefault="00B7190B" w:rsidP="00B47F85">
            <w:pPr>
              <w:rPr>
                <w:sz w:val="20"/>
                <w:szCs w:val="20"/>
              </w:rPr>
            </w:pPr>
            <w:r w:rsidRPr="00F85CC8">
              <w:rPr>
                <w:sz w:val="20"/>
                <w:szCs w:val="20"/>
              </w:rPr>
              <w:t>14_02</w:t>
            </w:r>
          </w:p>
        </w:tc>
        <w:tc>
          <w:tcPr>
            <w:tcW w:w="2777" w:type="dxa"/>
          </w:tcPr>
          <w:p w14:paraId="2F5EDF72" w14:textId="77777777" w:rsidR="00B7190B" w:rsidRPr="00F85CC8" w:rsidRDefault="00B7190B" w:rsidP="00B47F85">
            <w:pPr>
              <w:rPr>
                <w:sz w:val="20"/>
                <w:szCs w:val="20"/>
              </w:rPr>
            </w:pPr>
          </w:p>
        </w:tc>
        <w:tc>
          <w:tcPr>
            <w:tcW w:w="2777" w:type="dxa"/>
          </w:tcPr>
          <w:p w14:paraId="65AED494" w14:textId="77777777" w:rsidR="00B7190B" w:rsidRPr="00F85CC8" w:rsidRDefault="00B7190B" w:rsidP="00B47F85">
            <w:pPr>
              <w:rPr>
                <w:sz w:val="20"/>
                <w:szCs w:val="20"/>
              </w:rPr>
            </w:pPr>
          </w:p>
        </w:tc>
        <w:tc>
          <w:tcPr>
            <w:tcW w:w="2779" w:type="dxa"/>
          </w:tcPr>
          <w:p w14:paraId="7F1E2C7F" w14:textId="77777777" w:rsidR="00B7190B" w:rsidRPr="00F85CC8" w:rsidRDefault="00B7190B" w:rsidP="00B47F85">
            <w:pPr>
              <w:rPr>
                <w:sz w:val="20"/>
                <w:szCs w:val="20"/>
              </w:rPr>
            </w:pPr>
            <w:r w:rsidRPr="00F85CC8">
              <w:rPr>
                <w:sz w:val="20"/>
                <w:szCs w:val="20"/>
              </w:rPr>
              <w:t>X</w:t>
            </w:r>
          </w:p>
        </w:tc>
      </w:tr>
      <w:tr w:rsidR="00B7190B" w14:paraId="708B5082" w14:textId="77777777" w:rsidTr="003879B6">
        <w:trPr>
          <w:trHeight w:val="272"/>
        </w:trPr>
        <w:tc>
          <w:tcPr>
            <w:tcW w:w="1022" w:type="dxa"/>
          </w:tcPr>
          <w:p w14:paraId="2DC3C245" w14:textId="77777777" w:rsidR="00B7190B" w:rsidRPr="00F85CC8" w:rsidRDefault="00B7190B" w:rsidP="00B47F85">
            <w:pPr>
              <w:rPr>
                <w:sz w:val="20"/>
                <w:szCs w:val="20"/>
              </w:rPr>
            </w:pPr>
            <w:r w:rsidRPr="00F85CC8">
              <w:rPr>
                <w:sz w:val="20"/>
                <w:szCs w:val="20"/>
              </w:rPr>
              <w:t>14_22</w:t>
            </w:r>
          </w:p>
        </w:tc>
        <w:tc>
          <w:tcPr>
            <w:tcW w:w="2777" w:type="dxa"/>
          </w:tcPr>
          <w:p w14:paraId="4A00AA4E" w14:textId="77777777" w:rsidR="00B7190B" w:rsidRPr="00F85CC8" w:rsidRDefault="00B7190B" w:rsidP="00B47F85">
            <w:pPr>
              <w:rPr>
                <w:sz w:val="20"/>
                <w:szCs w:val="20"/>
              </w:rPr>
            </w:pPr>
          </w:p>
        </w:tc>
        <w:tc>
          <w:tcPr>
            <w:tcW w:w="2777" w:type="dxa"/>
          </w:tcPr>
          <w:p w14:paraId="169258FE" w14:textId="77777777" w:rsidR="00B7190B" w:rsidRPr="00F85CC8" w:rsidRDefault="00B7190B" w:rsidP="00B47F85">
            <w:pPr>
              <w:rPr>
                <w:sz w:val="20"/>
                <w:szCs w:val="20"/>
              </w:rPr>
            </w:pPr>
          </w:p>
        </w:tc>
        <w:tc>
          <w:tcPr>
            <w:tcW w:w="2779" w:type="dxa"/>
          </w:tcPr>
          <w:p w14:paraId="076CB5E9" w14:textId="77777777" w:rsidR="00B7190B" w:rsidRPr="00F85CC8" w:rsidRDefault="00B7190B" w:rsidP="00B47F85">
            <w:pPr>
              <w:rPr>
                <w:sz w:val="20"/>
                <w:szCs w:val="20"/>
              </w:rPr>
            </w:pPr>
            <w:r w:rsidRPr="00F85CC8">
              <w:rPr>
                <w:sz w:val="20"/>
                <w:szCs w:val="20"/>
              </w:rPr>
              <w:t>X</w:t>
            </w:r>
          </w:p>
        </w:tc>
      </w:tr>
      <w:tr w:rsidR="00B7190B" w14:paraId="4BB72226" w14:textId="77777777" w:rsidTr="003879B6">
        <w:trPr>
          <w:trHeight w:val="262"/>
        </w:trPr>
        <w:tc>
          <w:tcPr>
            <w:tcW w:w="1022" w:type="dxa"/>
          </w:tcPr>
          <w:p w14:paraId="2B9C7327" w14:textId="77777777" w:rsidR="00B7190B" w:rsidRPr="00F85CC8" w:rsidRDefault="00B7190B" w:rsidP="00B47F85">
            <w:pPr>
              <w:rPr>
                <w:sz w:val="20"/>
                <w:szCs w:val="20"/>
              </w:rPr>
            </w:pPr>
            <w:r w:rsidRPr="00F85CC8">
              <w:rPr>
                <w:sz w:val="20"/>
                <w:szCs w:val="20"/>
              </w:rPr>
              <w:t>14_23</w:t>
            </w:r>
          </w:p>
        </w:tc>
        <w:tc>
          <w:tcPr>
            <w:tcW w:w="2777" w:type="dxa"/>
          </w:tcPr>
          <w:p w14:paraId="2BFA769C" w14:textId="77777777" w:rsidR="00B7190B" w:rsidRPr="00F85CC8" w:rsidRDefault="00B7190B" w:rsidP="00B47F85">
            <w:pPr>
              <w:rPr>
                <w:sz w:val="20"/>
                <w:szCs w:val="20"/>
              </w:rPr>
            </w:pPr>
            <w:r w:rsidRPr="00F85CC8">
              <w:rPr>
                <w:sz w:val="20"/>
                <w:szCs w:val="20"/>
              </w:rPr>
              <w:t>X</w:t>
            </w:r>
          </w:p>
        </w:tc>
        <w:tc>
          <w:tcPr>
            <w:tcW w:w="2777" w:type="dxa"/>
          </w:tcPr>
          <w:p w14:paraId="42A51789" w14:textId="77777777" w:rsidR="00B7190B" w:rsidRPr="00F85CC8" w:rsidRDefault="00B7190B" w:rsidP="00B47F85">
            <w:pPr>
              <w:rPr>
                <w:sz w:val="20"/>
                <w:szCs w:val="20"/>
              </w:rPr>
            </w:pPr>
            <w:r w:rsidRPr="00F85CC8">
              <w:rPr>
                <w:sz w:val="20"/>
                <w:szCs w:val="20"/>
              </w:rPr>
              <w:t>X</w:t>
            </w:r>
          </w:p>
        </w:tc>
        <w:tc>
          <w:tcPr>
            <w:tcW w:w="2779" w:type="dxa"/>
          </w:tcPr>
          <w:p w14:paraId="5284CCF1" w14:textId="77777777" w:rsidR="00B7190B" w:rsidRPr="00F85CC8" w:rsidRDefault="00B7190B" w:rsidP="00B47F85">
            <w:pPr>
              <w:rPr>
                <w:sz w:val="20"/>
                <w:szCs w:val="20"/>
              </w:rPr>
            </w:pPr>
            <w:r w:rsidRPr="00F85CC8">
              <w:rPr>
                <w:sz w:val="20"/>
                <w:szCs w:val="20"/>
              </w:rPr>
              <w:t>X</w:t>
            </w:r>
          </w:p>
        </w:tc>
      </w:tr>
      <w:tr w:rsidR="00B7190B" w14:paraId="30BFD527" w14:textId="77777777" w:rsidTr="003879B6">
        <w:trPr>
          <w:trHeight w:val="272"/>
        </w:trPr>
        <w:tc>
          <w:tcPr>
            <w:tcW w:w="1022" w:type="dxa"/>
          </w:tcPr>
          <w:p w14:paraId="4BA5FB86" w14:textId="77777777" w:rsidR="00B7190B" w:rsidRPr="00F85CC8" w:rsidRDefault="00B7190B" w:rsidP="00B47F85">
            <w:pPr>
              <w:rPr>
                <w:sz w:val="20"/>
                <w:szCs w:val="20"/>
              </w:rPr>
            </w:pPr>
            <w:r w:rsidRPr="00F85CC8">
              <w:rPr>
                <w:sz w:val="20"/>
                <w:szCs w:val="20"/>
              </w:rPr>
              <w:t>14_24</w:t>
            </w:r>
          </w:p>
        </w:tc>
        <w:tc>
          <w:tcPr>
            <w:tcW w:w="2777" w:type="dxa"/>
          </w:tcPr>
          <w:p w14:paraId="39AF16DA" w14:textId="77777777" w:rsidR="00B7190B" w:rsidRPr="00F85CC8" w:rsidRDefault="00B7190B" w:rsidP="00B47F85">
            <w:pPr>
              <w:rPr>
                <w:sz w:val="20"/>
                <w:szCs w:val="20"/>
              </w:rPr>
            </w:pPr>
            <w:r w:rsidRPr="00F85CC8">
              <w:rPr>
                <w:sz w:val="20"/>
                <w:szCs w:val="20"/>
              </w:rPr>
              <w:t>X</w:t>
            </w:r>
          </w:p>
        </w:tc>
        <w:tc>
          <w:tcPr>
            <w:tcW w:w="2777" w:type="dxa"/>
          </w:tcPr>
          <w:p w14:paraId="0D0C7480" w14:textId="77777777" w:rsidR="00B7190B" w:rsidRPr="00F85CC8" w:rsidRDefault="00B7190B" w:rsidP="00B47F85">
            <w:pPr>
              <w:rPr>
                <w:sz w:val="20"/>
                <w:szCs w:val="20"/>
              </w:rPr>
            </w:pPr>
            <w:r w:rsidRPr="00F85CC8">
              <w:rPr>
                <w:sz w:val="20"/>
                <w:szCs w:val="20"/>
              </w:rPr>
              <w:t>X</w:t>
            </w:r>
          </w:p>
        </w:tc>
        <w:tc>
          <w:tcPr>
            <w:tcW w:w="2779" w:type="dxa"/>
          </w:tcPr>
          <w:p w14:paraId="31DE1B08" w14:textId="77777777" w:rsidR="00B7190B" w:rsidRPr="00F85CC8" w:rsidRDefault="00B7190B" w:rsidP="00B47F85">
            <w:pPr>
              <w:rPr>
                <w:sz w:val="20"/>
                <w:szCs w:val="20"/>
              </w:rPr>
            </w:pPr>
            <w:r w:rsidRPr="00F85CC8">
              <w:rPr>
                <w:sz w:val="20"/>
                <w:szCs w:val="20"/>
              </w:rPr>
              <w:t>X</w:t>
            </w:r>
          </w:p>
        </w:tc>
      </w:tr>
      <w:tr w:rsidR="00B7190B" w14:paraId="5C05A910" w14:textId="77777777" w:rsidTr="003879B6">
        <w:trPr>
          <w:trHeight w:val="272"/>
        </w:trPr>
        <w:tc>
          <w:tcPr>
            <w:tcW w:w="1022" w:type="dxa"/>
          </w:tcPr>
          <w:p w14:paraId="4A610B70" w14:textId="77777777" w:rsidR="00B7190B" w:rsidRPr="00F85CC8" w:rsidRDefault="00B7190B" w:rsidP="00B47F85">
            <w:pPr>
              <w:rPr>
                <w:sz w:val="20"/>
                <w:szCs w:val="20"/>
              </w:rPr>
            </w:pPr>
            <w:r w:rsidRPr="00F85CC8">
              <w:rPr>
                <w:sz w:val="20"/>
                <w:szCs w:val="20"/>
              </w:rPr>
              <w:t>14_25</w:t>
            </w:r>
          </w:p>
        </w:tc>
        <w:tc>
          <w:tcPr>
            <w:tcW w:w="2777" w:type="dxa"/>
          </w:tcPr>
          <w:p w14:paraId="0800B277" w14:textId="77777777" w:rsidR="00B7190B" w:rsidRPr="00F85CC8" w:rsidRDefault="00B7190B" w:rsidP="00B47F85">
            <w:pPr>
              <w:rPr>
                <w:sz w:val="20"/>
                <w:szCs w:val="20"/>
              </w:rPr>
            </w:pPr>
          </w:p>
        </w:tc>
        <w:tc>
          <w:tcPr>
            <w:tcW w:w="2777" w:type="dxa"/>
          </w:tcPr>
          <w:p w14:paraId="1DCB2C7D" w14:textId="77777777" w:rsidR="00B7190B" w:rsidRPr="00F85CC8" w:rsidRDefault="00B7190B" w:rsidP="00B47F85">
            <w:pPr>
              <w:rPr>
                <w:sz w:val="20"/>
                <w:szCs w:val="20"/>
              </w:rPr>
            </w:pPr>
            <w:r w:rsidRPr="00F85CC8">
              <w:rPr>
                <w:sz w:val="20"/>
                <w:szCs w:val="20"/>
              </w:rPr>
              <w:t>X</w:t>
            </w:r>
          </w:p>
        </w:tc>
        <w:tc>
          <w:tcPr>
            <w:tcW w:w="2779" w:type="dxa"/>
          </w:tcPr>
          <w:p w14:paraId="1676862A" w14:textId="77777777" w:rsidR="00B7190B" w:rsidRPr="00F85CC8" w:rsidRDefault="00B7190B" w:rsidP="00B47F85">
            <w:pPr>
              <w:rPr>
                <w:sz w:val="20"/>
                <w:szCs w:val="20"/>
              </w:rPr>
            </w:pPr>
            <w:r w:rsidRPr="00F85CC8">
              <w:rPr>
                <w:sz w:val="20"/>
                <w:szCs w:val="20"/>
              </w:rPr>
              <w:t>X</w:t>
            </w:r>
          </w:p>
        </w:tc>
      </w:tr>
      <w:tr w:rsidR="00B7190B" w14:paraId="162330DA" w14:textId="77777777" w:rsidTr="003879B6">
        <w:trPr>
          <w:trHeight w:val="262"/>
        </w:trPr>
        <w:tc>
          <w:tcPr>
            <w:tcW w:w="1022" w:type="dxa"/>
          </w:tcPr>
          <w:p w14:paraId="0129E355" w14:textId="77777777" w:rsidR="00B7190B" w:rsidRPr="00F85CC8" w:rsidRDefault="00B7190B" w:rsidP="00B47F85">
            <w:pPr>
              <w:rPr>
                <w:sz w:val="20"/>
                <w:szCs w:val="20"/>
              </w:rPr>
            </w:pPr>
            <w:r w:rsidRPr="00F85CC8">
              <w:rPr>
                <w:sz w:val="20"/>
                <w:szCs w:val="20"/>
              </w:rPr>
              <w:t>20_03</w:t>
            </w:r>
          </w:p>
        </w:tc>
        <w:tc>
          <w:tcPr>
            <w:tcW w:w="2777" w:type="dxa"/>
          </w:tcPr>
          <w:p w14:paraId="3F02F1C5" w14:textId="2F0F5E8E" w:rsidR="00B7190B" w:rsidRPr="00F85CC8" w:rsidRDefault="00B7190B" w:rsidP="00B47F85">
            <w:pPr>
              <w:rPr>
                <w:sz w:val="20"/>
                <w:szCs w:val="20"/>
              </w:rPr>
            </w:pPr>
          </w:p>
        </w:tc>
        <w:tc>
          <w:tcPr>
            <w:tcW w:w="2777" w:type="dxa"/>
          </w:tcPr>
          <w:p w14:paraId="6F01EDC1" w14:textId="77777777" w:rsidR="00B7190B" w:rsidRPr="00F85CC8" w:rsidRDefault="00B7190B" w:rsidP="00B47F85">
            <w:pPr>
              <w:rPr>
                <w:sz w:val="20"/>
                <w:szCs w:val="20"/>
              </w:rPr>
            </w:pPr>
          </w:p>
        </w:tc>
        <w:tc>
          <w:tcPr>
            <w:tcW w:w="2779" w:type="dxa"/>
          </w:tcPr>
          <w:p w14:paraId="380AEC97" w14:textId="77777777" w:rsidR="00B7190B" w:rsidRPr="00F85CC8" w:rsidRDefault="00B7190B" w:rsidP="00B47F85">
            <w:pPr>
              <w:rPr>
                <w:sz w:val="20"/>
                <w:szCs w:val="20"/>
              </w:rPr>
            </w:pPr>
          </w:p>
        </w:tc>
      </w:tr>
      <w:tr w:rsidR="00B7190B" w14:paraId="07F3ED18" w14:textId="77777777" w:rsidTr="003879B6">
        <w:trPr>
          <w:trHeight w:val="272"/>
        </w:trPr>
        <w:tc>
          <w:tcPr>
            <w:tcW w:w="1022" w:type="dxa"/>
          </w:tcPr>
          <w:p w14:paraId="5F15E66C" w14:textId="77777777" w:rsidR="00B7190B" w:rsidRPr="00F85CC8" w:rsidRDefault="00B7190B" w:rsidP="00B47F85">
            <w:pPr>
              <w:rPr>
                <w:sz w:val="20"/>
                <w:szCs w:val="20"/>
              </w:rPr>
            </w:pPr>
            <w:r w:rsidRPr="00F85CC8">
              <w:rPr>
                <w:sz w:val="20"/>
                <w:szCs w:val="20"/>
              </w:rPr>
              <w:t>20_04</w:t>
            </w:r>
          </w:p>
        </w:tc>
        <w:tc>
          <w:tcPr>
            <w:tcW w:w="2777" w:type="dxa"/>
          </w:tcPr>
          <w:p w14:paraId="6635A528" w14:textId="77777777" w:rsidR="00B7190B" w:rsidRPr="00F85CC8" w:rsidRDefault="00B7190B" w:rsidP="00B47F85">
            <w:pPr>
              <w:rPr>
                <w:sz w:val="20"/>
                <w:szCs w:val="20"/>
              </w:rPr>
            </w:pPr>
            <w:r w:rsidRPr="00F85CC8">
              <w:rPr>
                <w:sz w:val="20"/>
                <w:szCs w:val="20"/>
              </w:rPr>
              <w:t>X</w:t>
            </w:r>
          </w:p>
        </w:tc>
        <w:tc>
          <w:tcPr>
            <w:tcW w:w="2777" w:type="dxa"/>
          </w:tcPr>
          <w:p w14:paraId="330DED43" w14:textId="77777777" w:rsidR="00B7190B" w:rsidRPr="00F85CC8" w:rsidRDefault="00B7190B" w:rsidP="00B47F85">
            <w:pPr>
              <w:rPr>
                <w:sz w:val="20"/>
                <w:szCs w:val="20"/>
              </w:rPr>
            </w:pPr>
          </w:p>
        </w:tc>
        <w:tc>
          <w:tcPr>
            <w:tcW w:w="2779" w:type="dxa"/>
          </w:tcPr>
          <w:p w14:paraId="3853F53D" w14:textId="77777777" w:rsidR="00B7190B" w:rsidRPr="00F85CC8" w:rsidRDefault="00B7190B" w:rsidP="00B47F85">
            <w:pPr>
              <w:rPr>
                <w:sz w:val="20"/>
                <w:szCs w:val="20"/>
              </w:rPr>
            </w:pPr>
            <w:r w:rsidRPr="00F85CC8">
              <w:rPr>
                <w:sz w:val="20"/>
                <w:szCs w:val="20"/>
              </w:rPr>
              <w:t>X</w:t>
            </w:r>
          </w:p>
        </w:tc>
      </w:tr>
      <w:tr w:rsidR="00B7190B" w14:paraId="240A915E" w14:textId="77777777" w:rsidTr="003879B6">
        <w:trPr>
          <w:trHeight w:val="272"/>
        </w:trPr>
        <w:tc>
          <w:tcPr>
            <w:tcW w:w="1022" w:type="dxa"/>
          </w:tcPr>
          <w:p w14:paraId="33DB7395" w14:textId="77777777" w:rsidR="00B7190B" w:rsidRPr="00F85CC8" w:rsidRDefault="00B7190B" w:rsidP="00B47F85">
            <w:pPr>
              <w:rPr>
                <w:sz w:val="20"/>
                <w:szCs w:val="20"/>
              </w:rPr>
            </w:pPr>
            <w:r w:rsidRPr="00F85CC8">
              <w:rPr>
                <w:sz w:val="20"/>
                <w:szCs w:val="20"/>
              </w:rPr>
              <w:t>20_05</w:t>
            </w:r>
          </w:p>
        </w:tc>
        <w:tc>
          <w:tcPr>
            <w:tcW w:w="2777" w:type="dxa"/>
          </w:tcPr>
          <w:p w14:paraId="04EDE802" w14:textId="77777777" w:rsidR="00B7190B" w:rsidRPr="00F85CC8" w:rsidRDefault="00B7190B" w:rsidP="00B47F85">
            <w:pPr>
              <w:rPr>
                <w:sz w:val="20"/>
                <w:szCs w:val="20"/>
              </w:rPr>
            </w:pPr>
            <w:r w:rsidRPr="00F85CC8">
              <w:rPr>
                <w:sz w:val="20"/>
                <w:szCs w:val="20"/>
              </w:rPr>
              <w:t>X</w:t>
            </w:r>
          </w:p>
        </w:tc>
        <w:tc>
          <w:tcPr>
            <w:tcW w:w="2777" w:type="dxa"/>
          </w:tcPr>
          <w:p w14:paraId="35EA5624" w14:textId="77777777" w:rsidR="00B7190B" w:rsidRPr="00F85CC8" w:rsidRDefault="00B7190B" w:rsidP="00B47F85">
            <w:pPr>
              <w:rPr>
                <w:sz w:val="20"/>
                <w:szCs w:val="20"/>
              </w:rPr>
            </w:pPr>
            <w:r w:rsidRPr="00F85CC8">
              <w:rPr>
                <w:sz w:val="20"/>
                <w:szCs w:val="20"/>
              </w:rPr>
              <w:t>X</w:t>
            </w:r>
          </w:p>
        </w:tc>
        <w:tc>
          <w:tcPr>
            <w:tcW w:w="2779" w:type="dxa"/>
          </w:tcPr>
          <w:p w14:paraId="79F76C81" w14:textId="77777777" w:rsidR="00B7190B" w:rsidRPr="00F85CC8" w:rsidRDefault="00B7190B" w:rsidP="00B47F85">
            <w:pPr>
              <w:rPr>
                <w:sz w:val="20"/>
                <w:szCs w:val="20"/>
              </w:rPr>
            </w:pPr>
            <w:r w:rsidRPr="00F85CC8">
              <w:rPr>
                <w:sz w:val="20"/>
                <w:szCs w:val="20"/>
              </w:rPr>
              <w:t>X</w:t>
            </w:r>
          </w:p>
        </w:tc>
      </w:tr>
      <w:tr w:rsidR="00B7190B" w14:paraId="1074A0BE" w14:textId="77777777" w:rsidTr="003879B6">
        <w:trPr>
          <w:trHeight w:val="272"/>
        </w:trPr>
        <w:tc>
          <w:tcPr>
            <w:tcW w:w="1022" w:type="dxa"/>
          </w:tcPr>
          <w:p w14:paraId="44778A68" w14:textId="77777777" w:rsidR="00B7190B" w:rsidRPr="00F85CC8" w:rsidRDefault="00B7190B" w:rsidP="00B47F85">
            <w:pPr>
              <w:rPr>
                <w:sz w:val="20"/>
                <w:szCs w:val="20"/>
              </w:rPr>
            </w:pPr>
            <w:r w:rsidRPr="00F85CC8">
              <w:rPr>
                <w:sz w:val="20"/>
                <w:szCs w:val="20"/>
              </w:rPr>
              <w:t>20_06</w:t>
            </w:r>
          </w:p>
        </w:tc>
        <w:tc>
          <w:tcPr>
            <w:tcW w:w="2777" w:type="dxa"/>
          </w:tcPr>
          <w:p w14:paraId="390587A8" w14:textId="77777777" w:rsidR="00B7190B" w:rsidRPr="00F85CC8" w:rsidRDefault="00B7190B" w:rsidP="00B47F85">
            <w:pPr>
              <w:rPr>
                <w:sz w:val="20"/>
                <w:szCs w:val="20"/>
              </w:rPr>
            </w:pPr>
            <w:r w:rsidRPr="00F85CC8">
              <w:rPr>
                <w:sz w:val="20"/>
                <w:szCs w:val="20"/>
              </w:rPr>
              <w:t>X</w:t>
            </w:r>
          </w:p>
        </w:tc>
        <w:tc>
          <w:tcPr>
            <w:tcW w:w="2777" w:type="dxa"/>
          </w:tcPr>
          <w:p w14:paraId="243203A3" w14:textId="77777777" w:rsidR="00B7190B" w:rsidRPr="00F85CC8" w:rsidRDefault="00B7190B" w:rsidP="00B47F85">
            <w:pPr>
              <w:rPr>
                <w:sz w:val="20"/>
                <w:szCs w:val="20"/>
              </w:rPr>
            </w:pPr>
          </w:p>
        </w:tc>
        <w:tc>
          <w:tcPr>
            <w:tcW w:w="2779" w:type="dxa"/>
          </w:tcPr>
          <w:p w14:paraId="2DC24242" w14:textId="77777777" w:rsidR="00B7190B" w:rsidRPr="00F85CC8" w:rsidRDefault="00B7190B" w:rsidP="00B47F85">
            <w:pPr>
              <w:rPr>
                <w:sz w:val="20"/>
                <w:szCs w:val="20"/>
              </w:rPr>
            </w:pPr>
            <w:r w:rsidRPr="00F85CC8">
              <w:rPr>
                <w:sz w:val="20"/>
                <w:szCs w:val="20"/>
              </w:rPr>
              <w:t>X</w:t>
            </w:r>
          </w:p>
        </w:tc>
      </w:tr>
      <w:tr w:rsidR="00B7190B" w14:paraId="366D1E4F" w14:textId="77777777" w:rsidTr="003879B6">
        <w:trPr>
          <w:trHeight w:val="272"/>
        </w:trPr>
        <w:tc>
          <w:tcPr>
            <w:tcW w:w="1022" w:type="dxa"/>
          </w:tcPr>
          <w:p w14:paraId="6547466E" w14:textId="77777777" w:rsidR="00B7190B" w:rsidRPr="00F85CC8" w:rsidRDefault="00B7190B" w:rsidP="00B47F85">
            <w:pPr>
              <w:rPr>
                <w:sz w:val="20"/>
                <w:szCs w:val="20"/>
              </w:rPr>
            </w:pPr>
            <w:r w:rsidRPr="00F85CC8">
              <w:rPr>
                <w:sz w:val="20"/>
                <w:szCs w:val="20"/>
              </w:rPr>
              <w:t>20_07</w:t>
            </w:r>
          </w:p>
        </w:tc>
        <w:tc>
          <w:tcPr>
            <w:tcW w:w="2777" w:type="dxa"/>
          </w:tcPr>
          <w:p w14:paraId="7A65C6A5" w14:textId="7BAB2840" w:rsidR="00B7190B" w:rsidRPr="00F85CC8" w:rsidRDefault="00B7190B" w:rsidP="00B47F85">
            <w:pPr>
              <w:rPr>
                <w:sz w:val="20"/>
                <w:szCs w:val="20"/>
              </w:rPr>
            </w:pPr>
          </w:p>
        </w:tc>
        <w:tc>
          <w:tcPr>
            <w:tcW w:w="2777" w:type="dxa"/>
          </w:tcPr>
          <w:p w14:paraId="2D829C3B" w14:textId="77777777" w:rsidR="00B7190B" w:rsidRPr="00F85CC8" w:rsidRDefault="00B7190B" w:rsidP="00B47F85">
            <w:pPr>
              <w:rPr>
                <w:sz w:val="20"/>
                <w:szCs w:val="20"/>
              </w:rPr>
            </w:pPr>
          </w:p>
        </w:tc>
        <w:tc>
          <w:tcPr>
            <w:tcW w:w="2779" w:type="dxa"/>
          </w:tcPr>
          <w:p w14:paraId="06B059AE" w14:textId="77777777" w:rsidR="00B7190B" w:rsidRPr="00F85CC8" w:rsidRDefault="00B7190B" w:rsidP="00B47F85">
            <w:pPr>
              <w:rPr>
                <w:sz w:val="20"/>
                <w:szCs w:val="20"/>
              </w:rPr>
            </w:pPr>
            <w:r w:rsidRPr="00F85CC8">
              <w:rPr>
                <w:sz w:val="20"/>
                <w:szCs w:val="20"/>
              </w:rPr>
              <w:t>X</w:t>
            </w:r>
          </w:p>
        </w:tc>
      </w:tr>
      <w:tr w:rsidR="00B7190B" w14:paraId="5D30E150" w14:textId="77777777" w:rsidTr="003879B6">
        <w:trPr>
          <w:trHeight w:val="272"/>
        </w:trPr>
        <w:tc>
          <w:tcPr>
            <w:tcW w:w="1022" w:type="dxa"/>
          </w:tcPr>
          <w:p w14:paraId="194001D7" w14:textId="77777777" w:rsidR="00B7190B" w:rsidRPr="00F85CC8" w:rsidRDefault="00B7190B" w:rsidP="00B47F85">
            <w:pPr>
              <w:rPr>
                <w:sz w:val="20"/>
                <w:szCs w:val="20"/>
              </w:rPr>
            </w:pPr>
            <w:r w:rsidRPr="00F85CC8">
              <w:rPr>
                <w:sz w:val="20"/>
                <w:szCs w:val="20"/>
              </w:rPr>
              <w:t>22_01</w:t>
            </w:r>
          </w:p>
        </w:tc>
        <w:tc>
          <w:tcPr>
            <w:tcW w:w="2777" w:type="dxa"/>
          </w:tcPr>
          <w:p w14:paraId="47936727" w14:textId="77777777" w:rsidR="00B7190B" w:rsidRPr="00F85CC8" w:rsidRDefault="00B7190B" w:rsidP="00B47F85">
            <w:pPr>
              <w:rPr>
                <w:sz w:val="20"/>
                <w:szCs w:val="20"/>
              </w:rPr>
            </w:pPr>
          </w:p>
        </w:tc>
        <w:tc>
          <w:tcPr>
            <w:tcW w:w="2777" w:type="dxa"/>
          </w:tcPr>
          <w:p w14:paraId="7CE91908" w14:textId="77777777" w:rsidR="00B7190B" w:rsidRPr="00F85CC8" w:rsidRDefault="00B7190B" w:rsidP="00B47F85">
            <w:pPr>
              <w:rPr>
                <w:sz w:val="20"/>
                <w:szCs w:val="20"/>
              </w:rPr>
            </w:pPr>
          </w:p>
        </w:tc>
        <w:tc>
          <w:tcPr>
            <w:tcW w:w="2779" w:type="dxa"/>
          </w:tcPr>
          <w:p w14:paraId="15724E41" w14:textId="77777777" w:rsidR="00B7190B" w:rsidRPr="00F85CC8" w:rsidRDefault="00B7190B" w:rsidP="00B47F85">
            <w:pPr>
              <w:rPr>
                <w:sz w:val="20"/>
                <w:szCs w:val="20"/>
              </w:rPr>
            </w:pPr>
            <w:r w:rsidRPr="00F85CC8">
              <w:rPr>
                <w:sz w:val="20"/>
                <w:szCs w:val="20"/>
              </w:rPr>
              <w:t>X</w:t>
            </w:r>
          </w:p>
        </w:tc>
      </w:tr>
      <w:tr w:rsidR="00B7190B" w14:paraId="1A2AA2A1" w14:textId="77777777" w:rsidTr="003879B6">
        <w:trPr>
          <w:trHeight w:val="272"/>
        </w:trPr>
        <w:tc>
          <w:tcPr>
            <w:tcW w:w="1022" w:type="dxa"/>
          </w:tcPr>
          <w:p w14:paraId="3740A1C4" w14:textId="77777777" w:rsidR="00B7190B" w:rsidRPr="00F85CC8" w:rsidRDefault="00B7190B" w:rsidP="00B47F85">
            <w:pPr>
              <w:rPr>
                <w:sz w:val="20"/>
                <w:szCs w:val="20"/>
              </w:rPr>
            </w:pPr>
            <w:r w:rsidRPr="00F85CC8">
              <w:rPr>
                <w:sz w:val="20"/>
                <w:szCs w:val="20"/>
              </w:rPr>
              <w:t>22_02</w:t>
            </w:r>
          </w:p>
        </w:tc>
        <w:tc>
          <w:tcPr>
            <w:tcW w:w="2777" w:type="dxa"/>
          </w:tcPr>
          <w:p w14:paraId="458A9EAA" w14:textId="77777777" w:rsidR="00B7190B" w:rsidRPr="00F85CC8" w:rsidRDefault="00B7190B" w:rsidP="00B47F85">
            <w:pPr>
              <w:rPr>
                <w:sz w:val="20"/>
                <w:szCs w:val="20"/>
              </w:rPr>
            </w:pPr>
          </w:p>
        </w:tc>
        <w:tc>
          <w:tcPr>
            <w:tcW w:w="2777" w:type="dxa"/>
          </w:tcPr>
          <w:p w14:paraId="71F5BE04" w14:textId="77777777" w:rsidR="00B7190B" w:rsidRPr="00F85CC8" w:rsidRDefault="00B7190B" w:rsidP="00B47F85">
            <w:pPr>
              <w:rPr>
                <w:sz w:val="20"/>
                <w:szCs w:val="20"/>
              </w:rPr>
            </w:pPr>
          </w:p>
        </w:tc>
        <w:tc>
          <w:tcPr>
            <w:tcW w:w="2779" w:type="dxa"/>
          </w:tcPr>
          <w:p w14:paraId="7B878C9F" w14:textId="77777777" w:rsidR="00B7190B" w:rsidRPr="00F85CC8" w:rsidRDefault="00B7190B" w:rsidP="00B47F85">
            <w:pPr>
              <w:rPr>
                <w:sz w:val="20"/>
                <w:szCs w:val="20"/>
              </w:rPr>
            </w:pPr>
            <w:r w:rsidRPr="00F85CC8">
              <w:rPr>
                <w:sz w:val="20"/>
                <w:szCs w:val="20"/>
              </w:rPr>
              <w:t>X</w:t>
            </w:r>
          </w:p>
        </w:tc>
      </w:tr>
      <w:tr w:rsidR="00B7190B" w14:paraId="17AF55AD" w14:textId="77777777" w:rsidTr="003879B6">
        <w:trPr>
          <w:trHeight w:val="272"/>
        </w:trPr>
        <w:tc>
          <w:tcPr>
            <w:tcW w:w="1022" w:type="dxa"/>
          </w:tcPr>
          <w:p w14:paraId="5461B6F5" w14:textId="77777777" w:rsidR="00B7190B" w:rsidRPr="00F85CC8" w:rsidRDefault="00B7190B" w:rsidP="00B47F85">
            <w:pPr>
              <w:rPr>
                <w:sz w:val="20"/>
                <w:szCs w:val="20"/>
              </w:rPr>
            </w:pPr>
            <w:r w:rsidRPr="00F85CC8">
              <w:rPr>
                <w:sz w:val="20"/>
                <w:szCs w:val="20"/>
              </w:rPr>
              <w:t>26_07</w:t>
            </w:r>
          </w:p>
        </w:tc>
        <w:tc>
          <w:tcPr>
            <w:tcW w:w="2777" w:type="dxa"/>
          </w:tcPr>
          <w:p w14:paraId="43B4C087" w14:textId="77777777" w:rsidR="00B7190B" w:rsidRPr="00F85CC8" w:rsidRDefault="00B7190B" w:rsidP="00B47F85">
            <w:pPr>
              <w:rPr>
                <w:sz w:val="20"/>
                <w:szCs w:val="20"/>
              </w:rPr>
            </w:pPr>
          </w:p>
        </w:tc>
        <w:tc>
          <w:tcPr>
            <w:tcW w:w="2777" w:type="dxa"/>
          </w:tcPr>
          <w:p w14:paraId="084AC7A0" w14:textId="77777777" w:rsidR="00B7190B" w:rsidRPr="00F85CC8" w:rsidRDefault="00B7190B" w:rsidP="00B47F85">
            <w:pPr>
              <w:rPr>
                <w:sz w:val="20"/>
                <w:szCs w:val="20"/>
              </w:rPr>
            </w:pPr>
          </w:p>
        </w:tc>
        <w:tc>
          <w:tcPr>
            <w:tcW w:w="2779" w:type="dxa"/>
          </w:tcPr>
          <w:p w14:paraId="37D8EAAA" w14:textId="77777777" w:rsidR="00B7190B" w:rsidRPr="00F85CC8" w:rsidRDefault="00B7190B" w:rsidP="00B47F85">
            <w:pPr>
              <w:rPr>
                <w:sz w:val="20"/>
                <w:szCs w:val="20"/>
              </w:rPr>
            </w:pPr>
            <w:r w:rsidRPr="00F85CC8">
              <w:rPr>
                <w:sz w:val="20"/>
                <w:szCs w:val="20"/>
              </w:rPr>
              <w:t>X</w:t>
            </w:r>
          </w:p>
        </w:tc>
      </w:tr>
      <w:tr w:rsidR="00B7190B" w14:paraId="5AD8FA98" w14:textId="77777777" w:rsidTr="003879B6">
        <w:trPr>
          <w:trHeight w:val="272"/>
        </w:trPr>
        <w:tc>
          <w:tcPr>
            <w:tcW w:w="1022" w:type="dxa"/>
            <w:tcBorders>
              <w:bottom w:val="single" w:sz="12" w:space="0" w:color="auto"/>
            </w:tcBorders>
          </w:tcPr>
          <w:p w14:paraId="51107457" w14:textId="77777777" w:rsidR="00B7190B" w:rsidRPr="00F85CC8" w:rsidRDefault="00B7190B" w:rsidP="00B47F85">
            <w:pPr>
              <w:rPr>
                <w:sz w:val="20"/>
                <w:szCs w:val="20"/>
              </w:rPr>
            </w:pPr>
            <w:r w:rsidRPr="00F85CC8">
              <w:rPr>
                <w:sz w:val="20"/>
                <w:szCs w:val="20"/>
              </w:rPr>
              <w:t>28_24</w:t>
            </w:r>
          </w:p>
        </w:tc>
        <w:tc>
          <w:tcPr>
            <w:tcW w:w="2777" w:type="dxa"/>
            <w:tcBorders>
              <w:bottom w:val="single" w:sz="12" w:space="0" w:color="auto"/>
            </w:tcBorders>
          </w:tcPr>
          <w:p w14:paraId="7F4C16E0" w14:textId="77777777" w:rsidR="00B7190B" w:rsidRPr="00F85CC8" w:rsidRDefault="00B7190B" w:rsidP="00B47F85">
            <w:pPr>
              <w:rPr>
                <w:sz w:val="20"/>
                <w:szCs w:val="20"/>
              </w:rPr>
            </w:pPr>
            <w:r w:rsidRPr="00F85CC8">
              <w:rPr>
                <w:sz w:val="20"/>
                <w:szCs w:val="20"/>
              </w:rPr>
              <w:t>X</w:t>
            </w:r>
          </w:p>
        </w:tc>
        <w:tc>
          <w:tcPr>
            <w:tcW w:w="2777" w:type="dxa"/>
            <w:tcBorders>
              <w:bottom w:val="single" w:sz="12" w:space="0" w:color="auto"/>
            </w:tcBorders>
          </w:tcPr>
          <w:p w14:paraId="25169772" w14:textId="77777777" w:rsidR="00B7190B" w:rsidRPr="00F85CC8" w:rsidRDefault="00B7190B" w:rsidP="00B47F85">
            <w:pPr>
              <w:rPr>
                <w:sz w:val="20"/>
                <w:szCs w:val="20"/>
              </w:rPr>
            </w:pPr>
          </w:p>
        </w:tc>
        <w:tc>
          <w:tcPr>
            <w:tcW w:w="2779" w:type="dxa"/>
            <w:tcBorders>
              <w:bottom w:val="single" w:sz="12" w:space="0" w:color="auto"/>
            </w:tcBorders>
          </w:tcPr>
          <w:p w14:paraId="6EBCC4DB" w14:textId="77777777" w:rsidR="00B7190B" w:rsidRPr="00F85CC8" w:rsidRDefault="00B7190B" w:rsidP="00B47F85">
            <w:pPr>
              <w:rPr>
                <w:sz w:val="20"/>
                <w:szCs w:val="20"/>
              </w:rPr>
            </w:pPr>
            <w:r w:rsidRPr="00F85CC8">
              <w:rPr>
                <w:sz w:val="20"/>
                <w:szCs w:val="20"/>
              </w:rPr>
              <w:t>X</w:t>
            </w:r>
          </w:p>
        </w:tc>
      </w:tr>
      <w:tr w:rsidR="00B7190B" w14:paraId="2FC83C36" w14:textId="77777777" w:rsidTr="003879B6">
        <w:trPr>
          <w:trHeight w:val="272"/>
        </w:trPr>
        <w:tc>
          <w:tcPr>
            <w:tcW w:w="1022" w:type="dxa"/>
            <w:tcBorders>
              <w:top w:val="single" w:sz="12" w:space="0" w:color="auto"/>
            </w:tcBorders>
          </w:tcPr>
          <w:p w14:paraId="51128EEE" w14:textId="77777777" w:rsidR="00B7190B" w:rsidRPr="00F85CC8" w:rsidRDefault="00B7190B" w:rsidP="00B47F85">
            <w:pPr>
              <w:rPr>
                <w:b/>
                <w:bCs/>
                <w:sz w:val="20"/>
                <w:szCs w:val="20"/>
              </w:rPr>
            </w:pPr>
            <w:r w:rsidRPr="00F85CC8">
              <w:rPr>
                <w:b/>
                <w:bCs/>
                <w:sz w:val="20"/>
                <w:szCs w:val="20"/>
              </w:rPr>
              <w:t>Totals:</w:t>
            </w:r>
          </w:p>
        </w:tc>
        <w:tc>
          <w:tcPr>
            <w:tcW w:w="2777" w:type="dxa"/>
            <w:tcBorders>
              <w:top w:val="single" w:sz="12" w:space="0" w:color="auto"/>
            </w:tcBorders>
          </w:tcPr>
          <w:p w14:paraId="50022803" w14:textId="743833D5" w:rsidR="00B7190B" w:rsidRPr="00F85CC8" w:rsidRDefault="003879B6" w:rsidP="00B47F85">
            <w:pPr>
              <w:rPr>
                <w:b/>
                <w:bCs/>
                <w:sz w:val="20"/>
                <w:szCs w:val="20"/>
              </w:rPr>
            </w:pPr>
            <w:r>
              <w:rPr>
                <w:b/>
                <w:bCs/>
                <w:sz w:val="20"/>
                <w:szCs w:val="20"/>
              </w:rPr>
              <w:t>16</w:t>
            </w:r>
          </w:p>
        </w:tc>
        <w:tc>
          <w:tcPr>
            <w:tcW w:w="2777" w:type="dxa"/>
            <w:tcBorders>
              <w:top w:val="single" w:sz="12" w:space="0" w:color="auto"/>
            </w:tcBorders>
          </w:tcPr>
          <w:p w14:paraId="7DC5D5F9" w14:textId="4D03E2DB" w:rsidR="00B7190B" w:rsidRPr="00F85CC8" w:rsidRDefault="00B7190B" w:rsidP="00B47F85">
            <w:pPr>
              <w:rPr>
                <w:b/>
                <w:bCs/>
                <w:sz w:val="20"/>
                <w:szCs w:val="20"/>
              </w:rPr>
            </w:pPr>
            <w:r w:rsidRPr="00F85CC8">
              <w:rPr>
                <w:b/>
                <w:bCs/>
                <w:sz w:val="20"/>
                <w:szCs w:val="20"/>
              </w:rPr>
              <w:t>1</w:t>
            </w:r>
            <w:r w:rsidR="007D2E8C">
              <w:rPr>
                <w:b/>
                <w:bCs/>
                <w:sz w:val="20"/>
                <w:szCs w:val="20"/>
              </w:rPr>
              <w:t>1</w:t>
            </w:r>
          </w:p>
        </w:tc>
        <w:tc>
          <w:tcPr>
            <w:tcW w:w="2779" w:type="dxa"/>
            <w:tcBorders>
              <w:top w:val="single" w:sz="12" w:space="0" w:color="auto"/>
            </w:tcBorders>
          </w:tcPr>
          <w:p w14:paraId="29AEBE53" w14:textId="32413C7B" w:rsidR="00B7190B" w:rsidRPr="00F85CC8" w:rsidRDefault="003879B6" w:rsidP="00B47F85">
            <w:pPr>
              <w:rPr>
                <w:b/>
                <w:bCs/>
                <w:sz w:val="20"/>
                <w:szCs w:val="20"/>
              </w:rPr>
            </w:pPr>
            <w:r>
              <w:rPr>
                <w:b/>
                <w:bCs/>
                <w:sz w:val="20"/>
                <w:szCs w:val="20"/>
              </w:rPr>
              <w:t>34</w:t>
            </w:r>
          </w:p>
        </w:tc>
      </w:tr>
    </w:tbl>
    <w:p w14:paraId="2FBAB717" w14:textId="77777777" w:rsidR="00B7190B" w:rsidRPr="00F85CC8" w:rsidRDefault="00B7190B" w:rsidP="00B7190B">
      <w:pPr>
        <w:spacing w:after="0"/>
        <w:rPr>
          <w:sz w:val="20"/>
          <w:szCs w:val="20"/>
          <w:vertAlign w:val="superscript"/>
        </w:rPr>
      </w:pPr>
      <w:proofErr w:type="spellStart"/>
      <w:proofErr w:type="gramStart"/>
      <w:r w:rsidRPr="00F85CC8">
        <w:rPr>
          <w:sz w:val="20"/>
          <w:szCs w:val="20"/>
          <w:vertAlign w:val="superscript"/>
        </w:rPr>
        <w:t>a</w:t>
      </w:r>
      <w:proofErr w:type="spellEnd"/>
      <w:proofErr w:type="gramEnd"/>
      <w:r w:rsidRPr="00F85CC8">
        <w:rPr>
          <w:sz w:val="20"/>
          <w:szCs w:val="20"/>
          <w:vertAlign w:val="superscript"/>
        </w:rPr>
        <w:t xml:space="preserve"> </w:t>
      </w:r>
      <w:r w:rsidRPr="00F85CC8">
        <w:rPr>
          <w:sz w:val="20"/>
          <w:szCs w:val="20"/>
        </w:rPr>
        <w:t>Obtained from Smith et al. 2019 [23]</w:t>
      </w:r>
      <w:r w:rsidRPr="00F85CC8">
        <w:rPr>
          <w:sz w:val="20"/>
          <w:szCs w:val="20"/>
          <w:vertAlign w:val="superscript"/>
        </w:rPr>
        <w:t xml:space="preserve"> </w:t>
      </w:r>
    </w:p>
    <w:p w14:paraId="290EAE2C" w14:textId="236CB9E8" w:rsidR="00B7190B" w:rsidRPr="00F85CC8" w:rsidRDefault="00B7190B" w:rsidP="00B7190B">
      <w:pPr>
        <w:spacing w:after="0"/>
        <w:rPr>
          <w:sz w:val="20"/>
          <w:szCs w:val="20"/>
        </w:rPr>
      </w:pPr>
      <w:r w:rsidRPr="00F85CC8">
        <w:rPr>
          <w:sz w:val="20"/>
          <w:szCs w:val="20"/>
          <w:vertAlign w:val="superscript"/>
        </w:rPr>
        <w:t xml:space="preserve">b </w:t>
      </w:r>
      <w:r w:rsidRPr="00F85CC8">
        <w:rPr>
          <w:sz w:val="20"/>
          <w:szCs w:val="20"/>
        </w:rPr>
        <w:t>Refer to Tables 2-7</w:t>
      </w:r>
    </w:p>
    <w:p w14:paraId="3909A7B2" w14:textId="77777777" w:rsidR="00B7190B" w:rsidRDefault="00B7190B" w:rsidP="00B7190B">
      <w:pPr>
        <w:spacing w:after="0"/>
      </w:pPr>
    </w:p>
    <w:p w14:paraId="14867703" w14:textId="6D408281" w:rsidR="00B7190B" w:rsidRPr="004B00DB" w:rsidRDefault="00B7190B" w:rsidP="00B7190B">
      <w:pPr>
        <w:spacing w:after="0" w:line="240" w:lineRule="auto"/>
        <w:contextualSpacing/>
        <w:rPr>
          <w:rFonts w:ascii="Times New Roman" w:hAnsi="Times New Roman" w:cs="Times New Roman"/>
        </w:rPr>
      </w:pPr>
      <w:r w:rsidRPr="00B361C9">
        <w:rPr>
          <w:rFonts w:ascii="Times New Roman" w:hAnsi="Times New Roman" w:cs="Times New Roman"/>
          <w:b/>
        </w:rPr>
        <w:lastRenderedPageBreak/>
        <w:t xml:space="preserve">Table </w:t>
      </w:r>
      <w:r>
        <w:rPr>
          <w:rFonts w:ascii="Times New Roman" w:hAnsi="Times New Roman" w:cs="Times New Roman"/>
          <w:b/>
        </w:rPr>
        <w:t>S2</w:t>
      </w:r>
      <w:r w:rsidRPr="00B361C9">
        <w:rPr>
          <w:rFonts w:ascii="Times New Roman" w:hAnsi="Times New Roman" w:cs="Times New Roman"/>
          <w:b/>
        </w:rPr>
        <w:t xml:space="preserve">. </w:t>
      </w:r>
      <w:r w:rsidRPr="00B361C9">
        <w:rPr>
          <w:rFonts w:ascii="Times New Roman" w:hAnsi="Times New Roman" w:cs="Times New Roman"/>
        </w:rPr>
        <w:t>Summary of</w:t>
      </w:r>
      <w:r w:rsidRPr="00B361C9">
        <w:rPr>
          <w:rFonts w:ascii="Times New Roman" w:hAnsi="Times New Roman" w:cs="Times New Roman"/>
          <w:b/>
        </w:rPr>
        <w:t xml:space="preserve"> </w:t>
      </w:r>
      <w:r w:rsidRPr="00B361C9">
        <w:rPr>
          <w:rFonts w:ascii="Times New Roman" w:hAnsi="Times New Roman" w:cs="Times New Roman"/>
        </w:rPr>
        <w:t>QTL</w:t>
      </w:r>
      <w:r w:rsidR="00DD24FA">
        <w:rPr>
          <w:rFonts w:ascii="Times New Roman" w:hAnsi="Times New Roman" w:cs="Times New Roman"/>
        </w:rPr>
        <w:t xml:space="preserve"> with 2 to 4 supporting SNPs</w:t>
      </w:r>
      <w:r w:rsidRPr="00B361C9">
        <w:rPr>
          <w:rFonts w:ascii="Times New Roman" w:hAnsi="Times New Roman" w:cs="Times New Roman"/>
        </w:rPr>
        <w:t xml:space="preserve"> detected for </w:t>
      </w:r>
      <w:r w:rsidR="00733D40">
        <w:rPr>
          <w:rFonts w:ascii="Times New Roman" w:hAnsi="Times New Roman" w:cs="Times New Roman"/>
        </w:rPr>
        <w:t>birth weight</w:t>
      </w:r>
      <w:r w:rsidRPr="00B361C9">
        <w:rPr>
          <w:rFonts w:ascii="Times New Roman" w:hAnsi="Times New Roman" w:cs="Times New Roman"/>
        </w:rPr>
        <w:t xml:space="preserve"> in U.S. </w:t>
      </w:r>
      <w:r>
        <w:rPr>
          <w:rFonts w:ascii="Times New Roman" w:hAnsi="Times New Roman" w:cs="Times New Roman"/>
        </w:rPr>
        <w:t>Red Angus</w:t>
      </w:r>
      <w:r w:rsidRPr="00B361C9">
        <w:rPr>
          <w:rFonts w:ascii="Times New Roman" w:hAnsi="Times New Roman" w:cs="Times New Roman"/>
        </w:rPr>
        <w:t xml:space="preserve"> cattle.</w:t>
      </w:r>
    </w:p>
    <w:tbl>
      <w:tblPr>
        <w:tblW w:w="51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6"/>
        <w:gridCol w:w="629"/>
        <w:gridCol w:w="1086"/>
        <w:gridCol w:w="629"/>
        <w:gridCol w:w="1168"/>
        <w:gridCol w:w="1440"/>
        <w:gridCol w:w="988"/>
        <w:gridCol w:w="2789"/>
      </w:tblGrid>
      <w:tr w:rsidR="00DD24FA" w:rsidRPr="0026710B" w14:paraId="25B779AC" w14:textId="77777777" w:rsidTr="00DD24FA">
        <w:trPr>
          <w:jc w:val="center"/>
        </w:trPr>
        <w:tc>
          <w:tcPr>
            <w:tcW w:w="465" w:type="pct"/>
            <w:hideMark/>
          </w:tcPr>
          <w:p w14:paraId="05906F5B" w14:textId="77777777" w:rsidR="00B7190B" w:rsidRPr="00DD24FA" w:rsidRDefault="00B7190B" w:rsidP="00B47F85">
            <w:pPr>
              <w:spacing w:after="0" w:line="240" w:lineRule="auto"/>
              <w:contextualSpacing/>
              <w:jc w:val="center"/>
              <w:rPr>
                <w:rFonts w:ascii="Times New Roman" w:hAnsi="Times New Roman" w:cs="Times New Roman"/>
                <w:b/>
                <w:sz w:val="18"/>
                <w:szCs w:val="18"/>
              </w:rPr>
            </w:pPr>
            <w:proofErr w:type="spellStart"/>
            <w:r w:rsidRPr="00DD24FA">
              <w:rPr>
                <w:rFonts w:ascii="Times New Roman" w:hAnsi="Times New Roman" w:cs="Times New Roman"/>
                <w:b/>
                <w:sz w:val="18"/>
                <w:szCs w:val="18"/>
              </w:rPr>
              <w:t>Chr_Mb</w:t>
            </w:r>
            <w:proofErr w:type="spellEnd"/>
          </w:p>
        </w:tc>
        <w:tc>
          <w:tcPr>
            <w:tcW w:w="327" w:type="pct"/>
            <w:hideMark/>
          </w:tcPr>
          <w:p w14:paraId="110CB18E" w14:textId="77777777" w:rsidR="00B7190B" w:rsidRPr="00DD24FA" w:rsidRDefault="00B7190B" w:rsidP="00B47F85">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-log</w:t>
            </w:r>
            <w:r w:rsidRPr="00DD24FA">
              <w:rPr>
                <w:rFonts w:ascii="Times New Roman" w:hAnsi="Times New Roman" w:cs="Times New Roman"/>
                <w:b/>
                <w:sz w:val="18"/>
                <w:szCs w:val="18"/>
                <w:vertAlign w:val="subscript"/>
              </w:rPr>
              <w:t>10</w:t>
            </w:r>
          </w:p>
          <w:p w14:paraId="2F04509B" w14:textId="77777777" w:rsidR="00B7190B" w:rsidRPr="00DD24FA" w:rsidRDefault="00B7190B" w:rsidP="00B47F85">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P-value</w:t>
            </w:r>
          </w:p>
        </w:tc>
        <w:tc>
          <w:tcPr>
            <w:tcW w:w="564" w:type="pct"/>
            <w:hideMark/>
          </w:tcPr>
          <w:p w14:paraId="539510BE" w14:textId="77777777" w:rsidR="00B7190B" w:rsidRPr="00DD24FA" w:rsidRDefault="00B7190B" w:rsidP="00B47F85">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Regression</w:t>
            </w:r>
          </w:p>
          <w:p w14:paraId="18B018FA" w14:textId="77777777" w:rsidR="00B7190B" w:rsidRPr="00DD24FA" w:rsidRDefault="00B7190B" w:rsidP="00B47F85">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Beta</w:t>
            </w:r>
          </w:p>
        </w:tc>
        <w:tc>
          <w:tcPr>
            <w:tcW w:w="327" w:type="pct"/>
            <w:hideMark/>
          </w:tcPr>
          <w:p w14:paraId="36BADB07" w14:textId="77777777" w:rsidR="00B7190B" w:rsidRPr="00DD24FA" w:rsidRDefault="00B7190B" w:rsidP="00B47F85">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MAF</w:t>
            </w:r>
          </w:p>
        </w:tc>
        <w:tc>
          <w:tcPr>
            <w:tcW w:w="607" w:type="pct"/>
            <w:hideMark/>
          </w:tcPr>
          <w:p w14:paraId="39717BD4" w14:textId="77777777" w:rsidR="00B7190B" w:rsidRPr="00DD24FA" w:rsidRDefault="00B7190B" w:rsidP="00B47F85">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Supporting</w:t>
            </w:r>
          </w:p>
          <w:p w14:paraId="51A83727" w14:textId="77777777" w:rsidR="00B7190B" w:rsidRPr="00DD24FA" w:rsidRDefault="00B7190B" w:rsidP="00B47F85">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SNPs</w:t>
            </w:r>
          </w:p>
        </w:tc>
        <w:tc>
          <w:tcPr>
            <w:tcW w:w="748" w:type="pct"/>
            <w:hideMark/>
          </w:tcPr>
          <w:p w14:paraId="3D58A36B" w14:textId="77777777" w:rsidR="00B7190B" w:rsidRPr="00DD24FA" w:rsidRDefault="00B7190B" w:rsidP="00B47F85">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Positional</w:t>
            </w:r>
          </w:p>
          <w:p w14:paraId="0C8207F5" w14:textId="77777777" w:rsidR="00B7190B" w:rsidRPr="00DD24FA" w:rsidRDefault="00B7190B" w:rsidP="00B47F85">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Candidate</w:t>
            </w:r>
          </w:p>
          <w:p w14:paraId="7377EB70" w14:textId="77777777" w:rsidR="00B7190B" w:rsidRPr="00DD24FA" w:rsidRDefault="00B7190B" w:rsidP="00B47F85">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Genes</w:t>
            </w:r>
          </w:p>
        </w:tc>
        <w:tc>
          <w:tcPr>
            <w:tcW w:w="513" w:type="pct"/>
            <w:hideMark/>
          </w:tcPr>
          <w:p w14:paraId="5A9012AF" w14:textId="77777777" w:rsidR="00B7190B" w:rsidRPr="00DD24FA" w:rsidRDefault="00B7190B" w:rsidP="00B47F85">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Lead SNP</w:t>
            </w:r>
          </w:p>
          <w:p w14:paraId="6429AC19" w14:textId="77777777" w:rsidR="00B7190B" w:rsidRPr="00DD24FA" w:rsidRDefault="00B7190B" w:rsidP="00B47F85">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Location</w:t>
            </w:r>
          </w:p>
        </w:tc>
        <w:tc>
          <w:tcPr>
            <w:tcW w:w="1449" w:type="pct"/>
            <w:hideMark/>
          </w:tcPr>
          <w:p w14:paraId="2DBC23D5" w14:textId="77777777" w:rsidR="00B7190B" w:rsidRPr="00DD24FA" w:rsidRDefault="00B7190B" w:rsidP="00B47F85">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Scientific Precedence [reference]; organism; trait</w:t>
            </w:r>
          </w:p>
        </w:tc>
      </w:tr>
      <w:tr w:rsidR="00DD24FA" w:rsidRPr="0026710B" w14:paraId="464EEB39" w14:textId="77777777" w:rsidTr="00DD24FA">
        <w:trPr>
          <w:jc w:val="center"/>
        </w:trPr>
        <w:tc>
          <w:tcPr>
            <w:tcW w:w="465" w:type="pct"/>
          </w:tcPr>
          <w:p w14:paraId="0AC3866B" w14:textId="77777777" w:rsidR="00B7190B" w:rsidRPr="00DD24FA" w:rsidRDefault="00B7190B" w:rsidP="00B47F85">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6_42</w:t>
            </w:r>
          </w:p>
        </w:tc>
        <w:tc>
          <w:tcPr>
            <w:tcW w:w="327" w:type="pct"/>
          </w:tcPr>
          <w:p w14:paraId="0A085C90" w14:textId="77777777" w:rsidR="00B7190B" w:rsidRPr="00DD24FA" w:rsidRDefault="00B7190B" w:rsidP="00B47F85">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9.560</w:t>
            </w:r>
          </w:p>
        </w:tc>
        <w:tc>
          <w:tcPr>
            <w:tcW w:w="564" w:type="pct"/>
          </w:tcPr>
          <w:p w14:paraId="7DD3C1CC" w14:textId="77777777" w:rsidR="00B7190B" w:rsidRPr="00DD24FA" w:rsidRDefault="00B7190B" w:rsidP="00B47F85">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-1.621</w:t>
            </w:r>
          </w:p>
        </w:tc>
        <w:tc>
          <w:tcPr>
            <w:tcW w:w="327" w:type="pct"/>
          </w:tcPr>
          <w:p w14:paraId="3FBEA5DF" w14:textId="77777777" w:rsidR="00B7190B" w:rsidRPr="00DD24FA" w:rsidRDefault="00B7190B" w:rsidP="00B47F85">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0.056</w:t>
            </w:r>
          </w:p>
        </w:tc>
        <w:tc>
          <w:tcPr>
            <w:tcW w:w="607" w:type="pct"/>
          </w:tcPr>
          <w:p w14:paraId="0FEE321C" w14:textId="77777777" w:rsidR="00B7190B" w:rsidRPr="00DD24FA" w:rsidRDefault="00B7190B" w:rsidP="00B47F85">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3</w:t>
            </w:r>
          </w:p>
        </w:tc>
        <w:tc>
          <w:tcPr>
            <w:tcW w:w="748" w:type="pct"/>
          </w:tcPr>
          <w:p w14:paraId="40050455" w14:textId="77777777" w:rsidR="00B7190B" w:rsidRPr="00DD24FA" w:rsidRDefault="00B7190B" w:rsidP="00B47F85">
            <w:pPr>
              <w:spacing w:after="0" w:line="240" w:lineRule="auto"/>
              <w:contextualSpacing/>
              <w:jc w:val="center"/>
              <w:rPr>
                <w:rFonts w:ascii="Times New Roman" w:hAnsi="Times New Roman" w:cs="Times New Roman"/>
                <w:i/>
                <w:color w:val="000000"/>
                <w:sz w:val="18"/>
                <w:szCs w:val="18"/>
              </w:rPr>
            </w:pPr>
            <w:r w:rsidRPr="00DD24FA">
              <w:rPr>
                <w:rFonts w:ascii="Times New Roman" w:hAnsi="Times New Roman" w:cs="Times New Roman"/>
                <w:i/>
                <w:color w:val="000000"/>
                <w:sz w:val="18"/>
                <w:szCs w:val="18"/>
              </w:rPr>
              <w:t>LOC782172, ADGRA3</w:t>
            </w:r>
          </w:p>
        </w:tc>
        <w:tc>
          <w:tcPr>
            <w:tcW w:w="513" w:type="pct"/>
          </w:tcPr>
          <w:p w14:paraId="1B841882" w14:textId="77777777" w:rsidR="00B7190B" w:rsidRPr="00DD24FA" w:rsidRDefault="00B7190B" w:rsidP="00B47F85">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Intergenic</w:t>
            </w:r>
          </w:p>
        </w:tc>
        <w:tc>
          <w:tcPr>
            <w:tcW w:w="1449" w:type="pct"/>
          </w:tcPr>
          <w:p w14:paraId="35ACEEB8" w14:textId="6F6323E6" w:rsidR="00B7190B" w:rsidRPr="00DD24FA" w:rsidRDefault="00B7190B" w:rsidP="00B47F85">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736431" w:rsidRPr="00DD24FA">
              <w:rPr>
                <w:rFonts w:ascii="Times New Roman" w:hAnsi="Times New Roman" w:cs="Times New Roman"/>
                <w:sz w:val="18"/>
                <w:szCs w:val="18"/>
              </w:rPr>
              <w:instrText>ADDIN CSL_CITATION {"citationItems":[{"id":"ITEM-1","itemData":{"DOI":"10.1186/1471-2164-15-442","ISSN":"14712164","abstract":"Background: The availability of high-density SNP assays including the BovineSNP50 (50 K) enables the identification of novel quantitative trait loci (QTL) and improvement of the resolution of the locations of previously mapped QTL. We performed a series of genome-wide association studies (GWAS) using 50 K genotypes scored in 18,274 animals from 10 US beef cattle breeds with observations for twelve body weights, calving ease and carcass traits.Results: A total of 159 large-effects QTL (defined as 1-Mb genome windows explaining more than 1% of additive genetic variance) were identified. In general, more QTL were identified in analyses with bigger sample sizes. Four large-effect pleiotropic or closely linked QTLs located on BTA6 at 37-42 Mb (primarily at 38 Mb), on BTA7 at 93 Mb, on BTA14 at 23-26 Mb (primarily at 25 Mb) and on BTA20 at 4 Mb were identified in more than one breed. Several breed-specific large-effect pleiotropic or closely linked QTL were also identified. Some identified QTL regions harbor genes known to have large effects on a variety of traits in cattle such as PLAG1 and MSTN and others harbor promising candidate genes including NCAPG, ARRDC3, ERGIC1, SH3PXD2B, HMGA2, MSRB3, LEMD3, TIGAR, SEPT7, and KIRREL3. Gene ontology analysis revealed that genes involved in ossification and in adipose tissue development were over-represented in the identified pleiotropic QTL. Also, the MAPK signaling pathway was identified as a common pathway affected by the genes located near the pleiotropic QTL.Conclusions: This largest GWAS ever performed in beef cattle, led us to discover several novel across-breed and breed-specific large-effect pleiotropic QTL that cumulatively account for a significant percentage of additive genetic variance (e.g. more than a third of additive genetic variance of birth and mature weights; and calving ease direct in Hereford). These results will improve our understanding of the biology of growth and body composition in cattle. © 2014 Saatchi et al.; licensee BioMed Central Ltd.","author":[{"dropping-particle":"","family":"Saatchi","given":"Mahdi","non-dropping-particle":"","parse-names":false,"suffix":""},{"dropping-particle":"","family":"Schnabel","given":"Robert D.","non-dropping-particle":"","parse-names":false,"suffix":""},{"dropping-particle":"","family":"Taylor","given":"Jeremy F.","non-dropping-particle":"","parse-names":false,"suffix":""},{"dropping-particle":"","family":"Garrick","given":"Dorian J.","non-dropping-particle":"","parse-names":false,"suffix":""}],"container-title":"BMC Genomics","id":"ITEM-1","issue":"1","issued":{"date-parts":[["2014","6","6"]]},"publisher":"BioMed Central Ltd.","title":"Large-effect pleiotropic or closely linked QTL segregate within and across ten US cattle breeds","type":"article-journal","volume":"15"},"uris":["http://www.mendeley.com/documents/?uuid=56d0e91b-25fa-3cba-8839-4943cef581f2"]},{"id":"ITEM-2","itemData":{"DOI":"10.1371/journal.pone.0139906","ISSN":"1932-6203","abstract":"Understanding the genetic architecture of beef cattle growth cannot be limited simply to the genome-wide association study (GWAS) for body weight at any specific ages, but should be extended to a more general purpose by considering the whole growth trajectory over time using a growth curve approach. For such an approach, the parameters that are used to describe growth curves were treated as phenotypes under a GWAS model. Data from 1,255 Brahman cattle that were weighed at birth, 6, 12, 15, 18, and 24 months of age were analyzed. Parameter estimates, such as mature weight (A) and maturity rate (K) from nonlinear models are utilized as substitutes for the original body weights for the GWAS analysis. We chose the best nonlinear model to describe the weight-age data, and the estimated parameters were used as phenotypes in a multi-trait GWAS. Our aims were to identify and characterize associated SNP markers to indicate SNP-derived candidate genes and annotate their function as related to growth processes in beef cattle. The Brody model presented the best goodness of fit, and the heritability values for the parameter estimates for mature weight (A) and maturity rate (K) were 0.23 and 0.32, respectively, proving that these traits can be a feasible alternative when the objective is to change the shape of growth curves within genetic improvement programs. The genetic correlation between A and K was -0.84, indicating that animals with lower mature body weights reached that weight at younger ages. One hundred and sixty seven (167) and two hundred and sixty two (262) significant SNPs were associated with A and K, respectively. The annotated genes closest to the most significant SNPs for A had direct biological functions related to muscle development (RAB28), myogenic induction (BTG1), fetal growth (IL2), and body weights (APEX2); K genes were functionally associated with body weight, body height, average daily gain (TMEM18), and skeletal muscle development (SMN1). Candidate genes emerging from this GWAS may inform the search for causative mutations that could underpin genomic breeding for improved growth rates. Copyright:","author":[{"dropping-particle":"","family":"Crispim","given":"Aline Camporez","non-dropping-particle":"","parse-names":false,"suffix":""},{"dropping-particle":"","family":"Kelly","given":"Matthew John","non-dropping-particle":"","parse-names":false,"suffix":""},{"dropping-particle":"","family":"Guimarães","given":"Simone Eliza Facioni","non-dropping-particle":"","parse-names":false,"suffix":""},{"dropping-particle":"","family":"e Silva","given":"Fabyano Fonseca","non-dropping-particle":"","parse-names":false,"suffix":""},{"dropping-particle":"","family":"Fortes","given":"Marina Rufino Salinas","non-dropping-particle":"","parse-names":false,"suffix":""},{"dropping-particle":"","family":"Wenceslau","given":"Raphael Rocha","non-dropping-particle":"","parse-names":false,"suffix":""},{"dropping-particle":"","family":"Moore","given":"Stephen","non-dropping-particle":"","parse-names":false,"suffix":""}],"container-title":"PLOS ONE","editor":[{"dropping-particle":"","family":"Wu","given":"Rongling","non-dropping-particle":"","parse-names":false,"suffix":""}],"id":"ITEM-2","issue":"10","issued":{"date-parts":[["2015","10","7"]]},"page":"e0139906","publisher":"Public Library of Science","title":"Multi-Trait GWAS and New Candidate Genes Annotation for Growth Curve Parameters in Brahman Cattle","type":"article-journal","volume":"10"},"uris":["http://www.mendeley.com/documents/?uuid=a625c335-e6e2-3d56-9700-f72ce8d1ba77"]},{"id":"ITEM-3","itemData":{"DOI":"10.1186/s12864-019-5935-3","ISSN":"14712164","PMID":"31299913","abstract":"Background: Subfertility is one challenge facing the dairy industry as the average Holstein heifer conception rate (HCR), the proportion of heifers that conceive and maintain a pregnancy per breeding, is estimated at 55-60%. Of the loci associated with HCR, few have been validated in an independent cattle population, limiting their usefulness for selection or furthering our understanding of the mechanisms involved in successful pregnancy. Therefore, the objectives here were to identify loci associated with HCR: 1) to the first artificial insemination (AI) service (HCR1), 2) to repeated AI services required for a heifer to conceive (TBRD) and 3) to validate loci previously associated with fertility. Breeding and health records from 3359 Holstein heifers were obtained after heifers were bred by AI at observed estrus, with pregnancy determined at day 35 via palpation. Heifer DNA was genotyped using the Illumina BovineHD BeadChip, and genome-wide association analyses (GWAA) were performed with additive, dominant and recessive models using the Efficient Mixed Model Association eXpedited (EMMAX) method with a relationship matrix for two phenotypes. The HCR1 GWAA compared heifers that were pregnant after the first AI service (n = 497) to heifers that were open following the first AI service (n = 405), which included those that never conceived. The TBRD GWAA compared only those heifers which did conceive, across variable numbers of AI service (n = 712). Comparison of loci previously associated with fertility, HCR1 or TBRD were considered the same locus for validation when in linkage disequilibrium (D' &gt; 0.7). Results: The HCR1 GWAA identified 116, 187 and 28 loci associated (P &lt; 5 × 10- 8) in additive, dominant and recessive models, respectively. The TBRD GWAA identified 235, 362, and 69 QTL associated (P &lt; 5 × 10- 8) with additive, dominant and recessive models, respectively. Loci previously associated with fertility were in linkage disequilibrium with 22 loci shared with HCR1 and TBRD, 5 HCR1 and 19 TBRD loci. Conclusions: Loci associated with HCR1 and TBRD that have been identified and validated can be used to improve HCR through genomic selection, and to better understand possible mechanisms associated with subfertility.","author":[{"dropping-particle":"","family":"Kiser","given":"Jennifer N.","non-dropping-particle":"","parse-names":false,"suffix":""},{"dropping-particle":"","family":"Keuter","given":"Elizabeth M.","non-dropping-particle":"","parse-names":false,"suffix":""},{"dropping-particle":"","family":"Seabury","given":"Christopher M.","non-dropping-particle":"","parse-names":false,"suffix":""},{"dropping-particle":"","family":"Neupane","given":"Mahesh","non-dropping-particle":"","parse-names":false,"suffix":""},{"dropping-particle":"","family":"Moraes","given":"Joao G.N.","non-dropping-particle":"","parse-names":false,"suffix":""},{"dropping-particle":"","family":"Dalton","given":"Joseph","non-dropping-particle":"","parse-names":false,"suffix":""},{"dropping-particle":"","family":"Burns","given":"Gregory W.","non-dropping-particle":"","parse-names":false,"suffix":""},{"dropping-particle":"","family":"Spencer","given":"Thomas E.","non-dropping-particle":"","parse-names":false,"suffix":""},{"dropping-particle":"","family":"Neibergs","given":"Holly L.","non-dropping-particle":"","parse-names":false,"suffix":""}],"container-title":"BMC Genomics","id":"ITEM-3","issue":"1","issued":{"date-parts":[["2019","7","12"]]},"page":"576","publisher":"BioMed Central Ltd.","title":"Validation of 46 loci associated with female fertility traits in cattle","type":"article-journal","volume":"20"},"uris":["http://www.mendeley.com/documents/?uuid=89eb3da7-d86c-3efc-9759-112ebb7713bc"]},{"id":"ITEM-4","itemData":{"DOI":"10.1017/S1751731112001152","ISSN":"17517311","PMID":"23031337","abstract":"Genome-wide association studies for difficult-to-measure traits are generally limited by the sample size with accurate phenotypic data. The objective of this study was to utilise data on primiparous Holstein-Friesian cows from experimental farms in Ireland, the United Kingdom, the Netherlands and Sweden to identify genomic regions associated with the feed utilisation complex: fat and protein corrected milk yield (FPCM), dry matter intake (DMI), body condition score (BCS) and live-weight (LW). Phenotypic data and 37 590 single nucleotide polymorphisms (SNPs) were available on up to 1629 animals. Genetic parameters of the traits were estimated using a linear animal model with pedigree information, and univariate genome-wide association analyses were undertaken using Bayesian stochastic search variable selection performed using Gibbs sampling. The variation in the phenotypes explained by the SNPs on each chromosome was related to the size of the chromosome and was relatively consistent for each trait with the possible exceptions of BTA4 for BCS, BTA7, BTA13, BTA14, BTA18 for LW and BTA27 for DMI. For LW, BCS, DMI and FPCM, 266, 178, 206 and 254 SNPs had a Bayes factor &gt;3, respectively. Olfactory genes and genes involved in the sensory smell process were overrepresented in a 500 kbp window around the significant SNPs. Potential candidate genes were involved with functions linked to insulin, epidermal growth factor and tryptophan. © The Animal Consortium 2012.","author":[{"dropping-particle":"","family":"Veerkamp","given":"R. F.","non-dropping-particle":"","parse-names":false,"suffix":""},{"dropping-particle":"","family":"Coffey","given":"M. P.","non-dropping-particle":"","parse-names":false,"suffix":""},{"dropping-particle":"","family":"Berry","given":"D. P.","non-dropping-particle":"","parse-names":false,"suffix":""},{"dropping-particle":"","family":"Haas","given":"Y.","non-dropping-particle":"De","parse-names":false,"suffix":""},{"dropping-particle":"","family":"Strandberg","given":"E.","non-dropping-particle":"","parse-names":false,"suffix":""},{"dropping-particle":"","family":"Bovenhuis","given":"H.","non-dropping-particle":"","parse-names":false,"suffix":""},{"dropping-particle":"","family":"Calus","given":"M. P.L.","non-dropping-particle":"","parse-names":false,"suffix":""},{"dropping-particle":"","family":"Wall","given":"E.","non-dropping-particle":"","parse-names":false,"suffix":""}],"container-title":"Animal","id":"ITEM-4","issue":"11","issued":{"date-parts":[["2012","11"]]},"page":"1738-1749","publisher":"Cambridge University Press","title":"Genome-wide associations for feed utilisation complex in primiparous Holstein-Friesian dairy cows from experimental research herds in four European countries","type":"article-journal","volume":"6"},"uris":["http://www.mendeley.com/documents/?uuid=4f150477-0a2e-3222-ae94-4f5333122c52"]},{"id":"ITEM-5","itemData":{"DOI":"10.1186/s12864-019-6231-y","ISSN":"1471-2164","author":[{"dropping-particle":"","family":"Smith","given":"Johanna L.","non-dropping-particle":"","parse-names":false,"suffix":""},{"dropping-particle":"","family":"Wilson","given":"Miranda L.","non-dropping-particle":"","parse-names":false,"suffix":""},{"dropping-particle":"","family":"Nilson","given":"Sara M.","non-dropping-particle":"","parse-names":false,"suffix":""},{"dropping-particle":"","family":"Rowan","given":"Troy N.","non-dropping-particle":"","parse-names":false,"suffix":""},{"dropping-particle":"","family":"Oldeschulte","given":"David L.","non-dropping-particle":"","parse-names":false,"suffix":""},{"dropping-particle":"","family":"Schnabel","given":"Robert D.","non-dropping-particle":"","parse-names":false,"suffix":""},{"dropping-particle":"","family":"Decker","given":"Jared E.","non-dropping-particle":"","parse-names":false,"suffix":""},{"dropping-particle":"","family":"Seabury","given":"Christopher M.","non-dropping-particle":"","parse-names":false,"suffix":""}],"container-title":"BMC Genomics","id":"ITEM-5","issue":"1","issued":{"date-parts":[["2019","12","4"]]},"page":"926","title":"Genome-wide association and genotype by environment interactions for growth traits in U.S. Gelbvieh cattle","type":"article-journal","volume":"20"},"uris":["http://www.mendeley.com/documents/?uuid=97cfed36-9784-3b9f-af44-72374dbeac27"]}],"mendeley":{"formattedCitation":"[1–5]","plainTextFormattedCitation":"[1–5]","previouslyFormattedCitation":"[1–5]"},"properties":{"noteIndex":0},"schema":"https://github.com/citation-style-language/schema/raw/master/csl-citation.json"}</w:instrText>
            </w:r>
            <w:r w:rsidRPr="00DD24FA">
              <w:rPr>
                <w:rFonts w:ascii="Times New Roman" w:hAnsi="Times New Roman" w:cs="Times New Roman"/>
                <w:sz w:val="18"/>
                <w:szCs w:val="18"/>
              </w:rPr>
              <w:fldChar w:fldCharType="separate"/>
            </w:r>
            <w:r w:rsidR="00736431" w:rsidRPr="00DD24FA">
              <w:rPr>
                <w:rFonts w:ascii="Times New Roman" w:hAnsi="Times New Roman" w:cs="Times New Roman"/>
                <w:noProof/>
                <w:sz w:val="18"/>
                <w:szCs w:val="18"/>
              </w:rPr>
              <w:t>[1–5]</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Birth</w:t>
            </w:r>
            <w:r w:rsidR="00736431" w:rsidRPr="00DD24FA">
              <w:rPr>
                <w:rFonts w:ascii="Times New Roman" w:hAnsi="Times New Roman" w:cs="Times New Roman"/>
                <w:sz w:val="18"/>
                <w:szCs w:val="18"/>
              </w:rPr>
              <w:t>, weaning, and yearling</w:t>
            </w:r>
            <w:r w:rsidRPr="00DD24FA">
              <w:rPr>
                <w:rFonts w:ascii="Times New Roman" w:hAnsi="Times New Roman" w:cs="Times New Roman"/>
                <w:sz w:val="18"/>
                <w:szCs w:val="18"/>
              </w:rPr>
              <w:t xml:space="preserve"> weight, calving ease, </w:t>
            </w:r>
            <w:r w:rsidR="00736431" w:rsidRPr="00DD24FA">
              <w:rPr>
                <w:rFonts w:ascii="Times New Roman" w:hAnsi="Times New Roman" w:cs="Times New Roman"/>
                <w:sz w:val="18"/>
                <w:szCs w:val="18"/>
              </w:rPr>
              <w:t xml:space="preserve">yield grade, </w:t>
            </w:r>
            <w:r w:rsidRPr="00DD24FA">
              <w:rPr>
                <w:rFonts w:ascii="Times New Roman" w:hAnsi="Times New Roman" w:cs="Times New Roman"/>
                <w:sz w:val="18"/>
                <w:szCs w:val="18"/>
              </w:rPr>
              <w:t>mature weight, conception rate, body condition score</w:t>
            </w:r>
          </w:p>
        </w:tc>
      </w:tr>
      <w:tr w:rsidR="00DD24FA" w:rsidRPr="0026710B" w14:paraId="19AD8023" w14:textId="77777777" w:rsidTr="00DD24FA">
        <w:trPr>
          <w:jc w:val="center"/>
        </w:trPr>
        <w:tc>
          <w:tcPr>
            <w:tcW w:w="465" w:type="pct"/>
          </w:tcPr>
          <w:p w14:paraId="5CA2D680" w14:textId="77777777" w:rsidR="00B7190B" w:rsidRPr="00DD24FA" w:rsidRDefault="00B7190B" w:rsidP="00B47F85">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20_03</w:t>
            </w:r>
          </w:p>
        </w:tc>
        <w:tc>
          <w:tcPr>
            <w:tcW w:w="327" w:type="pct"/>
          </w:tcPr>
          <w:p w14:paraId="6E0BE2CF" w14:textId="77777777" w:rsidR="00B7190B" w:rsidRPr="00DD24FA" w:rsidRDefault="00B7190B" w:rsidP="00B47F85">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7.565</w:t>
            </w:r>
          </w:p>
        </w:tc>
        <w:tc>
          <w:tcPr>
            <w:tcW w:w="564" w:type="pct"/>
          </w:tcPr>
          <w:p w14:paraId="59091822" w14:textId="77777777" w:rsidR="00B7190B" w:rsidRPr="00DD24FA" w:rsidRDefault="00B7190B" w:rsidP="00B47F85">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-0.813</w:t>
            </w:r>
          </w:p>
        </w:tc>
        <w:tc>
          <w:tcPr>
            <w:tcW w:w="327" w:type="pct"/>
          </w:tcPr>
          <w:p w14:paraId="4CEFB0C9" w14:textId="77777777" w:rsidR="00B7190B" w:rsidRPr="00DD24FA" w:rsidRDefault="00B7190B" w:rsidP="00B47F85">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0.402</w:t>
            </w:r>
          </w:p>
        </w:tc>
        <w:tc>
          <w:tcPr>
            <w:tcW w:w="607" w:type="pct"/>
          </w:tcPr>
          <w:p w14:paraId="225DE018" w14:textId="77777777" w:rsidR="00B7190B" w:rsidRPr="00DD24FA" w:rsidRDefault="00B7190B" w:rsidP="00B47F85">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4</w:t>
            </w:r>
          </w:p>
        </w:tc>
        <w:tc>
          <w:tcPr>
            <w:tcW w:w="748" w:type="pct"/>
          </w:tcPr>
          <w:p w14:paraId="066AC0BB" w14:textId="77777777" w:rsidR="00B7190B" w:rsidRPr="00DD24FA" w:rsidRDefault="00B7190B" w:rsidP="00B47F85">
            <w:pPr>
              <w:spacing w:after="0" w:line="240" w:lineRule="auto"/>
              <w:contextualSpacing/>
              <w:jc w:val="center"/>
              <w:rPr>
                <w:rFonts w:ascii="Times New Roman" w:hAnsi="Times New Roman" w:cs="Times New Roman"/>
                <w:i/>
                <w:color w:val="000000"/>
                <w:sz w:val="18"/>
                <w:szCs w:val="18"/>
              </w:rPr>
            </w:pPr>
            <w:r w:rsidRPr="00DD24FA">
              <w:rPr>
                <w:rFonts w:ascii="Times New Roman" w:hAnsi="Times New Roman" w:cs="Times New Roman"/>
                <w:i/>
                <w:color w:val="000000"/>
                <w:sz w:val="18"/>
                <w:szCs w:val="18"/>
              </w:rPr>
              <w:t>FGF18, LOC112443066</w:t>
            </w:r>
          </w:p>
        </w:tc>
        <w:tc>
          <w:tcPr>
            <w:tcW w:w="513" w:type="pct"/>
          </w:tcPr>
          <w:p w14:paraId="48706867" w14:textId="77777777" w:rsidR="00B7190B" w:rsidRPr="00DD24FA" w:rsidRDefault="00B7190B" w:rsidP="00B47F85">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Intergenic</w:t>
            </w:r>
          </w:p>
        </w:tc>
        <w:tc>
          <w:tcPr>
            <w:tcW w:w="1449" w:type="pct"/>
          </w:tcPr>
          <w:p w14:paraId="1B62002D" w14:textId="2B134C8E" w:rsidR="00B7190B" w:rsidRPr="00DD24FA" w:rsidRDefault="00B7190B" w:rsidP="00B47F85">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736431" w:rsidRPr="00DD24FA">
              <w:rPr>
                <w:rFonts w:ascii="Times New Roman" w:hAnsi="Times New Roman" w:cs="Times New Roman"/>
                <w:sz w:val="18"/>
                <w:szCs w:val="18"/>
              </w:rPr>
              <w:instrText>ADDIN CSL_CITATION {"citationItems":[{"id":"ITEM-1","itemData":{"DOI":"10.1095/biolreprod.110.084277","ISSN":"0006-3363","author":[{"dropping-particle":"","family":"Portela","given":"Valerio M.","non-dropping-particle":"","parse-names":false,"suffix":""},{"dropping-particle":"","family":"Machado","given":"Mariana","non-dropping-particle":"","parse-names":false,"suffix":""},{"dropping-particle":"","family":"Buratini","given":"Jose","non-dropping-particle":"","parse-names":false,"suffix":""},{"dropping-particle":"","family":"Zamberlam","given":"Gustavo","non-dropping-particle":"","parse-names":false,"suffix":""},{"dropping-particle":"","family":"Amorim","given":"Renee L.","non-dropping-particle":"","parse-names":false,"suffix":""},{"dropping-particle":"","family":"Goncalves","given":"Paulo","non-dropping-particle":"","parse-names":false,"suffix":""},{"dropping-particle":"","family":"Price","given":"Christopher A.","non-dropping-particle":"","parse-names":false,"suffix":""}],"container-title":"Biology of Reproduction","id":"ITEM-1","issue":"3","issued":{"date-parts":[["2010","9","1"]]},"page":"339-346","title":"Expression and Function of Fibroblast Growth Factor 18 in the Ovarian Follicle in Cattle1","type":"article-journal","volume":"83"},"uris":["http://www.mendeley.com/documents/?uuid=fee0e00d-ddc1-3617-9a5e-f00c15bac30b"]}],"mendeley":{"formattedCitation":"[6]","plainTextFormattedCitation":"[6]","previouslyFormattedCitation":"[6]"},"properties":{"noteIndex":0},"schema":"https://github.com/citation-style-language/schema/raw/master/csl-citation.json"}</w:instrText>
            </w:r>
            <w:r w:rsidRPr="00DD24FA">
              <w:rPr>
                <w:rFonts w:ascii="Times New Roman" w:hAnsi="Times New Roman" w:cs="Times New Roman"/>
                <w:sz w:val="18"/>
                <w:szCs w:val="18"/>
              </w:rPr>
              <w:fldChar w:fldCharType="separate"/>
            </w:r>
            <w:r w:rsidR="00736431" w:rsidRPr="00DD24FA">
              <w:rPr>
                <w:rFonts w:ascii="Times New Roman" w:hAnsi="Times New Roman" w:cs="Times New Roman"/>
                <w:noProof/>
                <w:sz w:val="18"/>
                <w:szCs w:val="18"/>
              </w:rPr>
              <w:t>[6]</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Cell cycle regulation of granulosa cells</w:t>
            </w:r>
          </w:p>
        </w:tc>
      </w:tr>
      <w:tr w:rsidR="00DD24FA" w:rsidRPr="0026710B" w14:paraId="147D57A6" w14:textId="77777777" w:rsidTr="00DD24FA">
        <w:trPr>
          <w:jc w:val="center"/>
        </w:trPr>
        <w:tc>
          <w:tcPr>
            <w:tcW w:w="465" w:type="pct"/>
          </w:tcPr>
          <w:p w14:paraId="301984A0" w14:textId="77777777" w:rsidR="00B7190B" w:rsidRPr="00DD24FA" w:rsidRDefault="00B7190B" w:rsidP="00B47F85">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7_18</w:t>
            </w:r>
          </w:p>
        </w:tc>
        <w:tc>
          <w:tcPr>
            <w:tcW w:w="327" w:type="pct"/>
          </w:tcPr>
          <w:p w14:paraId="5E01B3A8" w14:textId="77777777" w:rsidR="00B7190B" w:rsidRPr="00DD24FA" w:rsidRDefault="00B7190B" w:rsidP="00B47F85">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5.869</w:t>
            </w:r>
          </w:p>
        </w:tc>
        <w:tc>
          <w:tcPr>
            <w:tcW w:w="564" w:type="pct"/>
          </w:tcPr>
          <w:p w14:paraId="02562374" w14:textId="77777777" w:rsidR="00B7190B" w:rsidRPr="00DD24FA" w:rsidRDefault="00B7190B" w:rsidP="00B47F85">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0.958</w:t>
            </w:r>
          </w:p>
        </w:tc>
        <w:tc>
          <w:tcPr>
            <w:tcW w:w="327" w:type="pct"/>
          </w:tcPr>
          <w:p w14:paraId="3D9AD070" w14:textId="77777777" w:rsidR="00B7190B" w:rsidRPr="00DD24FA" w:rsidRDefault="00B7190B" w:rsidP="00B47F85">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0.183</w:t>
            </w:r>
          </w:p>
        </w:tc>
        <w:tc>
          <w:tcPr>
            <w:tcW w:w="607" w:type="pct"/>
          </w:tcPr>
          <w:p w14:paraId="773B3479" w14:textId="77777777" w:rsidR="00B7190B" w:rsidRPr="00DD24FA" w:rsidRDefault="00B7190B" w:rsidP="00B47F85">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3</w:t>
            </w:r>
          </w:p>
        </w:tc>
        <w:tc>
          <w:tcPr>
            <w:tcW w:w="748" w:type="pct"/>
          </w:tcPr>
          <w:p w14:paraId="35590A5B" w14:textId="77777777" w:rsidR="00B7190B" w:rsidRPr="00DD24FA" w:rsidRDefault="00B7190B" w:rsidP="00B47F85">
            <w:pPr>
              <w:spacing w:after="0" w:line="240" w:lineRule="auto"/>
              <w:contextualSpacing/>
              <w:jc w:val="center"/>
              <w:rPr>
                <w:rFonts w:ascii="Times New Roman" w:hAnsi="Times New Roman" w:cs="Times New Roman"/>
                <w:i/>
                <w:color w:val="000000"/>
                <w:sz w:val="18"/>
                <w:szCs w:val="18"/>
              </w:rPr>
            </w:pPr>
            <w:r w:rsidRPr="00DD24FA">
              <w:rPr>
                <w:rFonts w:ascii="Times New Roman" w:hAnsi="Times New Roman" w:cs="Times New Roman"/>
                <w:i/>
                <w:color w:val="000000"/>
                <w:sz w:val="18"/>
                <w:szCs w:val="18"/>
              </w:rPr>
              <w:t>SH2D3A</w:t>
            </w:r>
          </w:p>
        </w:tc>
        <w:tc>
          <w:tcPr>
            <w:tcW w:w="513" w:type="pct"/>
          </w:tcPr>
          <w:p w14:paraId="33EF1D66" w14:textId="77777777" w:rsidR="00B7190B" w:rsidRPr="00DD24FA" w:rsidRDefault="00B7190B" w:rsidP="00B47F85">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Intron</w:t>
            </w:r>
          </w:p>
        </w:tc>
        <w:tc>
          <w:tcPr>
            <w:tcW w:w="1449" w:type="pct"/>
          </w:tcPr>
          <w:p w14:paraId="7747B1CF" w14:textId="66A0217F" w:rsidR="00B7190B" w:rsidRPr="00DD24FA" w:rsidRDefault="00B7190B" w:rsidP="00B47F85">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736431" w:rsidRPr="00DD24FA">
              <w:rPr>
                <w:rFonts w:ascii="Times New Roman" w:hAnsi="Times New Roman" w:cs="Times New Roman"/>
                <w:sz w:val="18"/>
                <w:szCs w:val="18"/>
              </w:rPr>
              <w:instrText>ADDIN CSL_CITATION {"citationItems":[{"id":"ITEM-1","itemData":{"DOI":"10.1186/1471-2156-13-21","ISSN":"14712156","PMID":"22449276","abstract":"Background: Contemporary dairy breeding goals have broadened to include, along with milk production traits, a number of non-production-related traits in an effort to improve the overall functionality of the dairy cow. Increased indirect selection for resistance to mastitis, one of the most important production-related diseases in the dairy sector, via selection for reduced somatic cell count has been part of these broadened goals. A number of genome-wide association studies have identified genetic variants associated with milk production traits and mastitis resistance, however the majority of these studies have been based on animals which were predominantly kept in confinement and fed a concentrate-based diet (i.e. high-input production systems). This genome-wide association study aims to detect associations using genotypic and phenotypic data from Irish Holstein-Friesian cattle fed predominantly grazed grass in a pasture-based production system (low-input).Results: Significant associations were detected for milk yield, fat yield, protein yield, fat percentage, protein percentage and somatic cell score using separate single-locus, frequentist and multi-locus, Bayesian approaches. These associations were detected using two separate populations of Holstein-Friesian sires and cows. In total, 1,529 and 37 associations were detected in the sires using a single SNP regression and a Bayesian method, respectively. There were 103 associations in common between the sires and cows across all the traits. As well as detecting associations within known QTL regions, a number of novel associations were detected; the most notable of these was a region of chromosome 13 associated with milk yield in the population of Holstein-Friesian sires.Conclusions: A total of 276 of novel SNPs were detected in the sires using a single SNP regression approach. Although obvious candidate genes may not be initially forthcoming, this study provides a preliminary framework upon which to identify the causal mechanisms underlying the various milk production traits and somatic cell score. Consequently this will deepen our understanding of how these traits are expressed. © 2012 Meredith et al; licensee BioMed Central Ltd.","author":[{"dropping-particle":"","family":"Meredith","given":"Brian K.","non-dropping-particle":"","parse-names":false,"suffix":""},{"dropping-particle":"","family":"Kearney","given":"Francis J.","non-dropping-particle":"","parse-names":false,"suffix":""},{"dropping-particle":"","family":"Finlay","given":"Emma K.","non-dropping-particle":"","parse-names":false,"suffix":""},{"dropping-particle":"","family":"Bradley","given":"Daniel G.","non-dropping-particle":"","parse-names":false,"suffix":""},{"dropping-particle":"","family":"Fahey","given":"Alan G.","non-dropping-particle":"","parse-names":false,"suffix":""},{"dropping-particle":"","family":"Berry","given":"Donagh P.","non-dropping-particle":"","parse-names":false,"suffix":""},{"dropping-particle":"","family":"Lynn","given":"David J.","non-dropping-particle":"","parse-names":false,"suffix":""}],"container-title":"BMC Genetics","id":"ITEM-1","issue":"1","issued":{"date-parts":[["2012","3","26"]]},"page":"21","publisher":"BioMed Central","title":"Genome-wide associations for milk production and somatic cell score in Holstein-Friesian cattle in Ireland","type":"article-journal","volume":"13"},"uris":["http://www.mendeley.com/documents/?uuid=120c3a2d-4807-3f2e-b4ba-7fbf90b7964d"]}],"mendeley":{"formattedCitation":"[7]","plainTextFormattedCitation":"[7]","previouslyFormattedCitation":"[7]"},"properties":{"noteIndex":0},"schema":"https://github.com/citation-style-language/schema/raw/master/csl-citation.json"}</w:instrText>
            </w:r>
            <w:r w:rsidRPr="00DD24FA">
              <w:rPr>
                <w:rFonts w:ascii="Times New Roman" w:hAnsi="Times New Roman" w:cs="Times New Roman"/>
                <w:sz w:val="18"/>
                <w:szCs w:val="18"/>
              </w:rPr>
              <w:fldChar w:fldCharType="separate"/>
            </w:r>
            <w:r w:rsidR="00736431" w:rsidRPr="00DD24FA">
              <w:rPr>
                <w:rFonts w:ascii="Times New Roman" w:hAnsi="Times New Roman" w:cs="Times New Roman"/>
                <w:noProof/>
                <w:sz w:val="18"/>
                <w:szCs w:val="18"/>
              </w:rPr>
              <w:t>[7]</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Milk yield</w:t>
            </w:r>
          </w:p>
        </w:tc>
      </w:tr>
    </w:tbl>
    <w:p w14:paraId="7793AF6A" w14:textId="77777777" w:rsidR="00B7190B" w:rsidRPr="00B7190B" w:rsidRDefault="00B7190B" w:rsidP="009948D8"/>
    <w:p w14:paraId="1BBBFFA5" w14:textId="756F7569" w:rsidR="009948D8" w:rsidRPr="00CC4E90" w:rsidRDefault="009948D8" w:rsidP="009948D8">
      <w:pPr>
        <w:rPr>
          <w:rFonts w:ascii="Times New Roman" w:hAnsi="Times New Roman" w:cs="Times New Roman"/>
        </w:rPr>
      </w:pPr>
      <w:r>
        <w:rPr>
          <w:rFonts w:ascii="Times New Roman" w:hAnsi="Times New Roman" w:cs="Times New Roman"/>
          <w:b/>
        </w:rPr>
        <w:t>Table S</w:t>
      </w:r>
      <w:r w:rsidR="00B7190B">
        <w:rPr>
          <w:rFonts w:ascii="Times New Roman" w:hAnsi="Times New Roman" w:cs="Times New Roman"/>
          <w:b/>
        </w:rPr>
        <w:t>3</w:t>
      </w:r>
      <w:r>
        <w:rPr>
          <w:rFonts w:ascii="Times New Roman" w:hAnsi="Times New Roman" w:cs="Times New Roman"/>
          <w:b/>
        </w:rPr>
        <w:t>.</w:t>
      </w:r>
      <w:r>
        <w:rPr>
          <w:rFonts w:ascii="Times New Roman" w:hAnsi="Times New Roman" w:cs="Times New Roman"/>
        </w:rPr>
        <w:t xml:space="preserve"> </w:t>
      </w:r>
      <w:r w:rsidR="00D90C11">
        <w:t>Genomic inflation factors (</w:t>
      </w:r>
      <w:r w:rsidR="00D90C11">
        <w:rPr>
          <w:rFonts w:cstheme="minorHAnsi"/>
        </w:rPr>
        <w:t>λ</w:t>
      </w:r>
      <w:r w:rsidR="00D90C11">
        <w:t xml:space="preserve">) calculated using observed </w:t>
      </w:r>
      <w:r w:rsidR="00D90C11" w:rsidRPr="0043204B">
        <w:rPr>
          <w:i/>
          <w:iCs/>
        </w:rPr>
        <w:t>P</w:t>
      </w:r>
      <w:r w:rsidR="00D90C11">
        <w:rPr>
          <w:i/>
          <w:iCs/>
        </w:rPr>
        <w:t>-</w:t>
      </w:r>
      <w:r w:rsidR="00D90C11">
        <w:t xml:space="preserve">values and expected </w:t>
      </w:r>
      <w:r w:rsidR="00D90C11" w:rsidRPr="0043204B">
        <w:rPr>
          <w:i/>
          <w:iCs/>
        </w:rPr>
        <w:t>P</w:t>
      </w:r>
      <w:r w:rsidR="00D90C11">
        <w:rPr>
          <w:i/>
          <w:iCs/>
        </w:rPr>
        <w:t>-</w:t>
      </w:r>
      <w:r w:rsidR="00D90C11">
        <w:t xml:space="preserve">values </w:t>
      </w:r>
      <w:r w:rsidR="00D90C11" w:rsidRPr="0043204B">
        <w:t xml:space="preserve">for </w:t>
      </w:r>
      <w:r w:rsidR="00D90C11">
        <w:t>GWAA for growth traits in U.S. Red Angus beef cattle.</w:t>
      </w:r>
    </w:p>
    <w:tbl>
      <w:tblPr>
        <w:tblStyle w:val="TableGrid"/>
        <w:tblW w:w="5000" w:type="pct"/>
        <w:tblLook w:val="04A0" w:firstRow="1" w:lastRow="0" w:firstColumn="1" w:lastColumn="0" w:noHBand="0" w:noVBand="1"/>
      </w:tblPr>
      <w:tblGrid>
        <w:gridCol w:w="2098"/>
        <w:gridCol w:w="3106"/>
        <w:gridCol w:w="4146"/>
      </w:tblGrid>
      <w:tr w:rsidR="009948D8" w:rsidRPr="00414093" w14:paraId="6BCD8BD8" w14:textId="77777777" w:rsidTr="009624D6">
        <w:trPr>
          <w:trHeight w:val="293"/>
        </w:trPr>
        <w:tc>
          <w:tcPr>
            <w:tcW w:w="1122" w:type="pct"/>
            <w:tcBorders>
              <w:top w:val="single" w:sz="4" w:space="0" w:color="auto"/>
              <w:left w:val="single" w:sz="4" w:space="0" w:color="auto"/>
              <w:bottom w:val="single" w:sz="12" w:space="0" w:color="auto"/>
              <w:right w:val="single" w:sz="4" w:space="0" w:color="auto"/>
            </w:tcBorders>
          </w:tcPr>
          <w:p w14:paraId="164B2A58" w14:textId="77777777" w:rsidR="009948D8" w:rsidRPr="006735B9" w:rsidRDefault="009948D8" w:rsidP="00B47F85">
            <w:pPr>
              <w:rPr>
                <w:b/>
                <w:sz w:val="24"/>
                <w:szCs w:val="24"/>
              </w:rPr>
            </w:pPr>
            <w:r w:rsidRPr="006735B9">
              <w:rPr>
                <w:b/>
                <w:sz w:val="24"/>
                <w:szCs w:val="24"/>
              </w:rPr>
              <w:t>Trait</w:t>
            </w:r>
          </w:p>
        </w:tc>
        <w:tc>
          <w:tcPr>
            <w:tcW w:w="1661" w:type="pct"/>
            <w:tcBorders>
              <w:top w:val="single" w:sz="4" w:space="0" w:color="auto"/>
              <w:left w:val="single" w:sz="4" w:space="0" w:color="auto"/>
              <w:bottom w:val="single" w:sz="12" w:space="0" w:color="auto"/>
              <w:right w:val="single" w:sz="4" w:space="0" w:color="auto"/>
            </w:tcBorders>
          </w:tcPr>
          <w:p w14:paraId="5CA43DCB" w14:textId="77777777" w:rsidR="009948D8" w:rsidRPr="006735B9" w:rsidRDefault="009948D8" w:rsidP="00B47F85">
            <w:pPr>
              <w:jc w:val="center"/>
              <w:rPr>
                <w:b/>
                <w:sz w:val="24"/>
                <w:szCs w:val="24"/>
              </w:rPr>
            </w:pPr>
            <w:r>
              <w:rPr>
                <w:rFonts w:cstheme="minorHAnsi"/>
                <w:b/>
                <w:sz w:val="24"/>
                <w:szCs w:val="24"/>
              </w:rPr>
              <w:t>λ</w:t>
            </w:r>
          </w:p>
        </w:tc>
        <w:tc>
          <w:tcPr>
            <w:tcW w:w="2217" w:type="pct"/>
            <w:tcBorders>
              <w:top w:val="single" w:sz="4" w:space="0" w:color="auto"/>
              <w:left w:val="single" w:sz="4" w:space="0" w:color="auto"/>
              <w:bottom w:val="single" w:sz="12" w:space="0" w:color="auto"/>
              <w:right w:val="single" w:sz="4" w:space="0" w:color="auto"/>
            </w:tcBorders>
          </w:tcPr>
          <w:p w14:paraId="23E38E0F" w14:textId="77777777" w:rsidR="009948D8" w:rsidRPr="006735B9" w:rsidRDefault="009948D8" w:rsidP="00B47F85">
            <w:pPr>
              <w:jc w:val="center"/>
              <w:rPr>
                <w:b/>
                <w:sz w:val="24"/>
                <w:szCs w:val="24"/>
              </w:rPr>
            </w:pPr>
            <w:r>
              <w:rPr>
                <w:b/>
                <w:sz w:val="24"/>
                <w:szCs w:val="24"/>
              </w:rPr>
              <w:t>SE (</w:t>
            </w:r>
            <w:r>
              <w:rPr>
                <w:rFonts w:cstheme="minorHAnsi"/>
                <w:b/>
                <w:sz w:val="24"/>
                <w:szCs w:val="24"/>
              </w:rPr>
              <w:t>λ</w:t>
            </w:r>
            <w:r>
              <w:rPr>
                <w:b/>
                <w:sz w:val="24"/>
                <w:szCs w:val="24"/>
              </w:rPr>
              <w:t>)</w:t>
            </w:r>
          </w:p>
        </w:tc>
      </w:tr>
      <w:tr w:rsidR="009948D8" w:rsidRPr="00414093" w14:paraId="121FAC79" w14:textId="77777777" w:rsidTr="009624D6">
        <w:trPr>
          <w:trHeight w:val="293"/>
        </w:trPr>
        <w:tc>
          <w:tcPr>
            <w:tcW w:w="1122" w:type="pct"/>
            <w:tcBorders>
              <w:top w:val="single" w:sz="12" w:space="0" w:color="auto"/>
              <w:left w:val="single" w:sz="4" w:space="0" w:color="auto"/>
              <w:bottom w:val="single" w:sz="4" w:space="0" w:color="auto"/>
              <w:right w:val="single" w:sz="4" w:space="0" w:color="auto"/>
            </w:tcBorders>
            <w:hideMark/>
          </w:tcPr>
          <w:p w14:paraId="477AD8BA" w14:textId="43780E0C" w:rsidR="009948D8" w:rsidRPr="006735B9" w:rsidRDefault="009948D8" w:rsidP="00B47F85">
            <w:pPr>
              <w:rPr>
                <w:b/>
                <w:sz w:val="24"/>
                <w:szCs w:val="24"/>
                <w:vertAlign w:val="superscript"/>
              </w:rPr>
            </w:pPr>
            <w:r w:rsidRPr="006735B9">
              <w:rPr>
                <w:b/>
                <w:sz w:val="24"/>
                <w:szCs w:val="24"/>
              </w:rPr>
              <w:t>B</w:t>
            </w:r>
            <w:r w:rsidR="00733D40">
              <w:rPr>
                <w:b/>
                <w:sz w:val="24"/>
                <w:szCs w:val="24"/>
              </w:rPr>
              <w:t>irth Weight</w:t>
            </w:r>
          </w:p>
        </w:tc>
        <w:tc>
          <w:tcPr>
            <w:tcW w:w="1661" w:type="pct"/>
            <w:tcBorders>
              <w:top w:val="single" w:sz="12" w:space="0" w:color="auto"/>
              <w:left w:val="single" w:sz="4" w:space="0" w:color="auto"/>
              <w:bottom w:val="single" w:sz="4" w:space="0" w:color="auto"/>
              <w:right w:val="single" w:sz="4" w:space="0" w:color="auto"/>
            </w:tcBorders>
          </w:tcPr>
          <w:p w14:paraId="4ED929C4" w14:textId="20F0EB18" w:rsidR="009948D8" w:rsidRPr="006735B9" w:rsidRDefault="00985BF1" w:rsidP="00B47F85">
            <w:pPr>
              <w:jc w:val="center"/>
              <w:rPr>
                <w:sz w:val="24"/>
                <w:szCs w:val="24"/>
              </w:rPr>
            </w:pPr>
            <w:r>
              <w:rPr>
                <w:sz w:val="24"/>
                <w:szCs w:val="24"/>
              </w:rPr>
              <w:t>1.299</w:t>
            </w:r>
          </w:p>
        </w:tc>
        <w:tc>
          <w:tcPr>
            <w:tcW w:w="2217" w:type="pct"/>
            <w:tcBorders>
              <w:top w:val="single" w:sz="12" w:space="0" w:color="auto"/>
              <w:left w:val="single" w:sz="4" w:space="0" w:color="auto"/>
              <w:bottom w:val="single" w:sz="4" w:space="0" w:color="auto"/>
              <w:right w:val="single" w:sz="4" w:space="0" w:color="auto"/>
            </w:tcBorders>
          </w:tcPr>
          <w:p w14:paraId="7C242801" w14:textId="77777777" w:rsidR="009948D8" w:rsidRPr="006735B9" w:rsidRDefault="009948D8" w:rsidP="00B47F85">
            <w:pPr>
              <w:jc w:val="center"/>
              <w:rPr>
                <w:sz w:val="24"/>
                <w:szCs w:val="24"/>
              </w:rPr>
            </w:pPr>
            <w:r>
              <w:rPr>
                <w:sz w:val="24"/>
                <w:szCs w:val="24"/>
              </w:rPr>
              <w:t>0.002</w:t>
            </w:r>
          </w:p>
        </w:tc>
      </w:tr>
      <w:tr w:rsidR="009948D8" w:rsidRPr="00414093" w14:paraId="27C2EC06" w14:textId="77777777" w:rsidTr="00B47F85">
        <w:trPr>
          <w:trHeight w:val="293"/>
        </w:trPr>
        <w:tc>
          <w:tcPr>
            <w:tcW w:w="1122" w:type="pct"/>
            <w:tcBorders>
              <w:top w:val="single" w:sz="4" w:space="0" w:color="auto"/>
              <w:left w:val="single" w:sz="4" w:space="0" w:color="auto"/>
              <w:bottom w:val="single" w:sz="4" w:space="0" w:color="auto"/>
              <w:right w:val="single" w:sz="4" w:space="0" w:color="auto"/>
            </w:tcBorders>
            <w:hideMark/>
          </w:tcPr>
          <w:p w14:paraId="6428460B" w14:textId="2781C371" w:rsidR="009948D8" w:rsidRPr="006735B9" w:rsidRDefault="009948D8" w:rsidP="00B47F85">
            <w:pPr>
              <w:rPr>
                <w:b/>
                <w:sz w:val="24"/>
                <w:szCs w:val="24"/>
                <w:vertAlign w:val="superscript"/>
              </w:rPr>
            </w:pPr>
            <w:r w:rsidRPr="006735B9">
              <w:rPr>
                <w:b/>
                <w:sz w:val="24"/>
                <w:szCs w:val="24"/>
              </w:rPr>
              <w:t>W</w:t>
            </w:r>
            <w:r w:rsidR="00733D40">
              <w:rPr>
                <w:b/>
                <w:sz w:val="24"/>
                <w:szCs w:val="24"/>
              </w:rPr>
              <w:t>eaning Weight</w:t>
            </w:r>
          </w:p>
        </w:tc>
        <w:tc>
          <w:tcPr>
            <w:tcW w:w="1661" w:type="pct"/>
            <w:tcBorders>
              <w:top w:val="single" w:sz="4" w:space="0" w:color="auto"/>
              <w:left w:val="single" w:sz="4" w:space="0" w:color="auto"/>
              <w:bottom w:val="single" w:sz="4" w:space="0" w:color="auto"/>
              <w:right w:val="single" w:sz="4" w:space="0" w:color="auto"/>
            </w:tcBorders>
          </w:tcPr>
          <w:p w14:paraId="7813F4A7" w14:textId="39C6B786" w:rsidR="009948D8" w:rsidRPr="006735B9" w:rsidRDefault="00985BF1" w:rsidP="00B47F85">
            <w:pPr>
              <w:jc w:val="center"/>
              <w:rPr>
                <w:sz w:val="24"/>
                <w:szCs w:val="24"/>
              </w:rPr>
            </w:pPr>
            <w:r>
              <w:rPr>
                <w:sz w:val="24"/>
                <w:szCs w:val="24"/>
              </w:rPr>
              <w:t>1.112</w:t>
            </w:r>
          </w:p>
        </w:tc>
        <w:tc>
          <w:tcPr>
            <w:tcW w:w="2217" w:type="pct"/>
            <w:tcBorders>
              <w:top w:val="single" w:sz="4" w:space="0" w:color="auto"/>
              <w:left w:val="single" w:sz="4" w:space="0" w:color="auto"/>
              <w:bottom w:val="single" w:sz="4" w:space="0" w:color="auto"/>
              <w:right w:val="single" w:sz="4" w:space="0" w:color="auto"/>
            </w:tcBorders>
          </w:tcPr>
          <w:p w14:paraId="309D90A6" w14:textId="77777777" w:rsidR="009948D8" w:rsidRPr="006735B9" w:rsidRDefault="009948D8" w:rsidP="00B47F85">
            <w:pPr>
              <w:jc w:val="center"/>
              <w:rPr>
                <w:sz w:val="24"/>
                <w:szCs w:val="24"/>
              </w:rPr>
            </w:pPr>
            <w:r>
              <w:rPr>
                <w:sz w:val="24"/>
                <w:szCs w:val="24"/>
              </w:rPr>
              <w:t>0.001</w:t>
            </w:r>
          </w:p>
        </w:tc>
      </w:tr>
      <w:tr w:rsidR="009948D8" w:rsidRPr="00414093" w14:paraId="76352770" w14:textId="77777777" w:rsidTr="00B47F85">
        <w:trPr>
          <w:trHeight w:val="293"/>
        </w:trPr>
        <w:tc>
          <w:tcPr>
            <w:tcW w:w="1122" w:type="pct"/>
            <w:tcBorders>
              <w:top w:val="single" w:sz="4" w:space="0" w:color="auto"/>
              <w:left w:val="single" w:sz="4" w:space="0" w:color="auto"/>
              <w:bottom w:val="single" w:sz="4" w:space="0" w:color="auto"/>
              <w:right w:val="single" w:sz="4" w:space="0" w:color="auto"/>
            </w:tcBorders>
            <w:hideMark/>
          </w:tcPr>
          <w:p w14:paraId="7BE57319" w14:textId="484EF7C9" w:rsidR="009948D8" w:rsidRPr="006735B9" w:rsidRDefault="009948D8" w:rsidP="00B47F85">
            <w:pPr>
              <w:rPr>
                <w:b/>
                <w:sz w:val="24"/>
                <w:szCs w:val="24"/>
                <w:vertAlign w:val="superscript"/>
              </w:rPr>
            </w:pPr>
            <w:r w:rsidRPr="006735B9">
              <w:rPr>
                <w:b/>
                <w:sz w:val="24"/>
                <w:szCs w:val="24"/>
              </w:rPr>
              <w:t>Y</w:t>
            </w:r>
            <w:r w:rsidR="00733D40">
              <w:rPr>
                <w:b/>
                <w:sz w:val="24"/>
                <w:szCs w:val="24"/>
              </w:rPr>
              <w:t>earling Weight</w:t>
            </w:r>
          </w:p>
        </w:tc>
        <w:tc>
          <w:tcPr>
            <w:tcW w:w="1661" w:type="pct"/>
            <w:tcBorders>
              <w:top w:val="single" w:sz="4" w:space="0" w:color="auto"/>
              <w:left w:val="single" w:sz="4" w:space="0" w:color="auto"/>
              <w:bottom w:val="single" w:sz="4" w:space="0" w:color="auto"/>
              <w:right w:val="single" w:sz="4" w:space="0" w:color="auto"/>
            </w:tcBorders>
          </w:tcPr>
          <w:p w14:paraId="2C7D8CE1" w14:textId="74160A4A" w:rsidR="009948D8" w:rsidRPr="006735B9" w:rsidRDefault="009948D8" w:rsidP="00B47F85">
            <w:pPr>
              <w:jc w:val="center"/>
              <w:rPr>
                <w:sz w:val="24"/>
                <w:szCs w:val="24"/>
              </w:rPr>
            </w:pPr>
            <w:r>
              <w:rPr>
                <w:sz w:val="24"/>
                <w:szCs w:val="24"/>
              </w:rPr>
              <w:t>1.22</w:t>
            </w:r>
            <w:r w:rsidR="00985BF1">
              <w:rPr>
                <w:sz w:val="24"/>
                <w:szCs w:val="24"/>
              </w:rPr>
              <w:t>2</w:t>
            </w:r>
          </w:p>
        </w:tc>
        <w:tc>
          <w:tcPr>
            <w:tcW w:w="2217" w:type="pct"/>
            <w:tcBorders>
              <w:top w:val="single" w:sz="4" w:space="0" w:color="auto"/>
              <w:left w:val="single" w:sz="4" w:space="0" w:color="auto"/>
              <w:bottom w:val="single" w:sz="4" w:space="0" w:color="auto"/>
              <w:right w:val="single" w:sz="4" w:space="0" w:color="auto"/>
            </w:tcBorders>
          </w:tcPr>
          <w:p w14:paraId="679264E2" w14:textId="77777777" w:rsidR="009948D8" w:rsidRPr="006735B9" w:rsidRDefault="009948D8" w:rsidP="00B47F85">
            <w:pPr>
              <w:jc w:val="center"/>
              <w:rPr>
                <w:sz w:val="24"/>
                <w:szCs w:val="24"/>
              </w:rPr>
            </w:pPr>
            <w:r>
              <w:rPr>
                <w:sz w:val="24"/>
                <w:szCs w:val="24"/>
              </w:rPr>
              <w:t>0.001</w:t>
            </w:r>
          </w:p>
        </w:tc>
      </w:tr>
    </w:tbl>
    <w:p w14:paraId="78F7EF67" w14:textId="77777777" w:rsidR="00B7190B" w:rsidRDefault="00B7190B"/>
    <w:p w14:paraId="7E8D5B63" w14:textId="0FF2197D" w:rsidR="001B22CD" w:rsidRPr="00B361C9" w:rsidRDefault="001B22CD" w:rsidP="00267B98">
      <w:pPr>
        <w:shd w:val="clear" w:color="auto" w:fill="FFFFFF"/>
        <w:spacing w:before="240" w:after="0" w:line="240" w:lineRule="auto"/>
        <w:contextualSpacing/>
        <w:rPr>
          <w:rFonts w:ascii="Times New Roman" w:hAnsi="Times New Roman" w:cs="Times New Roman"/>
        </w:rPr>
      </w:pPr>
      <w:r w:rsidRPr="00B361C9">
        <w:rPr>
          <w:rFonts w:ascii="Times New Roman" w:hAnsi="Times New Roman" w:cs="Times New Roman"/>
          <w:b/>
        </w:rPr>
        <w:t xml:space="preserve">Table </w:t>
      </w:r>
      <w:r w:rsidR="0013515C">
        <w:rPr>
          <w:rFonts w:ascii="Times New Roman" w:hAnsi="Times New Roman" w:cs="Times New Roman"/>
          <w:b/>
        </w:rPr>
        <w:t>S</w:t>
      </w:r>
      <w:r w:rsidR="00B7190B">
        <w:rPr>
          <w:rFonts w:ascii="Times New Roman" w:hAnsi="Times New Roman" w:cs="Times New Roman"/>
          <w:b/>
        </w:rPr>
        <w:t>4</w:t>
      </w:r>
      <w:r w:rsidRPr="00B361C9">
        <w:rPr>
          <w:rFonts w:ascii="Times New Roman" w:hAnsi="Times New Roman" w:cs="Times New Roman"/>
          <w:b/>
        </w:rPr>
        <w:t xml:space="preserve">. </w:t>
      </w:r>
      <w:r w:rsidRPr="00B361C9">
        <w:rPr>
          <w:rFonts w:ascii="Times New Roman" w:hAnsi="Times New Roman" w:cs="Times New Roman"/>
        </w:rPr>
        <w:t>Summary of</w:t>
      </w:r>
      <w:r w:rsidRPr="00B361C9">
        <w:rPr>
          <w:rFonts w:ascii="Times New Roman" w:hAnsi="Times New Roman" w:cs="Times New Roman"/>
          <w:b/>
        </w:rPr>
        <w:t xml:space="preserve"> </w:t>
      </w:r>
      <w:r w:rsidRPr="00B361C9">
        <w:rPr>
          <w:rFonts w:ascii="Times New Roman" w:hAnsi="Times New Roman" w:cs="Times New Roman"/>
        </w:rPr>
        <w:t xml:space="preserve">QTL </w:t>
      </w:r>
      <w:r w:rsidR="00F85CC8">
        <w:rPr>
          <w:rFonts w:ascii="Times New Roman" w:hAnsi="Times New Roman" w:cs="Times New Roman"/>
        </w:rPr>
        <w:t>with 2 to 4 supporting SNPs</w:t>
      </w:r>
      <w:r w:rsidR="00F85CC8" w:rsidRPr="00B361C9">
        <w:rPr>
          <w:rFonts w:ascii="Times New Roman" w:hAnsi="Times New Roman" w:cs="Times New Roman"/>
        </w:rPr>
        <w:t xml:space="preserve"> </w:t>
      </w:r>
      <w:r w:rsidRPr="00B361C9">
        <w:rPr>
          <w:rFonts w:ascii="Times New Roman" w:hAnsi="Times New Roman" w:cs="Times New Roman"/>
        </w:rPr>
        <w:t xml:space="preserve">detected for </w:t>
      </w:r>
      <w:r w:rsidR="00DD1300">
        <w:rPr>
          <w:rFonts w:ascii="Times New Roman" w:hAnsi="Times New Roman" w:cs="Times New Roman"/>
        </w:rPr>
        <w:t>weaning weight</w:t>
      </w:r>
      <w:r w:rsidRPr="00B361C9">
        <w:rPr>
          <w:rFonts w:ascii="Times New Roman" w:hAnsi="Times New Roman" w:cs="Times New Roman"/>
        </w:rPr>
        <w:t xml:space="preserve"> in U.S. </w:t>
      </w:r>
      <w:r>
        <w:rPr>
          <w:rFonts w:ascii="Times New Roman" w:hAnsi="Times New Roman" w:cs="Times New Roman"/>
        </w:rPr>
        <w:t>Red Angus</w:t>
      </w:r>
      <w:r w:rsidRPr="00B361C9">
        <w:rPr>
          <w:rFonts w:ascii="Times New Roman" w:hAnsi="Times New Roman" w:cs="Times New Roman"/>
        </w:rPr>
        <w:t xml:space="preserve"> cattle.</w:t>
      </w:r>
    </w:p>
    <w:tbl>
      <w:tblPr>
        <w:tblW w:w="51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627"/>
        <w:gridCol w:w="1057"/>
        <w:gridCol w:w="626"/>
        <w:gridCol w:w="1088"/>
        <w:gridCol w:w="1423"/>
        <w:gridCol w:w="976"/>
        <w:gridCol w:w="2878"/>
      </w:tblGrid>
      <w:tr w:rsidR="00DD24FA" w:rsidRPr="00267B98" w14:paraId="7469BDFC" w14:textId="77777777" w:rsidTr="00DD24FA">
        <w:trPr>
          <w:jc w:val="center"/>
        </w:trPr>
        <w:tc>
          <w:tcPr>
            <w:tcW w:w="494" w:type="pct"/>
            <w:hideMark/>
          </w:tcPr>
          <w:p w14:paraId="7B855990"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proofErr w:type="spellStart"/>
            <w:r w:rsidRPr="00DD24FA">
              <w:rPr>
                <w:rFonts w:ascii="Times New Roman" w:hAnsi="Times New Roman" w:cs="Times New Roman"/>
                <w:b/>
                <w:sz w:val="18"/>
                <w:szCs w:val="18"/>
              </w:rPr>
              <w:t>Chr_Mb</w:t>
            </w:r>
            <w:proofErr w:type="spellEnd"/>
          </w:p>
        </w:tc>
        <w:tc>
          <w:tcPr>
            <w:tcW w:w="326" w:type="pct"/>
            <w:hideMark/>
          </w:tcPr>
          <w:p w14:paraId="45C9E611"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-log</w:t>
            </w:r>
            <w:r w:rsidRPr="00DD24FA">
              <w:rPr>
                <w:rFonts w:ascii="Times New Roman" w:hAnsi="Times New Roman" w:cs="Times New Roman"/>
                <w:b/>
                <w:sz w:val="18"/>
                <w:szCs w:val="18"/>
                <w:vertAlign w:val="subscript"/>
              </w:rPr>
              <w:t>10</w:t>
            </w:r>
          </w:p>
          <w:p w14:paraId="6D8C04A5"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P-value</w:t>
            </w:r>
          </w:p>
        </w:tc>
        <w:tc>
          <w:tcPr>
            <w:tcW w:w="549" w:type="pct"/>
            <w:hideMark/>
          </w:tcPr>
          <w:p w14:paraId="2F9B326A"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Regression</w:t>
            </w:r>
          </w:p>
          <w:p w14:paraId="6FE9EBBD"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Beta</w:t>
            </w:r>
          </w:p>
        </w:tc>
        <w:tc>
          <w:tcPr>
            <w:tcW w:w="325" w:type="pct"/>
            <w:hideMark/>
          </w:tcPr>
          <w:p w14:paraId="7C05ACB0"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MAF</w:t>
            </w:r>
          </w:p>
        </w:tc>
        <w:tc>
          <w:tcPr>
            <w:tcW w:w="565" w:type="pct"/>
            <w:hideMark/>
          </w:tcPr>
          <w:p w14:paraId="00BEE609"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Supporting</w:t>
            </w:r>
          </w:p>
          <w:p w14:paraId="368B91C1"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SNPs</w:t>
            </w:r>
          </w:p>
        </w:tc>
        <w:tc>
          <w:tcPr>
            <w:tcW w:w="739" w:type="pct"/>
            <w:hideMark/>
          </w:tcPr>
          <w:p w14:paraId="23637295"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Positional</w:t>
            </w:r>
          </w:p>
          <w:p w14:paraId="392F786D"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Candidate</w:t>
            </w:r>
          </w:p>
          <w:p w14:paraId="6D2BAD36"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Genes</w:t>
            </w:r>
          </w:p>
        </w:tc>
        <w:tc>
          <w:tcPr>
            <w:tcW w:w="507" w:type="pct"/>
            <w:hideMark/>
          </w:tcPr>
          <w:p w14:paraId="3FA0D2A0"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Lead SNP</w:t>
            </w:r>
          </w:p>
          <w:p w14:paraId="17BD0E15"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Location</w:t>
            </w:r>
          </w:p>
        </w:tc>
        <w:tc>
          <w:tcPr>
            <w:tcW w:w="1496" w:type="pct"/>
            <w:hideMark/>
          </w:tcPr>
          <w:p w14:paraId="4AD1F9D2"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Scientific Precedence [reference]; organism; trait</w:t>
            </w:r>
          </w:p>
        </w:tc>
      </w:tr>
      <w:tr w:rsidR="00DD24FA" w:rsidRPr="00267B98" w14:paraId="170FFA15" w14:textId="77777777" w:rsidTr="00DD24FA">
        <w:trPr>
          <w:jc w:val="center"/>
        </w:trPr>
        <w:tc>
          <w:tcPr>
            <w:tcW w:w="494" w:type="pct"/>
          </w:tcPr>
          <w:p w14:paraId="17BA28ED" w14:textId="77777777" w:rsidR="00736431" w:rsidRPr="00DD24FA" w:rsidRDefault="00736431" w:rsidP="00736431">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6_42</w:t>
            </w:r>
          </w:p>
        </w:tc>
        <w:tc>
          <w:tcPr>
            <w:tcW w:w="326" w:type="pct"/>
          </w:tcPr>
          <w:p w14:paraId="5BC0C2DE" w14:textId="77777777" w:rsidR="00736431" w:rsidRPr="00DD24FA" w:rsidRDefault="00736431" w:rsidP="00736431">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6.421</w:t>
            </w:r>
          </w:p>
        </w:tc>
        <w:tc>
          <w:tcPr>
            <w:tcW w:w="549" w:type="pct"/>
          </w:tcPr>
          <w:p w14:paraId="0D00B663" w14:textId="77777777" w:rsidR="00736431" w:rsidRPr="00DD24FA" w:rsidRDefault="00736431" w:rsidP="00736431">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-7.430</w:t>
            </w:r>
          </w:p>
        </w:tc>
        <w:tc>
          <w:tcPr>
            <w:tcW w:w="325" w:type="pct"/>
          </w:tcPr>
          <w:p w14:paraId="6F61B17A" w14:textId="77777777" w:rsidR="00736431" w:rsidRPr="00DD24FA" w:rsidRDefault="00736431" w:rsidP="00736431">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0.056</w:t>
            </w:r>
          </w:p>
        </w:tc>
        <w:tc>
          <w:tcPr>
            <w:tcW w:w="565" w:type="pct"/>
          </w:tcPr>
          <w:p w14:paraId="11E29A65" w14:textId="77777777" w:rsidR="00736431" w:rsidRPr="00DD24FA" w:rsidRDefault="00736431" w:rsidP="00736431">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4</w:t>
            </w:r>
          </w:p>
        </w:tc>
        <w:tc>
          <w:tcPr>
            <w:tcW w:w="739" w:type="pct"/>
          </w:tcPr>
          <w:p w14:paraId="3D49DEF2" w14:textId="77777777" w:rsidR="00736431" w:rsidRPr="00DD24FA" w:rsidRDefault="00736431" w:rsidP="00736431">
            <w:pPr>
              <w:spacing w:after="0" w:line="240" w:lineRule="auto"/>
              <w:contextualSpacing/>
              <w:jc w:val="center"/>
              <w:rPr>
                <w:rFonts w:ascii="Times New Roman" w:hAnsi="Times New Roman" w:cs="Times New Roman"/>
                <w:i/>
                <w:color w:val="000000"/>
                <w:sz w:val="18"/>
                <w:szCs w:val="18"/>
              </w:rPr>
            </w:pPr>
            <w:r w:rsidRPr="00DD24FA">
              <w:rPr>
                <w:rFonts w:ascii="Times New Roman" w:hAnsi="Times New Roman" w:cs="Times New Roman"/>
                <w:i/>
                <w:color w:val="000000"/>
                <w:sz w:val="18"/>
                <w:szCs w:val="18"/>
              </w:rPr>
              <w:t>LOC782172, ADGRA3</w:t>
            </w:r>
          </w:p>
        </w:tc>
        <w:tc>
          <w:tcPr>
            <w:tcW w:w="507" w:type="pct"/>
          </w:tcPr>
          <w:p w14:paraId="55FAC3FA" w14:textId="77777777" w:rsidR="00736431" w:rsidRPr="00DD24FA" w:rsidRDefault="00736431" w:rsidP="00736431">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Intergenic</w:t>
            </w:r>
          </w:p>
        </w:tc>
        <w:tc>
          <w:tcPr>
            <w:tcW w:w="1496" w:type="pct"/>
          </w:tcPr>
          <w:p w14:paraId="103D3466" w14:textId="166B51E0" w:rsidR="00736431" w:rsidRPr="00DD24FA" w:rsidRDefault="00736431" w:rsidP="00736431">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Pr="00DD24FA">
              <w:rPr>
                <w:rFonts w:ascii="Times New Roman" w:hAnsi="Times New Roman" w:cs="Times New Roman"/>
                <w:sz w:val="18"/>
                <w:szCs w:val="18"/>
              </w:rPr>
              <w:instrText>ADDIN CSL_CITATION {"citationItems":[{"id":"ITEM-1","itemData":{"DOI":"10.1186/1471-2164-15-442","ISSN":"14712164","abstract":"Background: The availability of high-density SNP assays including the BovineSNP50 (50 K) enables the identification of novel quantitative trait loci (QTL) and improvement of the resolution of the locations of previously mapped QTL. We performed a series of genome-wide association studies (GWAS) using 50 K genotypes scored in 18,274 animals from 10 US beef cattle breeds with observations for twelve body weights, calving ease and carcass traits.Results: A total of 159 large-effects QTL (defined as 1-Mb genome windows explaining more than 1% of additive genetic variance) were identified. In general, more QTL were identified in analyses with bigger sample sizes. Four large-effect pleiotropic or closely linked QTLs located on BTA6 at 37-42 Mb (primarily at 38 Mb), on BTA7 at 93 Mb, on BTA14 at 23-26 Mb (primarily at 25 Mb) and on BTA20 at 4 Mb were identified in more than one breed. Several breed-specific large-effect pleiotropic or closely linked QTL were also identified. Some identified QTL regions harbor genes known to have large effects on a variety of traits in cattle such as PLAG1 and MSTN and others harbor promising candidate genes including NCAPG, ARRDC3, ERGIC1, SH3PXD2B, HMGA2, MSRB3, LEMD3, TIGAR, SEPT7, and KIRREL3. Gene ontology analysis revealed that genes involved in ossification and in adipose tissue development were over-represented in the identified pleiotropic QTL. Also, the MAPK signaling pathway was identified as a common pathway affected by the genes located near the pleiotropic QTL.Conclusions: This largest GWAS ever performed in beef cattle, led us to discover several novel across-breed and breed-specific large-effect pleiotropic QTL that cumulatively account for a significant percentage of additive genetic variance (e.g. more than a third of additive genetic variance of birth and mature weights; and calving ease direct in Hereford). These results will improve our understanding of the biology of growth and body composition in cattle. © 2014 Saatchi et al.; licensee BioMed Central Ltd.","author":[{"dropping-particle":"","family":"Saatchi","given":"Mahdi","non-dropping-particle":"","parse-names":false,"suffix":""},{"dropping-particle":"","family":"Schnabel","given":"Robert D.","non-dropping-particle":"","parse-names":false,"suffix":""},{"dropping-particle":"","family":"Taylor","given":"Jeremy F.","non-dropping-particle":"","parse-names":false,"suffix":""},{"dropping-particle":"","family":"Garrick","given":"Dorian J.","non-dropping-particle":"","parse-names":false,"suffix":""}],"container-title":"BMC Genomics","id":"ITEM-1","issue":"1","issued":{"date-parts":[["2014","6","6"]]},"publisher":"BioMed Central Ltd.","title":"Large-effect pleiotropic or closely linked QTL segregate within and across ten US cattle breeds","type":"article-journal","volume":"15"},"uris":["http://www.mendeley.com/documents/?uuid=56d0e91b-25fa-3cba-8839-4943cef581f2"]},{"id":"ITEM-2","itemData":{"DOI":"10.1371/journal.pone.0139906","ISSN":"1932-6203","abstract":"Understanding the genetic architecture of beef cattle growth cannot be limited simply to the genome-wide association study (GWAS) for body weight at any specific ages, but should be extended to a more general purpose by considering the whole growth trajectory over time using a growth curve approach. For such an approach, the parameters that are used to describe growth curves were treated as phenotypes under a GWAS model. Data from 1,255 Brahman cattle that were weighed at birth, 6, 12, 15, 18, and 24 months of age were analyzed. Parameter estimates, such as mature weight (A) and maturity rate (K) from nonlinear models are utilized as substitutes for the original body weights for the GWAS analysis. We chose the best nonlinear model to describe the weight-age data, and the estimated parameters were used as phenotypes in a multi-trait GWAS. Our aims were to identify and characterize associated SNP markers to indicate SNP-derived candidate genes and annotate their function as related to growth processes in beef cattle. The Brody model presented the best goodness of fit, and the heritability values for the parameter estimates for mature weight (A) and maturity rate (K) were 0.23 and 0.32, respectively, proving that these traits can be a feasible alternative when the objective is to change the shape of growth curves within genetic improvement programs. The genetic correlation between A and K was -0.84, indicating that animals with lower mature body weights reached that weight at younger ages. One hundred and sixty seven (167) and two hundred and sixty two (262) significant SNPs were associated with A and K, respectively. The annotated genes closest to the most significant SNPs for A had direct biological functions related to muscle development (RAB28), myogenic induction (BTG1), fetal growth (IL2), and body weights (APEX2); K genes were functionally associated with body weight, body height, average daily gain (TMEM18), and skeletal muscle development (SMN1). Candidate genes emerging from this GWAS may inform the search for causative mutations that could underpin genomic breeding for improved growth rates. Copyright:","author":[{"dropping-particle":"","family":"Crispim","given":"Aline Camporez","non-dropping-particle":"","parse-names":false,"suffix":""},{"dropping-particle":"","family":"Kelly","given":"Matthew John","non-dropping-particle":"","parse-names":false,"suffix":""},{"dropping-particle":"","family":"Guimarães","given":"Simone Eliza Facioni","non-dropping-particle":"","parse-names":false,"suffix":""},{"dropping-particle":"","family":"e Silva","given":"Fabyano Fonseca","non-dropping-particle":"","parse-names":false,"suffix":""},{"dropping-particle":"","family":"Fortes","given":"Marina Rufino Salinas","non-dropping-particle":"","parse-names":false,"suffix":""},{"dropping-particle":"","family":"Wenceslau","given":"Raphael Rocha","non-dropping-particle":"","parse-names":false,"suffix":""},{"dropping-particle":"","family":"Moore","given":"Stephen","non-dropping-particle":"","parse-names":false,"suffix":""}],"container-title":"PLOS ONE","editor":[{"dropping-particle":"","family":"Wu","given":"Rongling","non-dropping-particle":"","parse-names":false,"suffix":""}],"id":"ITEM-2","issue":"10","issued":{"date-parts":[["2015","10","7"]]},"page":"e0139906","publisher":"Public Library of Science","title":"Multi-Trait GWAS and New Candidate Genes Annotation for Growth Curve Parameters in Brahman Cattle","type":"article-journal","volume":"10"},"uris":["http://www.mendeley.com/documents/?uuid=a625c335-e6e2-3d56-9700-f72ce8d1ba77"]},{"id":"ITEM-3","itemData":{"DOI":"10.1186/s12864-019-5935-3","ISSN":"14712164","PMID":"31299913","abstract":"Background: Subfertility is one challenge facing the dairy industry as the average Holstein heifer conception rate (HCR), the proportion of heifers that conceive and maintain a pregnancy per breeding, is estimated at 55-60%. Of the loci associated with HCR, few have been validated in an independent cattle population, limiting their usefulness for selection or furthering our understanding of the mechanisms involved in successful pregnancy. Therefore, the objectives here were to identify loci associated with HCR: 1) to the first artificial insemination (AI) service (HCR1), 2) to repeated AI services required for a heifer to conceive (TBRD) and 3) to validate loci previously associated with fertility. Breeding and health records from 3359 Holstein heifers were obtained after heifers were bred by AI at observed estrus, with pregnancy determined at day 35 via palpation. Heifer DNA was genotyped using the Illumina BovineHD BeadChip, and genome-wide association analyses (GWAA) were performed with additive, dominant and recessive models using the Efficient Mixed Model Association eXpedited (EMMAX) method with a relationship matrix for two phenotypes. The HCR1 GWAA compared heifers that were pregnant after the first AI service (n = 497) to heifers that were open following the first AI service (n = 405), which included those that never conceived. The TBRD GWAA compared only those heifers which did conceive, across variable numbers of AI service (n = 712). Comparison of loci previously associated with fertility, HCR1 or TBRD were considered the same locus for validation when in linkage disequilibrium (D' &gt; 0.7). Results: The HCR1 GWAA identified 116, 187 and 28 loci associated (P &lt; 5 × 10- 8) in additive, dominant and recessive models, respectively. The TBRD GWAA identified 235, 362, and 69 QTL associated (P &lt; 5 × 10- 8) with additive, dominant and recessive models, respectively. Loci previously associated with fertility were in linkage disequilibrium with 22 loci shared with HCR1 and TBRD, 5 HCR1 and 19 TBRD loci. Conclusions: Loci associated with HCR1 and TBRD that have been identified and validated can be used to improve HCR through genomic selection, and to better understand possible mechanisms associated with subfertility.","author":[{"dropping-particle":"","family":"Kiser","given":"Jennifer N.","non-dropping-particle":"","parse-names":false,"suffix":""},{"dropping-particle":"","family":"Keuter","given":"Elizabeth M.","non-dropping-particle":"","parse-names":false,"suffix":""},{"dropping-particle":"","family":"Seabury","given":"Christopher M.","non-dropping-particle":"","parse-names":false,"suffix":""},{"dropping-particle":"","family":"Neupane","given":"Mahesh","non-dropping-particle":"","parse-names":false,"suffix":""},{"dropping-particle":"","family":"Moraes","given":"Joao G.N.","non-dropping-particle":"","parse-names":false,"suffix":""},{"dropping-particle":"","family":"Dalton","given":"Joseph","non-dropping-particle":"","parse-names":false,"suffix":""},{"dropping-particle":"","family":"Burns","given":"Gregory W.","non-dropping-particle":"","parse-names":false,"suffix":""},{"dropping-particle":"","family":"Spencer","given":"Thomas E.","non-dropping-particle":"","parse-names":false,"suffix":""},{"dropping-particle":"","family":"Neibergs","given":"Holly L.","non-dropping-particle":"","parse-names":false,"suffix":""}],"container-title":"BMC Genomics","id":"ITEM-3","issue":"1","issued":{"date-parts":[["2019","7","12"]]},"page":"576","publisher":"BioMed Central Ltd.","title":"Validation of 46 loci associated with female fertility traits in cattle","type":"article-journal","volume":"20"},"uris":["http://www.mendeley.com/documents/?uuid=89eb3da7-d86c-3efc-9759-112ebb7713bc"]},{"id":"ITEM-4","itemData":{"DOI":"10.1017/S1751731112001152","ISSN":"17517311","PMID":"23031337","abstract":"Genome-wide association studies for difficult-to-measure traits are generally limited by the sample size with accurate phenotypic data. The objective of this study was to utilise data on primiparous Holstein-Friesian cows from experimental farms in Ireland, the United Kingdom, the Netherlands and Sweden to identify genomic regions associated with the feed utilisation complex: fat and protein corrected milk yield (FPCM), dry matter intake (DMI), body condition score (BCS) and live-weight (LW). Phenotypic data and 37 590 single nucleotide polymorphisms (SNPs) were available on up to 1629 animals. Genetic parameters of the traits were estimated using a linear animal model with pedigree information, and univariate genome-wide association analyses were undertaken using Bayesian stochastic search variable selection performed using Gibbs sampling. The variation in the phenotypes explained by the SNPs on each chromosome was related to the size of the chromosome and was relatively consistent for each trait with the possible exceptions of BTA4 for BCS, BTA7, BTA13, BTA14, BTA18 for LW and BTA27 for DMI. For LW, BCS, DMI and FPCM, 266, 178, 206 and 254 SNPs had a Bayes factor &gt;3, respectively. Olfactory genes and genes involved in the sensory smell process were overrepresented in a 500 kbp window around the significant SNPs. Potential candidate genes were involved with functions linked to insulin, epidermal growth factor and tryptophan. © The Animal Consortium 2012.","author":[{"dropping-particle":"","family":"Veerkamp","given":"R. F.","non-dropping-particle":"","parse-names":false,"suffix":""},{"dropping-particle":"","family":"Coffey","given":"M. P.","non-dropping-particle":"","parse-names":false,"suffix":""},{"dropping-particle":"","family":"Berry","given":"D. P.","non-dropping-particle":"","parse-names":false,"suffix":""},{"dropping-particle":"","family":"Haas","given":"Y.","non-dropping-particle":"De","parse-names":false,"suffix":""},{"dropping-particle":"","family":"Strandberg","given":"E.","non-dropping-particle":"","parse-names":false,"suffix":""},{"dropping-particle":"","family":"Bovenhuis","given":"H.","non-dropping-particle":"","parse-names":false,"suffix":""},{"dropping-particle":"","family":"Calus","given":"M. P.L.","non-dropping-particle":"","parse-names":false,"suffix":""},{"dropping-particle":"","family":"Wall","given":"E.","non-dropping-particle":"","parse-names":false,"suffix":""}],"container-title":"Animal","id":"ITEM-4","issue":"11","issued":{"date-parts":[["2012","11"]]},"page":"1738-1749","publisher":"Cambridge University Press","title":"Genome-wide associations for feed utilisation complex in primiparous Holstein-Friesian dairy cows from experimental research herds in four European countries","type":"article-journal","volume":"6"},"uris":["http://www.mendeley.com/documents/?uuid=4f150477-0a2e-3222-ae94-4f5333122c52"]},{"id":"ITEM-5","itemData":{"DOI":"10.1186/s12864-019-6231-y","ISSN":"1471-2164","author":[{"dropping-particle":"","family":"Smith","given":"Johanna L.","non-dropping-particle":"","parse-names":false,"suffix":""},{"dropping-particle":"","family":"Wilson","given":"Miranda L.","non-dropping-particle":"","parse-names":false,"suffix":""},{"dropping-particle":"","family":"Nilson","given":"Sara M.","non-dropping-particle":"","parse-names":false,"suffix":""},{"dropping-particle":"","family":"Rowan","given":"Troy N.","non-dropping-particle":"","parse-names":false,"suffix":""},{"dropping-particle":"","family":"Oldeschulte","given":"David L.","non-dropping-particle":"","parse-names":false,"suffix":""},{"dropping-particle":"","family":"Schnabel","given":"Robert D.","non-dropping-particle":"","parse-names":false,"suffix":""},{"dropping-particle":"","family":"Decker","given":"Jared E.","non-dropping-particle":"","parse-names":false,"suffix":""},{"dropping-particle":"","family":"Seabury","given":"Christopher M.","non-dropping-particle":"","parse-names":false,"suffix":""}],"container-title":"BMC Genomics","id":"ITEM-5","issue":"1","issued":{"date-parts":[["2019","12","4"]]},"page":"926","title":"Genome-wide association and genotype by environment interactions for growth traits in U.S. Gelbvieh cattle","type":"article-journal","volume":"20"},"uris":["http://www.mendeley.com/documents/?uuid=97cfed36-9784-3b9f-af44-72374dbeac27"]}],"mendeley":{"formattedCitation":"[1–5]","plainTextFormattedCitation":"[1–5]","previouslyFormattedCitation":"[1–5]"},"properties":{"noteIndex":0},"schema":"https://github.com/citation-style-language/schema/raw/master/csl-citation.json"}</w:instrText>
            </w:r>
            <w:r w:rsidRPr="00DD24FA">
              <w:rPr>
                <w:rFonts w:ascii="Times New Roman" w:hAnsi="Times New Roman" w:cs="Times New Roman"/>
                <w:sz w:val="18"/>
                <w:szCs w:val="18"/>
              </w:rPr>
              <w:fldChar w:fldCharType="separate"/>
            </w:r>
            <w:r w:rsidRPr="00DD24FA">
              <w:rPr>
                <w:rFonts w:ascii="Times New Roman" w:hAnsi="Times New Roman" w:cs="Times New Roman"/>
                <w:noProof/>
                <w:sz w:val="18"/>
                <w:szCs w:val="18"/>
              </w:rPr>
              <w:t>[1–5]</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Birth, weaning, and yearling weight, calving ease, yield grade, mature weight, conception rate, body condition score</w:t>
            </w:r>
          </w:p>
        </w:tc>
      </w:tr>
      <w:tr w:rsidR="00DD24FA" w:rsidRPr="00267B98" w14:paraId="2B05AA1F" w14:textId="77777777" w:rsidTr="00DD24FA">
        <w:trPr>
          <w:jc w:val="center"/>
        </w:trPr>
        <w:tc>
          <w:tcPr>
            <w:tcW w:w="494" w:type="pct"/>
          </w:tcPr>
          <w:p w14:paraId="5AF9C6FA" w14:textId="77777777" w:rsidR="001B22CD" w:rsidRPr="00DD24FA" w:rsidRDefault="001B22CD"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14_35</w:t>
            </w:r>
          </w:p>
        </w:tc>
        <w:tc>
          <w:tcPr>
            <w:tcW w:w="326" w:type="pct"/>
          </w:tcPr>
          <w:p w14:paraId="3B534C5F"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6.377</w:t>
            </w:r>
          </w:p>
        </w:tc>
        <w:tc>
          <w:tcPr>
            <w:tcW w:w="549" w:type="pct"/>
          </w:tcPr>
          <w:p w14:paraId="05A5B367"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-4.070</w:t>
            </w:r>
          </w:p>
        </w:tc>
        <w:tc>
          <w:tcPr>
            <w:tcW w:w="325" w:type="pct"/>
          </w:tcPr>
          <w:p w14:paraId="40E0368F"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0.266</w:t>
            </w:r>
          </w:p>
        </w:tc>
        <w:tc>
          <w:tcPr>
            <w:tcW w:w="565" w:type="pct"/>
          </w:tcPr>
          <w:p w14:paraId="7499D201"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w:t>
            </w:r>
          </w:p>
        </w:tc>
        <w:tc>
          <w:tcPr>
            <w:tcW w:w="739" w:type="pct"/>
          </w:tcPr>
          <w:p w14:paraId="4C1A6A32" w14:textId="77777777" w:rsidR="001B22CD" w:rsidRPr="00DD24FA" w:rsidRDefault="001B22CD" w:rsidP="00267B98">
            <w:pPr>
              <w:spacing w:after="0" w:line="240" w:lineRule="auto"/>
              <w:contextualSpacing/>
              <w:jc w:val="center"/>
              <w:rPr>
                <w:rFonts w:ascii="Times New Roman" w:hAnsi="Times New Roman" w:cs="Times New Roman"/>
                <w:i/>
                <w:color w:val="000000"/>
                <w:sz w:val="18"/>
                <w:szCs w:val="18"/>
              </w:rPr>
            </w:pPr>
            <w:r w:rsidRPr="00DD24FA">
              <w:rPr>
                <w:rFonts w:ascii="Times New Roman" w:hAnsi="Times New Roman" w:cs="Times New Roman"/>
                <w:i/>
                <w:color w:val="000000"/>
                <w:sz w:val="18"/>
                <w:szCs w:val="18"/>
              </w:rPr>
              <w:t>LOC783431, LOC112449626,</w:t>
            </w:r>
          </w:p>
          <w:p w14:paraId="2C68E77E" w14:textId="77777777" w:rsidR="001B22CD" w:rsidRPr="00DD24FA" w:rsidRDefault="001B22CD" w:rsidP="00267B98">
            <w:pPr>
              <w:spacing w:after="0" w:line="240" w:lineRule="auto"/>
              <w:contextualSpacing/>
              <w:jc w:val="center"/>
              <w:rPr>
                <w:rFonts w:ascii="Times New Roman" w:hAnsi="Times New Roman" w:cs="Times New Roman"/>
                <w:i/>
                <w:color w:val="000000"/>
                <w:sz w:val="18"/>
                <w:szCs w:val="18"/>
              </w:rPr>
            </w:pPr>
            <w:r w:rsidRPr="00DD24FA">
              <w:rPr>
                <w:rFonts w:ascii="Times New Roman" w:hAnsi="Times New Roman" w:cs="Times New Roman"/>
                <w:i/>
                <w:color w:val="000000"/>
                <w:sz w:val="18"/>
                <w:szCs w:val="18"/>
              </w:rPr>
              <w:t>EYA1</w:t>
            </w:r>
          </w:p>
        </w:tc>
        <w:tc>
          <w:tcPr>
            <w:tcW w:w="507" w:type="pct"/>
          </w:tcPr>
          <w:p w14:paraId="4F8592C1"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Intergenic</w:t>
            </w:r>
          </w:p>
        </w:tc>
        <w:tc>
          <w:tcPr>
            <w:tcW w:w="1496" w:type="pct"/>
          </w:tcPr>
          <w:p w14:paraId="525BE8FA" w14:textId="7318817B"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736431" w:rsidRPr="00DD24FA">
              <w:rPr>
                <w:rFonts w:ascii="Times New Roman" w:hAnsi="Times New Roman" w:cs="Times New Roman"/>
                <w:sz w:val="18"/>
                <w:szCs w:val="18"/>
              </w:rPr>
              <w:instrText>ADDIN CSL_CITATION {"citationItems":[{"id":"ITEM-1","itemData":{"DOI":"10.2527/jas.2010-3681","ISSN":"0021-8812","abstract":"Harsh tropical environments impose serious challenges on poorly adapted species. In beef cattle, tropical adaptation in the form of temperature and disease resistance, coupled with acclimatization to seasonal and limited forage, comes at a cost to production efficiency. Prominent among these costs is delayed onset of puberty, a challenging phenotype to manipulate through traditional breeding mechanisms. Recently, system biology approaches, including gene networks, have been applied to the genetic dissection of complex phenotypes. We aimed at developing and studying gene networks underlying cattle puberty. Our starting material comprises the association results of ~50,000 SNP on 22 traits, including age at puberty, and 2 cattle breed populations: Brahman (n = 843) and Tropical Composite (n = 866). We defined age at puberty as the age at first corpus luteum (AGECL). By capturing the genes harboring mutations minimally associated (P &lt; 0.05) to AGECL or to a set of traits related with AGECL, we derived a gene network for each breed separately and a third network for the combined data set. At the intersection of the 3 networks, we identified candidate genes and pathways that were common to both breeds. Resulting from these analyses, we identified an enrichment of genes involved in axon guidance, cell adhesion, ErbB signaling, and glutamate activity, pathways that are known to affect pulsatile release of GnRH, which is necessary for the onset of puberty. Furthermore, we employed network connectivity and centrality parameters along with a regulatory impact factor metric to identify the key transcription factors (TF) responsible for the molecular regulation of puberty. As a novel finding, we report 5 TF (HIVEP3, TOX, EYA1, NCOA2, and ZFHX4) located in the network intersecting both breeds and interacting with other TF, forming a regulatory network that harmonizes with the recent literature of puberty. Finally, we support our network predictions with evidence derived from gene expression in hypothalamic tissue of adult cows. © 2011 American Society of Animal Science. All rights reserved.","author":[{"dropping-particle":"","family":"Fortes","given":"M. R. S.","non-dropping-particle":"","parse-names":false,"suffix":""},{"dropping-particle":"","family":"Reverter","given":"A.","non-dropping-particle":"","parse-names":false,"suffix":""},{"dropping-particle":"","family":"Nagaraj","given":"S. H.","non-dropping-particle":"","parse-names":false,"suffix":""},{"dropping-particle":"","family":"Zhang","given":"Y.","non-dropping-particle":"","parse-names":false,"suffix":""},{"dropping-particle":"","family":"Jonsson","given":"N. N.","non-dropping-particle":"","parse-names":false,"suffix":""},{"dropping-particle":"","family":"Barris","given":"W.","non-dropping-particle":"","parse-names":false,"suffix":""},{"dropping-particle":"","family":"Lehnert","given":"S.","non-dropping-particle":"","parse-names":false,"suffix":""},{"dropping-particle":"","family":"Boe-Hansen","given":"G. B.","non-dropping-particle":"","parse-names":false,"suffix":""},{"dropping-particle":"","family":"Hawken","given":"R. J.","non-dropping-particle":"","parse-names":false,"suffix":""}],"container-title":"Journal of Animal Science","id":"ITEM-1","issue":"6","issued":{"date-parts":[["2011","6","1"]]},"page":"1669-1683","publisher":"Oxford Academic","title":"A single nucleotide polymorphism-derived regulatory gene network underlying puberty in 2 tropical breeds of beef cattle1","type":"article-journal","volume":"89"},"uris":["http://www.mendeley.com/documents/?uuid=a0a0d7d0-fe46-3acd-9bce-01fee13fa340"]},{"id":"ITEM-2","itemData":{"DOI":"10.2527/jas.2005-676","ISSN":"00218812","PMID":"17032807","abstract":"Precocious puberty (&lt;300 d of age) can be successfully induced in a majority of heifers with early weaning and continuous feeding of a high-concentrate diet. The objective of this experiment was to determine the relative effects of timing of feeding a high-concentrate diet on age at puberty in early-weaned heifers. Sixty crossbred Angus and Simmental heifer calves were weaned at 112 ± 2 d of age and 155 ± 3 kg of BW and were fed a receiving diet for 2 wk. Heifers were blocked by age and BW, and assigned randomly to receive a high-concentrate (60% corn; H) or control (30% corn; C) diet during phase 1 (mean age 126 to 196 d) and H or C during phase 2 (mean age 196 to 402 d), resulting in 4 treatments (HH, n = 15; HC, n = 15; CH, n = 15; and CC, n = 15). Blood samples were collected weekly beginning at a mean age of 175 d and assayed for progesterone concentration to determine age at puberty. After 56 d on the experimental diets, BW of heifers fed the H diet during phase 1 were greater (P &lt; 0.05) than those of heifers fed the C diet (mean age of 182 d; treatment x mean age, P &lt; 0.01). After 70 d on the new diets (mean age of 266 d), heifers fed the H diet during phase 2 reached heavier BW (P &lt; 0.05) than heifers fed the C diet, when compared within phase 1 diet groups (HH &gt; HC; CH &gt; CC). Body weights in HC and CH treatments differed from a mean age of 169 through 238 d, after which BW did not differ between these treatments. The ADG over the entire experimental period was greatest for the HH treatment (1.2 ± 0.04 kg/d; P &lt; 0.05), followed by the HC and CH treatments (1.0 ± 0.03 and 1.0 ± 0.02 kg/d, respectively), which were not different, and the CC treatment gained the least (0.7 ± 0.04 kg/d; P &lt; 0.05). Precocious puberty occurred in 67, 47, 47, and 20% of heifers in the HH, HC, CH, and CC treatments, respectively (HH &gt; CC; P &lt; 0.05). Mean age at puberty for the HH and HC treatments (271 ± 17 and 283 ± 17 d of age, respectively) was earlier (P &lt; 0.05) than for the CC treatment (331 ± 11 d of age). Age at puberty in the CH treatment (304 ± 13 d of age) was intermediate to and not different from the other treatments. Heifers fed the H diet during phase 1 attained puberty earlier (P &lt; 0.05) than heifers fed the C diet during phase 1. In conclusion, increasing dietary energy intake in early-weaned heifers, through feeding a high-concentrate diet from 126 to 196 d of age, decreased age at puberty regardless of the diet fed after 196 d of age. ©2006 American So…","author":[{"dropping-particle":"","family":"Gasser","given":"C. L.","non-dropping-particle":"","parse-names":false,"suffix":""},{"dropping-particle":"","family":"Behlke","given":"E. J.","non-dropping-particle":"","parse-names":false,"suffix":""},{"dropping-particle":"","family":"Grum","given":"D. E.","non-dropping-particle":"","parse-names":false,"suffix":""},{"dropping-particle":"","family":"Day","given":"M. L.","non-dropping-particle":"","parse-names":false,"suffix":""}],"container-title":"Journal of Animal Science","id":"ITEM-2","issue":"11","issued":{"date-parts":[["2006","11"]]},"page":"3118-3122","publisher":"J Anim Sci","title":"Effect of timing of feeding a high-concentrate diet on growth and attainment of puberty in early-weaned heifers","type":"article-journal","volume":"84"},"uris":["http://www.mendeley.com/documents/?uuid=bbf46a89-85fc-3367-9616-f441f5f73b82"]}],"mendeley":{"formattedCitation":"[8, 9]","plainTextFormattedCitation":"[8, 9]","previouslyFormattedCitation":"[8, 9]"},"properties":{"noteIndex":0},"schema":"https://github.com/citation-style-language/schema/raw/master/csl-citation.json"}</w:instrText>
            </w:r>
            <w:r w:rsidRPr="00DD24FA">
              <w:rPr>
                <w:rFonts w:ascii="Times New Roman" w:hAnsi="Times New Roman" w:cs="Times New Roman"/>
                <w:sz w:val="18"/>
                <w:szCs w:val="18"/>
              </w:rPr>
              <w:fldChar w:fldCharType="separate"/>
            </w:r>
            <w:r w:rsidR="00736431" w:rsidRPr="00DD24FA">
              <w:rPr>
                <w:rFonts w:ascii="Times New Roman" w:hAnsi="Times New Roman" w:cs="Times New Roman"/>
                <w:noProof/>
                <w:sz w:val="18"/>
                <w:szCs w:val="18"/>
              </w:rPr>
              <w:t>[8, 9]</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Transcription factor expressed in hypothalamus, controls energy balance relating to puberty</w:t>
            </w:r>
          </w:p>
        </w:tc>
      </w:tr>
      <w:tr w:rsidR="00DD24FA" w:rsidRPr="00267B98" w14:paraId="549131D6" w14:textId="77777777" w:rsidTr="00DD24FA">
        <w:trPr>
          <w:jc w:val="center"/>
        </w:trPr>
        <w:tc>
          <w:tcPr>
            <w:tcW w:w="494" w:type="pct"/>
          </w:tcPr>
          <w:p w14:paraId="135C1EF0" w14:textId="77777777" w:rsidR="001B22CD" w:rsidRPr="00DD24FA" w:rsidRDefault="001B22CD"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6_33</w:t>
            </w:r>
          </w:p>
        </w:tc>
        <w:tc>
          <w:tcPr>
            <w:tcW w:w="326" w:type="pct"/>
          </w:tcPr>
          <w:p w14:paraId="501B8F17"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5.996</w:t>
            </w:r>
          </w:p>
        </w:tc>
        <w:tc>
          <w:tcPr>
            <w:tcW w:w="549" w:type="pct"/>
          </w:tcPr>
          <w:p w14:paraId="4C4D3E25"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-4.061</w:t>
            </w:r>
          </w:p>
        </w:tc>
        <w:tc>
          <w:tcPr>
            <w:tcW w:w="325" w:type="pct"/>
          </w:tcPr>
          <w:p w14:paraId="4A55F4A5"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0.299</w:t>
            </w:r>
          </w:p>
        </w:tc>
        <w:tc>
          <w:tcPr>
            <w:tcW w:w="565" w:type="pct"/>
          </w:tcPr>
          <w:p w14:paraId="5E974AA9"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4</w:t>
            </w:r>
          </w:p>
        </w:tc>
        <w:tc>
          <w:tcPr>
            <w:tcW w:w="739" w:type="pct"/>
          </w:tcPr>
          <w:p w14:paraId="6D1824BC" w14:textId="77777777" w:rsidR="001B22CD" w:rsidRPr="00DD24FA" w:rsidRDefault="001B22CD" w:rsidP="00267B98">
            <w:pPr>
              <w:spacing w:after="0" w:line="240" w:lineRule="auto"/>
              <w:contextualSpacing/>
              <w:jc w:val="center"/>
              <w:rPr>
                <w:rFonts w:ascii="Times New Roman" w:hAnsi="Times New Roman" w:cs="Times New Roman"/>
                <w:i/>
                <w:color w:val="000000"/>
                <w:sz w:val="18"/>
                <w:szCs w:val="18"/>
              </w:rPr>
            </w:pPr>
            <w:r w:rsidRPr="00DD24FA">
              <w:rPr>
                <w:rFonts w:ascii="Times New Roman" w:hAnsi="Times New Roman" w:cs="Times New Roman"/>
                <w:i/>
                <w:color w:val="000000"/>
                <w:sz w:val="18"/>
                <w:szCs w:val="18"/>
              </w:rPr>
              <w:t>CCSER1</w:t>
            </w:r>
          </w:p>
        </w:tc>
        <w:tc>
          <w:tcPr>
            <w:tcW w:w="507" w:type="pct"/>
          </w:tcPr>
          <w:p w14:paraId="52463D5A"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Intron</w:t>
            </w:r>
          </w:p>
        </w:tc>
        <w:tc>
          <w:tcPr>
            <w:tcW w:w="1496" w:type="pct"/>
          </w:tcPr>
          <w:p w14:paraId="6BAC85AD" w14:textId="400C2227" w:rsidR="001B22CD" w:rsidRPr="00DD24FA" w:rsidRDefault="00737343"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736431" w:rsidRPr="00DD24FA">
              <w:rPr>
                <w:rFonts w:ascii="Times New Roman" w:hAnsi="Times New Roman" w:cs="Times New Roman"/>
                <w:sz w:val="18"/>
                <w:szCs w:val="18"/>
              </w:rPr>
              <w:instrText>ADDIN CSL_CITATION {"citationItems":[{"id":"ITEM-1","itemData":{"DOI":"10.1186/s12864-019-5935-3","ISSN":"14712164","PMID":"31299913","abstract":"Background: Subfertility is one challenge facing the dairy industry as the average Holstein heifer conception rate (HCR), the proportion of heifers that conceive and maintain a pregnancy per breeding, is estimated at 55-60%. Of the loci associated with HCR, few have been validated in an independent cattle population, limiting their usefulness for selection or furthering our understanding of the mechanisms involved in successful pregnancy. Therefore, the objectives here were to identify loci associated with HCR: 1) to the first artificial insemination (AI) service (HCR1), 2) to repeated AI services required for a heifer to conceive (TBRD) and 3) to validate loci previously associated with fertility. Breeding and health records from 3359 Holstein heifers were obtained after heifers were bred by AI at observed estrus, with pregnancy determined at day 35 via palpation. Heifer DNA was genotyped using the Illumina BovineHD BeadChip, and genome-wide association analyses (GWAA) were performed with additive, dominant and recessive models using the Efficient Mixed Model Association eXpedited (EMMAX) method with a relationship matrix for two phenotypes. The HCR1 GWAA compared heifers that were pregnant after the first AI service (n = 497) to heifers that were open following the first AI service (n = 405), which included those that never conceived. The TBRD GWAA compared only those heifers which did conceive, across variable numbers of AI service (n = 712). Comparison of loci previously associated with fertility, HCR1 or TBRD were considered the same locus for validation when in linkage disequilibrium (D' &gt; 0.7). Results: The HCR1 GWAA identified 116, 187 and 28 loci associated (P &lt; 5 × 10- 8) in additive, dominant and recessive models, respectively. The TBRD GWAA identified 235, 362, and 69 QTL associated (P &lt; 5 × 10- 8) with additive, dominant and recessive models, respectively. Loci previously associated with fertility were in linkage disequilibrium with 22 loci shared with HCR1 and TBRD, 5 HCR1 and 19 TBRD loci. Conclusions: Loci associated with HCR1 and TBRD that have been identified and validated can be used to improve HCR through genomic selection, and to better understand possible mechanisms associated with subfertility.","author":[{"dropping-particle":"","family":"Kiser","given":"Jennifer N.","non-dropping-particle":"","parse-names":false,"suffix":""},{"dropping-particle":"","family":"Keuter","given":"Elizabeth M.","non-dropping-particle":"","parse-names":false,"suffix":""},{"dropping-particle":"","family":"Seabury","given":"Christopher M.","non-dropping-particle":"","parse-names":false,"suffix":""},{"dropping-particle":"","family":"Neupane","given":"Mahesh","non-dropping-particle":"","parse-names":false,"suffix":""},{"dropping-particle":"","family":"Moraes","given":"Joao G.N.","non-dropping-particle":"","parse-names":false,"suffix":""},{"dropping-particle":"","family":"Dalton","given":"Joseph","non-dropping-particle":"","parse-names":false,"suffix":""},{"dropping-particle":"","family":"Burns","given":"Gregory W.","non-dropping-particle":"","parse-names":false,"suffix":""},{"dropping-particle":"","family":"Spencer","given":"Thomas E.","non-dropping-particle":"","parse-names":false,"suffix":""},{"dropping-particle":"","family":"Neibergs","given":"Holly L.","non-dropping-particle":"","parse-names":false,"suffix":""}],"container-title":"BMC Genomics","id":"ITEM-1","issue":"1","issued":{"date-parts":[["2019","7","12"]]},"page":"576","publisher":"BioMed Central Ltd.","title":"Validation of 46 loci associated with female fertility traits in cattle","type":"article-journal","volume":"20"},"uris":["http://www.mendeley.com/documents/?uuid=89eb3da7-d86c-3efc-9759-112ebb7713bc"]},{"id":"ITEM-2","itemData":{"DOI":"10.1016/j.ajpath.2013.03.020","ISSN":"00029440","PMID":"23665203","abstract":"Like the p16, SMAD4, and RB1 genes, FAM190A (alias CCSER1) lies at a consensus site of homogeneous genomic deletions in human cancer. FAM190A transcripts in 40% of cancers also contain in-frame deletions of evolutionarily conserved exons. Its gene function was unknown. We found an internal deletion of the FAM190A gene in a pancreatic cancer having prominent focal multinuclearity. The experimental knockdown of FAM190A expression by shRNA caused focal cytokinesis defects, multipolar mitosis, and multinuclearity as observed in time-lapse microscopy. FAM190A was localized to the γ-tubulin ring complex of early mitosis and to the midbody in late cytokinesis by immunofluorescence assay and was present in the nuclear fraction of unsynchronized cells by immunoblot. FAM190A interacted with EXOC1 and Ndel1, which function in cytoskeletal organization and the cell division cycle. Levels of FAM190A protein peaked 12 hours after release from thymidine block, corresponding to M-phase. Slower-migrating phosphorylated forms accumulated toward M-phase and disappeared after release from a mitotic block and before cytokinesis. Studies of FAM190A alterations may provide mechanistic insights into mitotic dysregulation and multinuclearity in cancer. We propose that FAM190A is a regulator or structural component required for normal mitosis and that both the rare truncating mutations and common in-frame deletion alteration of FAM190A may contribute to the chromosomal instability of cancer.","author":[{"dropping-particle":"","family":"Patel","given":"Kalpesh","non-dropping-particle":"","parse-names":false,"suffix":""},{"dropping-particle":"","family":"Scrimieri","given":"Francesca","non-dropping-particle":"","parse-names":false,"suffix":""},{"dropping-particle":"","family":"Ghosh","given":"Soma","non-dropping-particle":"","parse-names":false,"suffix":""},{"dropping-particle":"","family":"Zhong","given":"Jun","non-dropping-particle":"","parse-names":false,"suffix":""},{"dropping-particle":"","family":"Kim","given":"Min-Sik","non-dropping-particle":"","parse-names":false,"suffix":""},{"dropping-particle":"","family":"Ren","given":"Yunzhao R.","non-dropping-particle":"","parse-names":false,"suffix":""},{"dropping-particle":"","family":"Morgan","given":"Richard A.","non-dropping-particle":"","parse-names":false,"suffix":""},{"dropping-particle":"","family":"Iacobuzio-Donahue","given":"Christine A.","non-dropping-particle":"","parse-names":false,"suffix":""},{"dropping-particle":"","family":"Pandey","given":"Akhilesh","non-dropping-particle":"","parse-names":false,"suffix":""},{"dropping-particle":"","family":"Kern","given":"Scott E.","non-dropping-particle":"","parse-names":false,"suffix":""}],"container-title":"The American Journal of Pathology","id":"ITEM-2","issue":"1","issued":{"date-parts":[["2013","7"]]},"page":"296-303","title":"FAM190A Deficiency Creates a Cell Division Defect","type":"article-journal","volume":"183"},"uris":["http://www.mendeley.com/documents/?uuid=f1596195-c7a3-3dca-9593-795c5564115a"]},{"id":"ITEM-3","itemData":{"DOI":"10.1186/1471-2164-15-442","ISSN":"14712164","abstract":"Background: The availability of high-density SNP assays including the BovineSNP50 (50 K) enables the identification of novel quantitative trait loci (QTL) and improvement of the resolution of the locations of previously mapped QTL. We performed a series of genome-wide association studies (GWAS) using 50 K genotypes scored in 18,274 animals from 10 US beef cattle breeds with observations for twelve body weights, calving ease and carcass traits.Results: A total of 159 large-effects QTL (defined as 1-Mb genome windows explaining more than 1% of additive genetic variance) were identified. In general, more QTL were identified in analyses with bigger sample sizes. Four large-effect pleiotropic or closely linked QTLs located on BTA6 at 37-42 Mb (primarily at 38 Mb), on BTA7 at 93 Mb, on BTA14 at 23-26 Mb (primarily at 25 Mb) and on BTA20 at 4 Mb were identified in more than one breed. Several breed-specific large-effect pleiotropic or closely linked QTL were also identified. Some identified QTL regions harbor genes known to have large effects on a variety of traits in cattle such as PLAG1 and MSTN and others harbor promising candidate genes including NCAPG, ARRDC3, ERGIC1, SH3PXD2B, HMGA2, MSRB3, LEMD3, TIGAR, SEPT7, and KIRREL3. Gene ontology analysis revealed that genes involved in ossification and in adipose tissue development were over-represented in the identified pleiotropic QTL. Also, the MAPK signaling pathway was identified as a common pathway affected by the genes located near the pleiotropic QTL.Conclusions: This largest GWAS ever performed in beef cattle, led us to discover several novel across-breed and breed-specific large-effect pleiotropic QTL that cumulatively account for a significant percentage of additive genetic variance (e.g. more than a third of additive genetic variance of birth and mature weights; and calving ease direct in Hereford). These results will improve our understanding of the biology of growth and body composition in cattle. © 2014 Saatchi et al.; licensee BioMed Central Ltd.","author":[{"dropping-particle":"","family":"Saatchi","given":"Mahdi","non-dropping-particle":"","parse-names":false,"suffix":""},{"dropping-particle":"","family":"Schnabel","given":"Robert D.","non-dropping-particle":"","parse-names":false,"suffix":""},{"dropping-particle":"","family":"Taylor","given":"Jeremy F.","non-dropping-particle":"","parse-names":false,"suffix":""},{"dropping-particle":"","family":"Garrick","given":"Dorian J.","non-dropping-particle":"","parse-names":false,"suffix":""}],"container-title":"BMC Genomics","id":"ITEM-3","issue":"1","issued":{"date-parts":[["2014","6","6"]]},"publisher":"BioMed Central Ltd.","title":"Large-effect pleiotropic or closely linked QTL segregate within and across ten US cattle breeds","type":"article-journal","volume":"15"},"uris":["http://www.mendeley.com/documents/?uuid=56d0e91b-25fa-3cba-8839-4943cef581f2"]}],"mendeley":{"formattedCitation":"[1, 3, 10]","plainTextFormattedCitation":"[1, 3, 10]","previouslyFormattedCitation":"[1, 3, 10]"},"properties":{"noteIndex":0},"schema":"https://github.com/citation-style-language/schema/raw/master/csl-citation.json"}</w:instrText>
            </w:r>
            <w:r w:rsidRPr="00DD24FA">
              <w:rPr>
                <w:rFonts w:ascii="Times New Roman" w:hAnsi="Times New Roman" w:cs="Times New Roman"/>
                <w:sz w:val="18"/>
                <w:szCs w:val="18"/>
              </w:rPr>
              <w:fldChar w:fldCharType="separate"/>
            </w:r>
            <w:r w:rsidR="00736431" w:rsidRPr="00DD24FA">
              <w:rPr>
                <w:rFonts w:ascii="Times New Roman" w:hAnsi="Times New Roman" w:cs="Times New Roman"/>
                <w:noProof/>
                <w:sz w:val="18"/>
                <w:szCs w:val="18"/>
              </w:rPr>
              <w:t>[1, 3, 10]</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human; Carcass weight, fat thickness, conception rate, regulator of mitosis</w:t>
            </w:r>
          </w:p>
        </w:tc>
      </w:tr>
      <w:tr w:rsidR="00DD24FA" w:rsidRPr="00267B98" w14:paraId="461016B0" w14:textId="77777777" w:rsidTr="00DD24FA">
        <w:trPr>
          <w:jc w:val="center"/>
        </w:trPr>
        <w:tc>
          <w:tcPr>
            <w:tcW w:w="494" w:type="pct"/>
          </w:tcPr>
          <w:p w14:paraId="28CA9B93" w14:textId="77777777" w:rsidR="001B22CD" w:rsidRPr="00DD24FA" w:rsidRDefault="001B22CD"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14_33</w:t>
            </w:r>
          </w:p>
        </w:tc>
        <w:tc>
          <w:tcPr>
            <w:tcW w:w="326" w:type="pct"/>
          </w:tcPr>
          <w:p w14:paraId="7FBF2FF0"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5.665</w:t>
            </w:r>
          </w:p>
        </w:tc>
        <w:tc>
          <w:tcPr>
            <w:tcW w:w="549" w:type="pct"/>
          </w:tcPr>
          <w:p w14:paraId="649F0CB6"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3.932</w:t>
            </w:r>
          </w:p>
        </w:tc>
        <w:tc>
          <w:tcPr>
            <w:tcW w:w="325" w:type="pct"/>
          </w:tcPr>
          <w:p w14:paraId="44B78C24"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0.279</w:t>
            </w:r>
          </w:p>
        </w:tc>
        <w:tc>
          <w:tcPr>
            <w:tcW w:w="565" w:type="pct"/>
          </w:tcPr>
          <w:p w14:paraId="50881BBE"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w:t>
            </w:r>
          </w:p>
        </w:tc>
        <w:tc>
          <w:tcPr>
            <w:tcW w:w="739" w:type="pct"/>
          </w:tcPr>
          <w:p w14:paraId="109D19A0" w14:textId="77777777" w:rsidR="001B22CD" w:rsidRPr="00DD24FA" w:rsidRDefault="001B22CD" w:rsidP="00267B98">
            <w:pPr>
              <w:spacing w:after="0" w:line="240" w:lineRule="auto"/>
              <w:contextualSpacing/>
              <w:jc w:val="center"/>
              <w:rPr>
                <w:rFonts w:ascii="Times New Roman" w:hAnsi="Times New Roman" w:cs="Times New Roman"/>
                <w:i/>
                <w:color w:val="000000"/>
                <w:sz w:val="18"/>
                <w:szCs w:val="18"/>
              </w:rPr>
            </w:pPr>
            <w:r w:rsidRPr="00DD24FA">
              <w:rPr>
                <w:rFonts w:ascii="Times New Roman" w:hAnsi="Times New Roman" w:cs="Times New Roman"/>
                <w:i/>
                <w:color w:val="000000"/>
                <w:sz w:val="18"/>
                <w:szCs w:val="18"/>
              </w:rPr>
              <w:t>SLCO5A1</w:t>
            </w:r>
          </w:p>
        </w:tc>
        <w:tc>
          <w:tcPr>
            <w:tcW w:w="507" w:type="pct"/>
          </w:tcPr>
          <w:p w14:paraId="75ECBB2E"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vertAlign w:val="superscript"/>
              </w:rPr>
            </w:pPr>
            <w:proofErr w:type="spellStart"/>
            <w:r w:rsidRPr="00DD24FA">
              <w:rPr>
                <w:rFonts w:ascii="Times New Roman" w:hAnsi="Times New Roman" w:cs="Times New Roman"/>
                <w:color w:val="000000"/>
                <w:sz w:val="18"/>
                <w:szCs w:val="18"/>
              </w:rPr>
              <w:t>Exon</w:t>
            </w:r>
            <w:r w:rsidRPr="00DD24FA">
              <w:rPr>
                <w:rFonts w:ascii="Times New Roman" w:hAnsi="Times New Roman" w:cs="Times New Roman"/>
                <w:color w:val="000000"/>
                <w:sz w:val="18"/>
                <w:szCs w:val="18"/>
                <w:vertAlign w:val="superscript"/>
              </w:rPr>
              <w:t>a</w:t>
            </w:r>
            <w:proofErr w:type="spellEnd"/>
          </w:p>
        </w:tc>
        <w:tc>
          <w:tcPr>
            <w:tcW w:w="1496" w:type="pct"/>
          </w:tcPr>
          <w:p w14:paraId="15D5CC6C" w14:textId="5F957478"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736431" w:rsidRPr="00DD24FA">
              <w:rPr>
                <w:rFonts w:ascii="Times New Roman" w:hAnsi="Times New Roman" w:cs="Times New Roman"/>
                <w:sz w:val="18"/>
                <w:szCs w:val="18"/>
              </w:rPr>
              <w:instrText>ADDIN CSL_CITATION {"citationItems":[{"id":"ITEM-1","itemData":{"DOI":"10.1371/journal.pone.0083257","ISSN":"1932-6203","author":[{"dropping-particle":"","family":"Sebastian","given":"Katrin","non-dropping-particle":"","parse-names":false,"suffix":""},{"dropping-particle":"","family":"Detro-Dassen","given":"Silvia","non-dropping-particle":"","parse-names":false,"suffix":""},{"dropping-particle":"","family":"Rinis","given":"Natalie","non-dropping-particle":"","parse-names":false,"suffix":""},{"dropping-particle":"","family":"Fahrenkamp","given":"Dirk","non-dropping-particle":"","parse-names":false,"suffix":""},{"dropping-particle":"","family":"Müller-Newen","given":"Gerhard","non-dropping-particle":"","parse-names":false,"suffix":""},{"dropping-particle":"","family":"Merk","given":"Hans F.","non-dropping-particle":"","parse-names":false,"suffix":""},{"dropping-particle":"","family":"Schmalzing","given":"Günther","non-dropping-particle":"","parse-names":false,"suffix":""},{"dropping-particle":"","family":"Zwadlo-Klarwasser","given":"Gabriele","non-dropping-particle":"","parse-names":false,"suffix":""},{"dropping-particle":"","family":"Baron","given":"Jens Malte","non-dropping-particle":"","parse-names":false,"suffix":""}],"container-title":"PLoS ONE","editor":[{"dropping-particle":"","family":"Deli","given":"Maria A.","non-dropping-particle":"","parse-names":false,"suffix":""}],"id":"ITEM-1","issue":"12","issued":{"date-parts":[["2013","12","20"]]},"page":"e83257","title":"Characterization of SLCO5A1/OATP5A1, a Solute Carrier Transport Protein with Non-Classical Function","type":"article-journal","volume":"8"},"uris":["http://www.mendeley.com/documents/?uuid=bd6afeb3-32e5-38c1-9a5b-d0a84408950d"]},{"id":"ITEM-2","itemData":{"DOI":"10.5713/ajas.16.0637","ISSN":"1011-2367","author":[{"dropping-particle":"","family":"Jang","given":"Hwanhee","non-dropping-particle":"","parse-names":false,"suffix":""},{"dropping-particle":"","family":"Choi","given":"Yohan","non-dropping-particle":"","parse-names":false,"suffix":""},{"dropping-particle":"","family":"Yoo","given":"Inkyu","non-dropping-particle":"","parse-names":false,"suffix":""},{"dropping-particle":"","family":"Han","given":"Jisoo","non-dropping-particle":"","parse-names":false,"suffix":""},{"dropping-particle":"","family":"Kim","given":"Minjeong","non-dropping-particle":"","parse-names":false,"suffix":""},{"dropping-particle":"","family":"Ka","given":"Hakhyun","non-dropping-particle":"","parse-names":false,"suffix":""}],"container-title":"Asian-Australasian Journal of Animal Sciences","id":"ITEM-2","issue":"5","issued":{"date-parts":[["2016","10","19"]]},"page":"643-652","title":"Expression and regulation of prostaglandin transporters, ATP-binding cassette, subfamily C, member 1 and 9, and solute carrier organic anion transporter family, member 2A1 and 5A1 in the uterine endometrium during the estrous cycle and pregnancy in pigs","type":"article-journal","volume":"30"},"uris":["http://www.mendeley.com/documents/?uuid=fbc2dad9-090d-3fab-8bef-9b6cb46b0f5e"]}],"mendeley":{"formattedCitation":"[11, 12]","plainTextFormattedCitation":"[11, 12]","previouslyFormattedCitation":"[11, 12]"},"properties":{"noteIndex":0},"schema":"https://github.com/citation-style-language/schema/raw/master/csl-citation.json"}</w:instrText>
            </w:r>
            <w:r w:rsidRPr="00DD24FA">
              <w:rPr>
                <w:rFonts w:ascii="Times New Roman" w:hAnsi="Times New Roman" w:cs="Times New Roman"/>
                <w:sz w:val="18"/>
                <w:szCs w:val="18"/>
              </w:rPr>
              <w:fldChar w:fldCharType="separate"/>
            </w:r>
            <w:r w:rsidR="00736431" w:rsidRPr="00DD24FA">
              <w:rPr>
                <w:rFonts w:ascii="Times New Roman" w:hAnsi="Times New Roman" w:cs="Times New Roman"/>
                <w:noProof/>
                <w:sz w:val="18"/>
                <w:szCs w:val="18"/>
              </w:rPr>
              <w:t>[11, 12]</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Frog, pig; Expressed in mature dendritic cells, maintenance of pregnancy</w:t>
            </w:r>
          </w:p>
        </w:tc>
      </w:tr>
      <w:tr w:rsidR="00DD24FA" w:rsidRPr="00267B98" w14:paraId="31501BD4" w14:textId="77777777" w:rsidTr="00DD24FA">
        <w:trPr>
          <w:jc w:val="center"/>
        </w:trPr>
        <w:tc>
          <w:tcPr>
            <w:tcW w:w="494" w:type="pct"/>
          </w:tcPr>
          <w:p w14:paraId="72433467" w14:textId="77777777" w:rsidR="001B22CD" w:rsidRPr="00DD24FA" w:rsidRDefault="001B22CD"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14_34</w:t>
            </w:r>
          </w:p>
        </w:tc>
        <w:tc>
          <w:tcPr>
            <w:tcW w:w="326" w:type="pct"/>
          </w:tcPr>
          <w:p w14:paraId="173E44CA"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5.449</w:t>
            </w:r>
          </w:p>
        </w:tc>
        <w:tc>
          <w:tcPr>
            <w:tcW w:w="549" w:type="pct"/>
          </w:tcPr>
          <w:p w14:paraId="4AE1A61D"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3.402</w:t>
            </w:r>
          </w:p>
        </w:tc>
        <w:tc>
          <w:tcPr>
            <w:tcW w:w="325" w:type="pct"/>
          </w:tcPr>
          <w:p w14:paraId="4DAE913C"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0.460</w:t>
            </w:r>
          </w:p>
        </w:tc>
        <w:tc>
          <w:tcPr>
            <w:tcW w:w="565" w:type="pct"/>
          </w:tcPr>
          <w:p w14:paraId="3D067773"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4</w:t>
            </w:r>
          </w:p>
        </w:tc>
        <w:tc>
          <w:tcPr>
            <w:tcW w:w="739" w:type="pct"/>
          </w:tcPr>
          <w:p w14:paraId="3C2149A6" w14:textId="77777777" w:rsidR="001B22CD" w:rsidRPr="00DD24FA" w:rsidRDefault="001B22CD" w:rsidP="00267B98">
            <w:pPr>
              <w:spacing w:after="0" w:line="240" w:lineRule="auto"/>
              <w:contextualSpacing/>
              <w:jc w:val="center"/>
              <w:rPr>
                <w:rFonts w:ascii="Times New Roman" w:hAnsi="Times New Roman" w:cs="Times New Roman"/>
                <w:i/>
                <w:color w:val="000000"/>
                <w:sz w:val="18"/>
                <w:szCs w:val="18"/>
              </w:rPr>
            </w:pPr>
            <w:r w:rsidRPr="00DD24FA">
              <w:rPr>
                <w:rFonts w:ascii="Times New Roman" w:hAnsi="Times New Roman" w:cs="Times New Roman"/>
                <w:i/>
                <w:color w:val="000000"/>
                <w:sz w:val="18"/>
                <w:szCs w:val="18"/>
              </w:rPr>
              <w:t>LACTB2</w:t>
            </w:r>
          </w:p>
        </w:tc>
        <w:tc>
          <w:tcPr>
            <w:tcW w:w="507" w:type="pct"/>
          </w:tcPr>
          <w:p w14:paraId="64133B19"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Intron</w:t>
            </w:r>
          </w:p>
        </w:tc>
        <w:tc>
          <w:tcPr>
            <w:tcW w:w="1496" w:type="pct"/>
          </w:tcPr>
          <w:p w14:paraId="50CF0719" w14:textId="32E3B7D1"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736431" w:rsidRPr="00DD24FA">
              <w:rPr>
                <w:rFonts w:ascii="Times New Roman" w:hAnsi="Times New Roman" w:cs="Times New Roman"/>
                <w:sz w:val="18"/>
                <w:szCs w:val="18"/>
              </w:rPr>
              <w:instrText>ADDIN CSL_CITATION {"citationItems":[{"id":"ITEM-1","itemData":{"DOI":"10.1093/nar/gkw050","ISSN":"13624962","abstract":"Post-transcriptional control of mitochondrial gene expression, including the processing and generation of mature transcripts as well as their degradation, is a key regulatory step in gene expression in human mitochondria. Consequently, identification of the proteins responsible for RNA processing and degradation in this organelle is of great importance. The metallo-β-lactamase (MBL) is a candidate protein family that includes ribo- and deoxyribonucleases. In this study, we discovered a function for LACTB2, an orphan MBL protein found in mammalian mitochondria. Solving its crystal structure revealed almost perfect alignment of the MBL domain with CPSF73, as well as to other ribonucleases of the MBL superfamily. Recombinant human LACTB2 displayed robust endoribonuclease activity on ssRNA with a preference for cleavage after purine-pyrimidine sequences. Mutational analysis identified an extended RNA-binding site. Knockdown of LACTB2 in cultured cells caused a moderate but significant accumulation of many mitochondrial transcripts, and its overexpression led to the opposite effect. Furthermore, manipulation of LACTB2 expression resulted in cellular morphological deformation and cell death. Together, this study discovered that LACTB2 is an endoribonuclease that is involved in the turnover of mitochondrial RNA, and is essential for mitochondrial function in human cells.","author":[{"dropping-particle":"","family":"Levy","given":"Shiri","non-dropping-particle":"","parse-names":false,"suffix":""},{"dropping-particle":"","family":"Allerston","given":"Charles K.","non-dropping-particle":"","parse-names":false,"suffix":""},{"dropping-particle":"","family":"Liveanu","given":"Varda","non-dropping-particle":"","parse-names":false,"suffix":""},{"dropping-particle":"","family":"Habib","given":"Mouna R.","non-dropping-particle":"","parse-names":false,"suffix":""},{"dropping-particle":"","family":"Gileadi","given":"Opher","non-dropping-particle":"","parse-names":false,"suffix":""},{"dropping-particle":"","family":"Schuster","given":"Gadi","non-dropping-particle":"","parse-names":false,"suffix":""}],"container-title":"Nucleic Acids Research","id":"ITEM-1","issue":"4","issued":{"date-parts":[["2016","1","19"]]},"page":"1813-1832","publisher":"Oxford University Press","title":"Identification of LACTB2, a metallo-β-lactamase protein, as a human mitochondrial endoribonuclease","type":"article-journal","volume":"44"},"uris":["http://www.mendeley.com/documents/?uuid=b36f93a7-7058-324c-9783-96e5fc817938"]},{"id":"ITEM-2","itemData":{"DOI":"10.1186/1471-2164-12-408","author":[{"dropping-particle":"","family":"Cole","given":"John B.","non-dropping-particle":"","parse-names":false,"suffix":""},{"dropping-particle":"","family":"Wiggans","given":"George R.","non-dropping-particle":"","parse-names":false,"suffix":""},{"dropping-particle":"","family":"Ma","given":"Li","non-dropping-particle":"","parse-names":false,"suffix":""},{"dropping-particle":"","family":"Sonstegard","given":"Tad S.","non-dropping-particle":"","parse-names":false,"suffix":""},{"dropping-particle":"","family":"Lawlor","given":"Thomas J.","non-dropping-particle":"","parse-names":false,"suffix":""},{"dropping-particle":"","family":"Crooker","given":"Brian A.","non-dropping-particle":"","parse-names":false,"suffix":""},{"dropping-particle":"","family":"Tassell","given":"Curtis P.","non-dropping-particle":"Van","parse-names":false,"suffix":""},{"dropping-particle":"","family":"Yang","given":"Jing","non-dropping-particle":"","parse-names":false,"suffix":""},{"dropping-particle":"","family":"Wang","given":"Shengwen","non-dropping-particle":"","parse-names":false,"suffix":""},{"dropping-particle":"","family":"Matukumalli","given":"Lakshmi K.","non-dropping-particle":"","parse-names":false,"suffix":""},{"dropping-particle":"","family":"Da","given":"Yang","non-dropping-particle":"","parse-names":false,"suffix":""}],"container-title":"BMC Genomics","id":"ITEM-2","issue":"1","issued":{"date-parts":[["2011","8","11"]]},"page":"408","publisher":"BioMed Central","title":"Genome-wide association analysis of thirty one production, health, reproduction and body conformation traits in contemporary U.S. Holstein cows","type":"article-journal","volume":"12"},"uris":["http://www.mendeley.com/documents/?uuid=b39c2e85-60d5-4133-916f-89443378a092"]}],"mendeley":{"formattedCitation":"[13, 14]","plainTextFormattedCitation":"[13, 14]","previouslyFormattedCitation":"[13, 14]"},"properties":{"noteIndex":0},"schema":"https://github.com/citation-style-language/schema/raw/master/csl-citation.json"}</w:instrText>
            </w:r>
            <w:r w:rsidRPr="00DD24FA">
              <w:rPr>
                <w:rFonts w:ascii="Times New Roman" w:hAnsi="Times New Roman" w:cs="Times New Roman"/>
                <w:sz w:val="18"/>
                <w:szCs w:val="18"/>
              </w:rPr>
              <w:fldChar w:fldCharType="separate"/>
            </w:r>
            <w:r w:rsidR="00736431" w:rsidRPr="00DD24FA">
              <w:rPr>
                <w:rFonts w:ascii="Times New Roman" w:hAnsi="Times New Roman" w:cs="Times New Roman"/>
                <w:noProof/>
                <w:sz w:val="18"/>
                <w:szCs w:val="18"/>
              </w:rPr>
              <w:t>[13, 14]</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Human, cattle; Essential to mitochondrial function, milk yield</w:t>
            </w:r>
          </w:p>
        </w:tc>
      </w:tr>
      <w:tr w:rsidR="00DD24FA" w:rsidRPr="00267B98" w14:paraId="3EFDBB91" w14:textId="77777777" w:rsidTr="005B49E6">
        <w:trPr>
          <w:trHeight w:val="287"/>
          <w:jc w:val="center"/>
        </w:trPr>
        <w:tc>
          <w:tcPr>
            <w:tcW w:w="494" w:type="pct"/>
          </w:tcPr>
          <w:p w14:paraId="6948745F" w14:textId="77777777" w:rsidR="001B22CD" w:rsidRPr="00DD24FA" w:rsidRDefault="001B22CD"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7_91</w:t>
            </w:r>
          </w:p>
        </w:tc>
        <w:tc>
          <w:tcPr>
            <w:tcW w:w="326" w:type="pct"/>
          </w:tcPr>
          <w:p w14:paraId="1BA550FB"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5.443</w:t>
            </w:r>
          </w:p>
        </w:tc>
        <w:tc>
          <w:tcPr>
            <w:tcW w:w="549" w:type="pct"/>
          </w:tcPr>
          <w:p w14:paraId="30207950"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3.908</w:t>
            </w:r>
          </w:p>
        </w:tc>
        <w:tc>
          <w:tcPr>
            <w:tcW w:w="325" w:type="pct"/>
          </w:tcPr>
          <w:p w14:paraId="68DABA84"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0.219</w:t>
            </w:r>
          </w:p>
        </w:tc>
        <w:tc>
          <w:tcPr>
            <w:tcW w:w="565" w:type="pct"/>
          </w:tcPr>
          <w:p w14:paraId="2A324C98"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3</w:t>
            </w:r>
          </w:p>
        </w:tc>
        <w:tc>
          <w:tcPr>
            <w:tcW w:w="739" w:type="pct"/>
          </w:tcPr>
          <w:p w14:paraId="66B1399C" w14:textId="77777777" w:rsidR="001B22CD" w:rsidRPr="00DD24FA" w:rsidRDefault="001B22CD" w:rsidP="00267B98">
            <w:pPr>
              <w:spacing w:after="0" w:line="240" w:lineRule="auto"/>
              <w:contextualSpacing/>
              <w:jc w:val="center"/>
              <w:rPr>
                <w:rFonts w:ascii="Times New Roman" w:hAnsi="Times New Roman" w:cs="Times New Roman"/>
                <w:i/>
                <w:color w:val="000000"/>
                <w:sz w:val="18"/>
                <w:szCs w:val="18"/>
              </w:rPr>
            </w:pPr>
            <w:r w:rsidRPr="00DD24FA">
              <w:rPr>
                <w:rFonts w:ascii="Times New Roman" w:hAnsi="Times New Roman" w:cs="Times New Roman"/>
                <w:i/>
                <w:color w:val="000000"/>
                <w:sz w:val="18"/>
                <w:szCs w:val="18"/>
              </w:rPr>
              <w:t>LOC112447489</w:t>
            </w:r>
          </w:p>
        </w:tc>
        <w:tc>
          <w:tcPr>
            <w:tcW w:w="507" w:type="pct"/>
          </w:tcPr>
          <w:p w14:paraId="37FC0012"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Intron</w:t>
            </w:r>
          </w:p>
        </w:tc>
        <w:tc>
          <w:tcPr>
            <w:tcW w:w="1496" w:type="pct"/>
          </w:tcPr>
          <w:p w14:paraId="599B89AE" w14:textId="74B4AB36"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736431" w:rsidRPr="00DD24FA">
              <w:rPr>
                <w:rFonts w:ascii="Times New Roman" w:hAnsi="Times New Roman" w:cs="Times New Roman"/>
                <w:sz w:val="18"/>
                <w:szCs w:val="18"/>
              </w:rPr>
              <w:instrText>ADDIN CSL_CITATION {"citationItems":[{"id":"ITEM-1","itemData":{"DOI":"10.1186/1471-2156-13-21","ISSN":"14712156","PMID":"22449276","abstract":"Background: Contemporary dairy breeding goals have broadened to include, along with milk production traits, a number of non-production-related traits in an effort to improve the overall functionality of the dairy cow. Increased indirect selection for resistance to mastitis, one of the most important production-related diseases in the dairy sector, via selection for reduced somatic cell count has been part of these broadened goals. A number of genome-wide association studies have identified genetic variants associated with milk production traits and mastitis resistance, however the majority of these studies have been based on animals which were predominantly kept in confinement and fed a concentrate-based diet (i.e. high-input production systems). This genome-wide association study aims to detect associations using genotypic and phenotypic data from Irish Holstein-Friesian cattle fed predominantly grazed grass in a pasture-based production system (low-input).Results: Significant associations were detected for milk yield, fat yield, protein yield, fat percentage, protein percentage and somatic cell score using separate single-locus, frequentist and multi-locus, Bayesian approaches. These associations were detected using two separate populations of Holstein-Friesian sires and cows. In total, 1,529 and 37 associations were detected in the sires using a single SNP regression and a Bayesian method, respectively. There were 103 associations in common between the sires and cows across all the traits. As well as detecting associations within known QTL regions, a number of novel associations were detected; the most notable of these was a region of chromosome 13 associated with milk yield in the population of Holstein-Friesian sires.Conclusions: A total of 276 of novel SNPs were detected in the sires using a single SNP regression approach. Although obvious candidate genes may not be initially forthcoming, this study provides a preliminary framework upon which to identify the causal mechanisms underlying the various milk production traits and somatic cell score. Consequently this will deepen our understanding of how these traits are expressed. © 2012 Meredith et al; licensee BioMed Central Ltd.","author":[{"dropping-particle":"","family":"Meredith","given":"Brian K.","non-dropping-particle":"","parse-names":false,"suffix":""},{"dropping-particle":"","family":"Kearney","given":"Francis J.","non-dropping-particle":"","parse-names":false,"suffix":""},{"dropping-particle":"","family":"Finlay","given":"Emma K.","non-dropping-particle":"","parse-names":false,"suffix":""},{"dropping-particle":"","family":"Bradley","given":"Daniel G.","non-dropping-particle":"","parse-names":false,"suffix":""},{"dropping-particle":"","family":"Fahey","given":"Alan G.","non-dropping-particle":"","parse-names":false,"suffix":""},{"dropping-particle":"","family":"Berry","given":"Donagh P.","non-dropping-particle":"","parse-names":false,"suffix":""},{"dropping-particle":"","family":"Lynn","given":"David J.","non-dropping-particle":"","parse-names":false,"suffix":""}],"container-title":"BMC Genetics","id":"ITEM-1","issue":"1","issued":{"date-parts":[["2012","3","26"]]},"page":"21","publisher":"BioMed Central","title":"Genome-wide associations for milk production and somatic cell score in Holstein-Friesian cattle in Ireland","type":"article-journal","volume":"13"},"uris":["http://www.mendeley.com/documents/?uuid=120c3a2d-4807-3f2e-b4ba-7fbf90b7964d"]}],"mendeley":{"formattedCitation":"[7]","plainTextFormattedCitation":"[7]","previouslyFormattedCitation":"[7]"},"properties":{"noteIndex":0},"schema":"https://github.com/citation-style-language/schema/raw/master/csl-citation.json"}</w:instrText>
            </w:r>
            <w:r w:rsidRPr="00DD24FA">
              <w:rPr>
                <w:rFonts w:ascii="Times New Roman" w:hAnsi="Times New Roman" w:cs="Times New Roman"/>
                <w:sz w:val="18"/>
                <w:szCs w:val="18"/>
              </w:rPr>
              <w:fldChar w:fldCharType="separate"/>
            </w:r>
            <w:r w:rsidR="00736431" w:rsidRPr="00DD24FA">
              <w:rPr>
                <w:rFonts w:ascii="Times New Roman" w:hAnsi="Times New Roman" w:cs="Times New Roman"/>
                <w:noProof/>
                <w:sz w:val="18"/>
                <w:szCs w:val="18"/>
              </w:rPr>
              <w:t>[7]</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Milk protein yield</w:t>
            </w:r>
          </w:p>
        </w:tc>
      </w:tr>
    </w:tbl>
    <w:p w14:paraId="53D37B0A" w14:textId="09D250F0" w:rsidR="001B22CD" w:rsidRPr="00F85CC8" w:rsidRDefault="00E13A86" w:rsidP="00267B98">
      <w:pPr>
        <w:spacing w:after="0" w:line="240" w:lineRule="auto"/>
        <w:contextualSpacing/>
        <w:rPr>
          <w:sz w:val="20"/>
          <w:szCs w:val="20"/>
        </w:rPr>
      </w:pPr>
      <w:proofErr w:type="spellStart"/>
      <w:r w:rsidRPr="00F85CC8">
        <w:rPr>
          <w:sz w:val="20"/>
          <w:szCs w:val="20"/>
          <w:vertAlign w:val="superscript"/>
        </w:rPr>
        <w:t>a</w:t>
      </w:r>
      <w:proofErr w:type="spellEnd"/>
      <w:r w:rsidRPr="00F85CC8">
        <w:rPr>
          <w:sz w:val="20"/>
          <w:szCs w:val="20"/>
        </w:rPr>
        <w:t xml:space="preserve"> Indicates a predicted synonymous mutation Arg </w:t>
      </w:r>
      <w:r w:rsidR="0072476E" w:rsidRPr="00F85CC8">
        <w:rPr>
          <w:rFonts w:cstheme="minorHAnsi"/>
          <w:sz w:val="20"/>
          <w:szCs w:val="20"/>
        </w:rPr>
        <w:t>→</w:t>
      </w:r>
      <w:r w:rsidRPr="00F85CC8">
        <w:rPr>
          <w:sz w:val="20"/>
          <w:szCs w:val="20"/>
        </w:rPr>
        <w:t xml:space="preserve"> Arg, exon 6</w:t>
      </w:r>
    </w:p>
    <w:p w14:paraId="3B5692B5" w14:textId="77777777" w:rsidR="00B7190B" w:rsidRPr="00E13A86" w:rsidRDefault="00B7190B" w:rsidP="00267B98">
      <w:pPr>
        <w:spacing w:after="0" w:line="240" w:lineRule="auto"/>
        <w:contextualSpacing/>
      </w:pPr>
    </w:p>
    <w:p w14:paraId="5EA5252F" w14:textId="55C878A5" w:rsidR="001B22CD" w:rsidRDefault="001B22CD" w:rsidP="00267B98">
      <w:pPr>
        <w:spacing w:after="0" w:line="240" w:lineRule="auto"/>
        <w:contextualSpacing/>
        <w:rPr>
          <w:rFonts w:ascii="Times New Roman" w:hAnsi="Times New Roman" w:cs="Times New Roman"/>
        </w:rPr>
      </w:pPr>
      <w:r w:rsidRPr="00B361C9">
        <w:rPr>
          <w:rFonts w:ascii="Times New Roman" w:hAnsi="Times New Roman" w:cs="Times New Roman"/>
          <w:b/>
        </w:rPr>
        <w:t xml:space="preserve">Table </w:t>
      </w:r>
      <w:r w:rsidR="0013515C">
        <w:rPr>
          <w:rFonts w:ascii="Times New Roman" w:hAnsi="Times New Roman" w:cs="Times New Roman"/>
          <w:b/>
        </w:rPr>
        <w:t>S</w:t>
      </w:r>
      <w:r w:rsidR="00B7190B">
        <w:rPr>
          <w:rFonts w:ascii="Times New Roman" w:hAnsi="Times New Roman" w:cs="Times New Roman"/>
          <w:b/>
        </w:rPr>
        <w:t>5</w:t>
      </w:r>
      <w:r w:rsidRPr="00B361C9">
        <w:rPr>
          <w:rFonts w:ascii="Times New Roman" w:hAnsi="Times New Roman" w:cs="Times New Roman"/>
          <w:b/>
        </w:rPr>
        <w:t xml:space="preserve">. </w:t>
      </w:r>
      <w:r w:rsidRPr="00B361C9">
        <w:rPr>
          <w:rFonts w:ascii="Times New Roman" w:hAnsi="Times New Roman" w:cs="Times New Roman"/>
        </w:rPr>
        <w:t>Summary of</w:t>
      </w:r>
      <w:r w:rsidRPr="00B361C9">
        <w:rPr>
          <w:rFonts w:ascii="Times New Roman" w:hAnsi="Times New Roman" w:cs="Times New Roman"/>
          <w:b/>
        </w:rPr>
        <w:t xml:space="preserve"> </w:t>
      </w:r>
      <w:r w:rsidRPr="00B361C9">
        <w:rPr>
          <w:rFonts w:ascii="Times New Roman" w:hAnsi="Times New Roman" w:cs="Times New Roman"/>
        </w:rPr>
        <w:t>Q</w:t>
      </w:r>
      <w:r w:rsidR="00DD1300">
        <w:rPr>
          <w:rFonts w:ascii="Times New Roman" w:hAnsi="Times New Roman" w:cs="Times New Roman"/>
        </w:rPr>
        <w:t>TL</w:t>
      </w:r>
      <w:r w:rsidRPr="00B361C9">
        <w:rPr>
          <w:rFonts w:ascii="Times New Roman" w:hAnsi="Times New Roman" w:cs="Times New Roman"/>
        </w:rPr>
        <w:t xml:space="preserve"> </w:t>
      </w:r>
      <w:r w:rsidR="00F85CC8">
        <w:rPr>
          <w:rFonts w:ascii="Times New Roman" w:hAnsi="Times New Roman" w:cs="Times New Roman"/>
        </w:rPr>
        <w:t>with 2 to 4 supporting SNPs</w:t>
      </w:r>
      <w:r w:rsidR="00F85CC8" w:rsidRPr="00B361C9">
        <w:rPr>
          <w:rFonts w:ascii="Times New Roman" w:hAnsi="Times New Roman" w:cs="Times New Roman"/>
        </w:rPr>
        <w:t xml:space="preserve"> </w:t>
      </w:r>
      <w:r w:rsidRPr="00B361C9">
        <w:rPr>
          <w:rFonts w:ascii="Times New Roman" w:hAnsi="Times New Roman" w:cs="Times New Roman"/>
        </w:rPr>
        <w:t xml:space="preserve">detected for </w:t>
      </w:r>
      <w:r w:rsidR="00DD1300">
        <w:rPr>
          <w:rFonts w:ascii="Times New Roman" w:hAnsi="Times New Roman" w:cs="Times New Roman"/>
        </w:rPr>
        <w:t>yearling weight</w:t>
      </w:r>
      <w:r w:rsidRPr="00B361C9">
        <w:rPr>
          <w:rFonts w:ascii="Times New Roman" w:hAnsi="Times New Roman" w:cs="Times New Roman"/>
        </w:rPr>
        <w:t xml:space="preserve"> in U.S. </w:t>
      </w:r>
      <w:r>
        <w:rPr>
          <w:rFonts w:ascii="Times New Roman" w:hAnsi="Times New Roman" w:cs="Times New Roman"/>
        </w:rPr>
        <w:t>Red Angus</w:t>
      </w:r>
      <w:r w:rsidRPr="00B361C9">
        <w:rPr>
          <w:rFonts w:ascii="Times New Roman" w:hAnsi="Times New Roman" w:cs="Times New Roman"/>
        </w:rPr>
        <w:t xml:space="preserve"> cattle.</w:t>
      </w:r>
    </w:p>
    <w:tbl>
      <w:tblPr>
        <w:tblW w:w="50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627"/>
        <w:gridCol w:w="1072"/>
        <w:gridCol w:w="626"/>
        <w:gridCol w:w="1087"/>
        <w:gridCol w:w="1377"/>
        <w:gridCol w:w="1023"/>
        <w:gridCol w:w="2836"/>
      </w:tblGrid>
      <w:tr w:rsidR="00DD24FA" w:rsidRPr="00267B98" w14:paraId="69191B7E" w14:textId="77777777" w:rsidTr="00DD24FA">
        <w:trPr>
          <w:jc w:val="center"/>
        </w:trPr>
        <w:tc>
          <w:tcPr>
            <w:tcW w:w="467" w:type="pct"/>
            <w:hideMark/>
          </w:tcPr>
          <w:p w14:paraId="00906162"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proofErr w:type="spellStart"/>
            <w:r w:rsidRPr="00DD24FA">
              <w:rPr>
                <w:rFonts w:ascii="Times New Roman" w:hAnsi="Times New Roman" w:cs="Times New Roman"/>
                <w:b/>
                <w:sz w:val="18"/>
                <w:szCs w:val="18"/>
              </w:rPr>
              <w:t>Chr_Mb</w:t>
            </w:r>
            <w:proofErr w:type="spellEnd"/>
          </w:p>
        </w:tc>
        <w:tc>
          <w:tcPr>
            <w:tcW w:w="329" w:type="pct"/>
            <w:hideMark/>
          </w:tcPr>
          <w:p w14:paraId="3DF48FE5"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-log</w:t>
            </w:r>
            <w:r w:rsidRPr="00DD24FA">
              <w:rPr>
                <w:rFonts w:ascii="Times New Roman" w:hAnsi="Times New Roman" w:cs="Times New Roman"/>
                <w:b/>
                <w:sz w:val="18"/>
                <w:szCs w:val="18"/>
                <w:vertAlign w:val="subscript"/>
              </w:rPr>
              <w:t>10</w:t>
            </w:r>
          </w:p>
          <w:p w14:paraId="6A410CDF"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P-value</w:t>
            </w:r>
          </w:p>
        </w:tc>
        <w:tc>
          <w:tcPr>
            <w:tcW w:w="564" w:type="pct"/>
            <w:hideMark/>
          </w:tcPr>
          <w:p w14:paraId="5C97B3A8"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Regression</w:t>
            </w:r>
          </w:p>
          <w:p w14:paraId="42D41C68"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Beta</w:t>
            </w:r>
          </w:p>
        </w:tc>
        <w:tc>
          <w:tcPr>
            <w:tcW w:w="329" w:type="pct"/>
            <w:hideMark/>
          </w:tcPr>
          <w:p w14:paraId="5E529C98"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MAF</w:t>
            </w:r>
          </w:p>
        </w:tc>
        <w:tc>
          <w:tcPr>
            <w:tcW w:w="570" w:type="pct"/>
            <w:hideMark/>
          </w:tcPr>
          <w:p w14:paraId="224E52C1"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Supporting</w:t>
            </w:r>
          </w:p>
          <w:p w14:paraId="31C9804B"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SNPs</w:t>
            </w:r>
          </w:p>
        </w:tc>
        <w:tc>
          <w:tcPr>
            <w:tcW w:w="711" w:type="pct"/>
            <w:hideMark/>
          </w:tcPr>
          <w:p w14:paraId="1A4B9058"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Positional</w:t>
            </w:r>
          </w:p>
          <w:p w14:paraId="5FED444D"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Candidate</w:t>
            </w:r>
          </w:p>
          <w:p w14:paraId="2C6230FD"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Genes</w:t>
            </w:r>
          </w:p>
        </w:tc>
        <w:tc>
          <w:tcPr>
            <w:tcW w:w="540" w:type="pct"/>
            <w:hideMark/>
          </w:tcPr>
          <w:p w14:paraId="4DFE2CC8"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Lead SNP</w:t>
            </w:r>
          </w:p>
          <w:p w14:paraId="2B08CA73"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Location</w:t>
            </w:r>
          </w:p>
        </w:tc>
        <w:tc>
          <w:tcPr>
            <w:tcW w:w="1489" w:type="pct"/>
            <w:hideMark/>
          </w:tcPr>
          <w:p w14:paraId="0B4B76CC"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Scientific Precedence [reference]; organism; trait</w:t>
            </w:r>
          </w:p>
        </w:tc>
      </w:tr>
      <w:tr w:rsidR="00DD24FA" w:rsidRPr="00267B98" w14:paraId="5F4D79EF" w14:textId="77777777" w:rsidTr="00DD24FA">
        <w:trPr>
          <w:jc w:val="center"/>
        </w:trPr>
        <w:tc>
          <w:tcPr>
            <w:tcW w:w="467" w:type="pct"/>
            <w:shd w:val="clear" w:color="auto" w:fill="auto"/>
          </w:tcPr>
          <w:p w14:paraId="3ED1E4FD" w14:textId="77777777" w:rsidR="00736431" w:rsidRPr="00DD24FA" w:rsidRDefault="00736431" w:rsidP="00736431">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6_42</w:t>
            </w:r>
          </w:p>
        </w:tc>
        <w:tc>
          <w:tcPr>
            <w:tcW w:w="329" w:type="pct"/>
            <w:shd w:val="clear" w:color="auto" w:fill="auto"/>
          </w:tcPr>
          <w:p w14:paraId="154AA4F1" w14:textId="77777777" w:rsidR="00736431" w:rsidRPr="00DD24FA" w:rsidRDefault="00736431" w:rsidP="00736431">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8.618</w:t>
            </w:r>
          </w:p>
        </w:tc>
        <w:tc>
          <w:tcPr>
            <w:tcW w:w="564" w:type="pct"/>
            <w:shd w:val="clear" w:color="auto" w:fill="auto"/>
          </w:tcPr>
          <w:p w14:paraId="6BA65BA8" w14:textId="77777777" w:rsidR="00736431" w:rsidRPr="00DD24FA" w:rsidRDefault="00736431" w:rsidP="00736431">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-15.364</w:t>
            </w:r>
          </w:p>
        </w:tc>
        <w:tc>
          <w:tcPr>
            <w:tcW w:w="329" w:type="pct"/>
            <w:shd w:val="clear" w:color="auto" w:fill="auto"/>
          </w:tcPr>
          <w:p w14:paraId="68173F61" w14:textId="77777777" w:rsidR="00736431" w:rsidRPr="00DD24FA" w:rsidRDefault="00736431" w:rsidP="00736431">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0.056</w:t>
            </w:r>
          </w:p>
        </w:tc>
        <w:tc>
          <w:tcPr>
            <w:tcW w:w="570" w:type="pct"/>
            <w:shd w:val="clear" w:color="auto" w:fill="auto"/>
          </w:tcPr>
          <w:p w14:paraId="5EE7561C" w14:textId="77777777" w:rsidR="00736431" w:rsidRPr="00DD24FA" w:rsidRDefault="00736431" w:rsidP="00736431">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3</w:t>
            </w:r>
          </w:p>
        </w:tc>
        <w:tc>
          <w:tcPr>
            <w:tcW w:w="711" w:type="pct"/>
            <w:shd w:val="clear" w:color="auto" w:fill="auto"/>
          </w:tcPr>
          <w:p w14:paraId="6BDF6342" w14:textId="77777777" w:rsidR="00736431" w:rsidRPr="00DD24FA" w:rsidRDefault="00736431" w:rsidP="00736431">
            <w:pPr>
              <w:spacing w:after="0" w:line="240" w:lineRule="auto"/>
              <w:contextualSpacing/>
              <w:jc w:val="center"/>
              <w:rPr>
                <w:rFonts w:ascii="Times New Roman" w:hAnsi="Times New Roman" w:cs="Times New Roman"/>
                <w:i/>
                <w:color w:val="000000"/>
                <w:sz w:val="18"/>
                <w:szCs w:val="18"/>
              </w:rPr>
            </w:pPr>
            <w:r w:rsidRPr="00DD24FA">
              <w:rPr>
                <w:rFonts w:ascii="Times New Roman" w:hAnsi="Times New Roman" w:cs="Times New Roman"/>
                <w:i/>
                <w:color w:val="000000"/>
                <w:sz w:val="18"/>
                <w:szCs w:val="18"/>
              </w:rPr>
              <w:t>LOC782172, ADGRA3</w:t>
            </w:r>
          </w:p>
        </w:tc>
        <w:tc>
          <w:tcPr>
            <w:tcW w:w="540" w:type="pct"/>
            <w:shd w:val="clear" w:color="auto" w:fill="auto"/>
          </w:tcPr>
          <w:p w14:paraId="73EFDB2D" w14:textId="77777777" w:rsidR="00736431" w:rsidRPr="00DD24FA" w:rsidRDefault="00736431" w:rsidP="00736431">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Intergenic</w:t>
            </w:r>
          </w:p>
        </w:tc>
        <w:tc>
          <w:tcPr>
            <w:tcW w:w="1489" w:type="pct"/>
            <w:shd w:val="clear" w:color="auto" w:fill="auto"/>
          </w:tcPr>
          <w:p w14:paraId="53B84575" w14:textId="675EE54C" w:rsidR="00736431" w:rsidRPr="00DD24FA" w:rsidRDefault="00736431" w:rsidP="00736431">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Pr="00DD24FA">
              <w:rPr>
                <w:rFonts w:ascii="Times New Roman" w:hAnsi="Times New Roman" w:cs="Times New Roman"/>
                <w:sz w:val="18"/>
                <w:szCs w:val="18"/>
              </w:rPr>
              <w:instrText>ADDIN CSL_CITATION {"citationItems":[{"id":"ITEM-1","itemData":{"DOI":"10.1186/1471-2164-15-442","ISSN":"14712164","abstract":"Background: The availability of high-density SNP assays including the BovineSNP50 (50 K) enables the identification of novel quantitative trait loci (QTL) and improvement of the resolution of the locations of previously mapped QTL. We performed a series of genome-wide association studies (GWAS) using 50 K genotypes scored in 18,274 animals from 10 US beef cattle breeds with observations for twelve body weights, calving ease and carcass traits.Results: A total of 159 large-effects QTL (defined as 1-Mb genome windows explaining more than 1% of additive genetic variance) were identified. In general, more QTL were identified in analyses with bigger sample sizes. Four large-effect pleiotropic or closely linked QTLs located on BTA6 at 37-42 Mb (primarily at 38 Mb), on BTA7 at 93 Mb, on BTA14 at 23-26 Mb (primarily at 25 Mb) and on BTA20 at 4 Mb were identified in more than one breed. Several breed-specific large-effect pleiotropic or closely linked QTL were also identified. Some identified QTL regions harbor genes known to have large effects on a variety of traits in cattle such as PLAG1 and MSTN and others harbor promising candidate genes including NCAPG, ARRDC3, ERGIC1, SH3PXD2B, HMGA2, MSRB3, LEMD3, TIGAR, SEPT7, and KIRREL3. Gene ontology analysis revealed that genes involved in ossification and in adipose tissue development were over-represented in the identified pleiotropic QTL. Also, the MAPK signaling pathway was identified as a common pathway affected by the genes located near the pleiotropic QTL.Conclusions: This largest GWAS ever performed in beef cattle, led us to discover several novel across-breed and breed-specific large-effect pleiotropic QTL that cumulatively account for a significant percentage of additive genetic variance (e.g. more than a third of additive genetic variance of birth and mature weights; and calving ease direct in Hereford). These results will improve our understanding of the biology of growth and body composition in cattle. © 2014 Saatchi et al.; licensee BioMed Central Ltd.","author":[{"dropping-particle":"","family":"Saatchi","given":"Mahdi","non-dropping-particle":"","parse-names":false,"suffix":""},{"dropping-particle":"","family":"Schnabel","given":"Robert D.","non-dropping-particle":"","parse-names":false,"suffix":""},{"dropping-particle":"","family":"Taylor","given":"Jeremy F.","non-dropping-particle":"","parse-names":false,"suffix":""},{"dropping-particle":"","family":"Garrick","given":"Dorian J.","non-dropping-particle":"","parse-names":false,"suffix":""}],"container-title":"BMC Genomics","id":"ITEM-1","issue":"1","issued":{"date-parts":[["2014","6","6"]]},"publisher":"BioMed Central Ltd.","title":"Large-effect pleiotropic or closely linked QTL segregate within and across ten US cattle breeds","type":"article-journal","volume":"15"},"uris":["http://www.mendeley.com/documents/?uuid=56d0e91b-25fa-3cba-8839-4943cef581f2"]},{"id":"ITEM-2","itemData":{"DOI":"10.1371/journal.pone.0139906","ISSN":"1932-6203","abstract":"Understanding the genetic architecture of beef cattle growth cannot be limited simply to the genome-wide association study (GWAS) for body weight at any specific ages, but should be extended to a more general purpose by considering the whole growth trajectory over time using a growth curve approach. For such an approach, the parameters that are used to describe growth curves were treated as phenotypes under a GWAS model. Data from 1,255 Brahman cattle that were weighed at birth, 6, 12, 15, 18, and 24 months of age were analyzed. Parameter estimates, such as mature weight (A) and maturity rate (K) from nonlinear models are utilized as substitutes for the original body weights for the GWAS analysis. We chose the best nonlinear model to describe the weight-age data, and the estimated parameters were used as phenotypes in a multi-trait GWAS. Our aims were to identify and characterize associated SNP markers to indicate SNP-derived candidate genes and annotate their function as related to growth processes in beef cattle. The Brody model presented the best goodness of fit, and the heritability values for the parameter estimates for mature weight (A) and maturity rate (K) were 0.23 and 0.32, respectively, proving that these traits can be a feasible alternative when the objective is to change the shape of growth curves within genetic improvement programs. The genetic correlation between A and K was -0.84, indicating that animals with lower mature body weights reached that weight at younger ages. One hundred and sixty seven (167) and two hundred and sixty two (262) significant SNPs were associated with A and K, respectively. The annotated genes closest to the most significant SNPs for A had direct biological functions related to muscle development (RAB28), myogenic induction (BTG1), fetal growth (IL2), and body weights (APEX2); K genes were functionally associated with body weight, body height, average daily gain (TMEM18), and skeletal muscle development (SMN1). Candidate genes emerging from this GWAS may inform the search for causative mutations that could underpin genomic breeding for improved growth rates. Copyright:","author":[{"dropping-particle":"","family":"Crispim","given":"Aline Camporez","non-dropping-particle":"","parse-names":false,"suffix":""},{"dropping-particle":"","family":"Kelly","given":"Matthew John","non-dropping-particle":"","parse-names":false,"suffix":""},{"dropping-particle":"","family":"Guimarães","given":"Simone Eliza Facioni","non-dropping-particle":"","parse-names":false,"suffix":""},{"dropping-particle":"","family":"e Silva","given":"Fabyano Fonseca","non-dropping-particle":"","parse-names":false,"suffix":""},{"dropping-particle":"","family":"Fortes","given":"Marina Rufino Salinas","non-dropping-particle":"","parse-names":false,"suffix":""},{"dropping-particle":"","family":"Wenceslau","given":"Raphael Rocha","non-dropping-particle":"","parse-names":false,"suffix":""},{"dropping-particle":"","family":"Moore","given":"Stephen","non-dropping-particle":"","parse-names":false,"suffix":""}],"container-title":"PLOS ONE","editor":[{"dropping-particle":"","family":"Wu","given":"Rongling","non-dropping-particle":"","parse-names":false,"suffix":""}],"id":"ITEM-2","issue":"10","issued":{"date-parts":[["2015","10","7"]]},"page":"e0139906","publisher":"Public Library of Science","title":"Multi-Trait GWAS and New Candidate Genes Annotation for Growth Curve Parameters in Brahman Cattle","type":"article-journal","volume":"10"},"uris":["http://www.mendeley.com/documents/?uuid=a625c335-e6e2-3d56-9700-f72ce8d1ba77"]},{"id":"ITEM-3","itemData":{"DOI":"10.1186/s12864-019-5935-3","ISSN":"14712164","PMID":"31299913","abstract":"Background: Subfertility is one challenge facing the dairy industry as the average Holstein heifer conception rate (HCR), the proportion of heifers that conceive and maintain a pregnancy per breeding, is estimated at 55-60%. Of the loci associated with HCR, few have been validated in an independent cattle population, limiting their usefulness for selection or furthering our understanding of the mechanisms involved in successful pregnancy. Therefore, the objectives here were to identify loci associated with HCR: 1) to the first artificial insemination (AI) service (HCR1), 2) to repeated AI services required for a heifer to conceive (TBRD) and 3) to validate loci previously associated with fertility. Breeding and health records from 3359 Holstein heifers were obtained after heifers were bred by AI at observed estrus, with pregnancy determined at day 35 via palpation. Heifer DNA was genotyped using the Illumina BovineHD BeadChip, and genome-wide association analyses (GWAA) were performed with additive, dominant and recessive models using the Efficient Mixed Model Association eXpedited (EMMAX) method with a relationship matrix for two phenotypes. The HCR1 GWAA compared heifers that were pregnant after the first AI service (n = 497) to heifers that were open following the first AI service (n = 405), which included those that never conceived. The TBRD GWAA compared only those heifers which did conceive, across variable numbers of AI service (n = 712). Comparison of loci previously associated with fertility, HCR1 or TBRD were considered the same locus for validation when in linkage disequilibrium (D' &gt; 0.7). Results: The HCR1 GWAA identified 116, 187 and 28 loci associated (P &lt; 5 × 10- 8) in additive, dominant and recessive models, respectively. The TBRD GWAA identified 235, 362, and 69 QTL associated (P &lt; 5 × 10- 8) with additive, dominant and recessive models, respectively. Loci previously associated with fertility were in linkage disequilibrium with 22 loci shared with HCR1 and TBRD, 5 HCR1 and 19 TBRD loci. Conclusions: Loci associated with HCR1 and TBRD that have been identified and validated can be used to improve HCR through genomic selection, and to better understand possible mechanisms associated with subfertility.","author":[{"dropping-particle":"","family":"Kiser","given":"Jennifer N.","non-dropping-particle":"","parse-names":false,"suffix":""},{"dropping-particle":"","family":"Keuter","given":"Elizabeth M.","non-dropping-particle":"","parse-names":false,"suffix":""},{"dropping-particle":"","family":"Seabury","given":"Christopher M.","non-dropping-particle":"","parse-names":false,"suffix":""},{"dropping-particle":"","family":"Neupane","given":"Mahesh","non-dropping-particle":"","parse-names":false,"suffix":""},{"dropping-particle":"","family":"Moraes","given":"Joao G.N.","non-dropping-particle":"","parse-names":false,"suffix":""},{"dropping-particle":"","family":"Dalton","given":"Joseph","non-dropping-particle":"","parse-names":false,"suffix":""},{"dropping-particle":"","family":"Burns","given":"Gregory W.","non-dropping-particle":"","parse-names":false,"suffix":""},{"dropping-particle":"","family":"Spencer","given":"Thomas E.","non-dropping-particle":"","parse-names":false,"suffix":""},{"dropping-particle":"","family":"Neibergs","given":"Holly L.","non-dropping-particle":"","parse-names":false,"suffix":""}],"container-title":"BMC Genomics","id":"ITEM-3","issue":"1","issued":{"date-parts":[["2019","7","12"]]},"page":"576","publisher":"BioMed Central Ltd.","title":"Validation of 46 loci associated with female fertility traits in cattle","type":"article-journal","volume":"20"},"uris":["http://www.mendeley.com/documents/?uuid=89eb3da7-d86c-3efc-9759-112ebb7713bc"]},{"id":"ITEM-4","itemData":{"DOI":"10.1017/S1751731112001152","ISSN":"17517311","PMID":"23031337","abstract":"Genome-wide association studies for difficult-to-measure traits are generally limited by the sample size with accurate phenotypic data. The objective of this study was to utilise data on primiparous Holstein-Friesian cows from experimental farms in Ireland, the United Kingdom, the Netherlands and Sweden to identify genomic regions associated with the feed utilisation complex: fat and protein corrected milk yield (FPCM), dry matter intake (DMI), body condition score (BCS) and live-weight (LW). Phenotypic data and 37 590 single nucleotide polymorphisms (SNPs) were available on up to 1629 animals. Genetic parameters of the traits were estimated using a linear animal model with pedigree information, and univariate genome-wide association analyses were undertaken using Bayesian stochastic search variable selection performed using Gibbs sampling. The variation in the phenotypes explained by the SNPs on each chromosome was related to the size of the chromosome and was relatively consistent for each trait with the possible exceptions of BTA4 for BCS, BTA7, BTA13, BTA14, BTA18 for LW and BTA27 for DMI. For LW, BCS, DMI and FPCM, 266, 178, 206 and 254 SNPs had a Bayes factor &gt;3, respectively. Olfactory genes and genes involved in the sensory smell process were overrepresented in a 500 kbp window around the significant SNPs. Potential candidate genes were involved with functions linked to insulin, epidermal growth factor and tryptophan. © The Animal Consortium 2012.","author":[{"dropping-particle":"","family":"Veerkamp","given":"R. F.","non-dropping-particle":"","parse-names":false,"suffix":""},{"dropping-particle":"","family":"Coffey","given":"M. P.","non-dropping-particle":"","parse-names":false,"suffix":""},{"dropping-particle":"","family":"Berry","given":"D. P.","non-dropping-particle":"","parse-names":false,"suffix":""},{"dropping-particle":"","family":"Haas","given":"Y.","non-dropping-particle":"De","parse-names":false,"suffix":""},{"dropping-particle":"","family":"Strandberg","given":"E.","non-dropping-particle":"","parse-names":false,"suffix":""},{"dropping-particle":"","family":"Bovenhuis","given":"H.","non-dropping-particle":"","parse-names":false,"suffix":""},{"dropping-particle":"","family":"Calus","given":"M. P.L.","non-dropping-particle":"","parse-names":false,"suffix":""},{"dropping-particle":"","family":"Wall","given":"E.","non-dropping-particle":"","parse-names":false,"suffix":""}],"container-title":"Animal","id":"ITEM-4","issue":"11","issued":{"date-parts":[["2012","11"]]},"page":"1738-1749","publisher":"Cambridge University Press","title":"Genome-wide associations for feed utilisation complex in primiparous Holstein-Friesian dairy cows from experimental research herds in four European countries","type":"article-journal","volume":"6"},"uris":["http://www.mendeley.com/documents/?uuid=4f150477-0a2e-3222-ae94-4f5333122c52"]},{"id":"ITEM-5","itemData":{"DOI":"10.1186/s12864-019-6231-y","ISSN":"1471-2164","author":[{"dropping-particle":"","family":"Smith","given":"Johanna L.","non-dropping-particle":"","parse-names":false,"suffix":""},{"dropping-particle":"","family":"Wilson","given":"Miranda L.","non-dropping-particle":"","parse-names":false,"suffix":""},{"dropping-particle":"","family":"Nilson","given":"Sara M.","non-dropping-particle":"","parse-names":false,"suffix":""},{"dropping-particle":"","family":"Rowan","given":"Troy N.","non-dropping-particle":"","parse-names":false,"suffix":""},{"dropping-particle":"","family":"Oldeschulte","given":"David L.","non-dropping-particle":"","parse-names":false,"suffix":""},{"dropping-particle":"","family":"Schnabel","given":"Robert D.","non-dropping-particle":"","parse-names":false,"suffix":""},{"dropping-particle":"","family":"Decker","given":"Jared E.","non-dropping-particle":"","parse-names":false,"suffix":""},{"dropping-particle":"","family":"Seabury","given":"Christopher M.","non-dropping-particle":"","parse-names":false,"suffix":""}],"container-title":"BMC Genomics","id":"ITEM-5","issue":"1","issued":{"date-parts":[["2019","12","4"]]},"page":"926","title":"Genome-wide association and genotype by environment interactions for growth traits in U.S. Gelbvieh cattle","type":"article-journal","volume":"20"},"uris":["http://www.mendeley.com/documents/?uuid=97cfed36-9784-3b9f-af44-72374dbeac27"]}],"mendeley":{"formattedCitation":"[1–5]","plainTextFormattedCitation":"[1–5]","previouslyFormattedCitation":"[1–5]"},"properties":{"noteIndex":0},"schema":"https://github.com/citation-style-language/schema/raw/master/csl-citation.json"}</w:instrText>
            </w:r>
            <w:r w:rsidRPr="00DD24FA">
              <w:rPr>
                <w:rFonts w:ascii="Times New Roman" w:hAnsi="Times New Roman" w:cs="Times New Roman"/>
                <w:sz w:val="18"/>
                <w:szCs w:val="18"/>
              </w:rPr>
              <w:fldChar w:fldCharType="separate"/>
            </w:r>
            <w:r w:rsidRPr="00DD24FA">
              <w:rPr>
                <w:rFonts w:ascii="Times New Roman" w:hAnsi="Times New Roman" w:cs="Times New Roman"/>
                <w:noProof/>
                <w:sz w:val="18"/>
                <w:szCs w:val="18"/>
              </w:rPr>
              <w:t>[1–5]</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Birth, weaning, and yearling weight, calving ease, yield grade, mature weight, conception rate, body condition score</w:t>
            </w:r>
          </w:p>
        </w:tc>
      </w:tr>
      <w:tr w:rsidR="00DD24FA" w:rsidRPr="00267B98" w14:paraId="48421750" w14:textId="77777777" w:rsidTr="00DD24FA">
        <w:trPr>
          <w:jc w:val="center"/>
        </w:trPr>
        <w:tc>
          <w:tcPr>
            <w:tcW w:w="467" w:type="pct"/>
            <w:shd w:val="clear" w:color="auto" w:fill="auto"/>
          </w:tcPr>
          <w:p w14:paraId="55CABA78" w14:textId="77777777" w:rsidR="001B22CD" w:rsidRPr="00DD24FA" w:rsidRDefault="001B22CD"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lastRenderedPageBreak/>
              <w:t>20_02</w:t>
            </w:r>
          </w:p>
        </w:tc>
        <w:tc>
          <w:tcPr>
            <w:tcW w:w="329" w:type="pct"/>
            <w:shd w:val="clear" w:color="auto" w:fill="auto"/>
          </w:tcPr>
          <w:p w14:paraId="5D607AFD"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5.526</w:t>
            </w:r>
          </w:p>
        </w:tc>
        <w:tc>
          <w:tcPr>
            <w:tcW w:w="564" w:type="pct"/>
            <w:shd w:val="clear" w:color="auto" w:fill="auto"/>
          </w:tcPr>
          <w:p w14:paraId="595B1D3E"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-6.398</w:t>
            </w:r>
          </w:p>
        </w:tc>
        <w:tc>
          <w:tcPr>
            <w:tcW w:w="329" w:type="pct"/>
            <w:shd w:val="clear" w:color="auto" w:fill="auto"/>
          </w:tcPr>
          <w:p w14:paraId="177DAB7E"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0.400</w:t>
            </w:r>
          </w:p>
        </w:tc>
        <w:tc>
          <w:tcPr>
            <w:tcW w:w="570" w:type="pct"/>
            <w:shd w:val="clear" w:color="auto" w:fill="auto"/>
          </w:tcPr>
          <w:p w14:paraId="4B28BDB1"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w:t>
            </w:r>
          </w:p>
        </w:tc>
        <w:tc>
          <w:tcPr>
            <w:tcW w:w="711" w:type="pct"/>
            <w:shd w:val="clear" w:color="auto" w:fill="auto"/>
          </w:tcPr>
          <w:p w14:paraId="7501FCA0" w14:textId="77777777" w:rsidR="001B22CD" w:rsidRPr="00DD24FA" w:rsidRDefault="001B22CD" w:rsidP="00267B98">
            <w:pPr>
              <w:spacing w:after="0" w:line="240" w:lineRule="auto"/>
              <w:contextualSpacing/>
              <w:jc w:val="center"/>
              <w:rPr>
                <w:rFonts w:ascii="Times New Roman" w:hAnsi="Times New Roman" w:cs="Times New Roman"/>
                <w:i/>
                <w:color w:val="000000"/>
                <w:sz w:val="18"/>
                <w:szCs w:val="18"/>
              </w:rPr>
            </w:pPr>
            <w:r w:rsidRPr="00DD24FA">
              <w:rPr>
                <w:rFonts w:ascii="Times New Roman" w:hAnsi="Times New Roman" w:cs="Times New Roman"/>
                <w:i/>
                <w:color w:val="000000"/>
                <w:sz w:val="18"/>
                <w:szCs w:val="18"/>
              </w:rPr>
              <w:t>DOCK2</w:t>
            </w:r>
          </w:p>
        </w:tc>
        <w:tc>
          <w:tcPr>
            <w:tcW w:w="540" w:type="pct"/>
            <w:shd w:val="clear" w:color="auto" w:fill="auto"/>
          </w:tcPr>
          <w:p w14:paraId="68457158"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Intron</w:t>
            </w:r>
          </w:p>
        </w:tc>
        <w:tc>
          <w:tcPr>
            <w:tcW w:w="1489" w:type="pct"/>
            <w:shd w:val="clear" w:color="auto" w:fill="auto"/>
          </w:tcPr>
          <w:p w14:paraId="4B1A3A79" w14:textId="2C453426"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736431" w:rsidRPr="00DD24FA">
              <w:rPr>
                <w:rFonts w:ascii="Times New Roman" w:hAnsi="Times New Roman" w:cs="Times New Roman"/>
                <w:sz w:val="18"/>
                <w:szCs w:val="18"/>
              </w:rPr>
              <w:instrText>ADDIN CSL_CITATION {"citationItems":[{"id":"ITEM-1","itemData":{"DOI":"10.1016/S1074-7613(03)00169-9","ISSN":"10747613","PMID":"12871644","abstract":"DOCK2 is a mammalian homolog of Caenorhabditis elegans CED-5 and Drosophila melanogaster Myoblast City which are known to regulate actin cytoskeleton. DOCK2 is critical for lymphocyte migration, yet the role of DOCK2 in TCR signaling remains unclear. We show here that DOCK2 is essential for TCR-mediated Rac activation and immunological synapse formation. In DOCK2-deficient T cells, antigen-induced translocation of TCR and lipid rafts, but not PKC-θ and LFA-1, to the APC interface was severely impaired, resulting in a significant reduction of antigen-specific T cell proliferation. In addition, we found that the efficacy of both positive and negative selection was reduced in DOCK2-deficient mice. These results suggest that DOCK2 regulates T cell responsiveness through remodeling of actin cytoskeleton via Rac activation.","author":[{"dropping-particle":"","family":"Sanui","given":"Terukazu","non-dropping-particle":"","parse-names":false,"suffix":""},{"dropping-particle":"","family":"Inayoshi","given":"Ayumi","non-dropping-particle":"","parse-names":false,"suffix":""},{"dropping-particle":"","family":"Noda","given":"Mayuko","non-dropping-particle":"","parse-names":false,"suffix":""},{"dropping-particle":"","family":"Iwata","given":"Eiko","non-dropping-particle":"","parse-names":false,"suffix":""},{"dropping-particle":"","family":"Oike","given":"Masahiro","non-dropping-particle":"","parse-names":false,"suffix":""},{"dropping-particle":"","family":"Sasazuki","given":"Takehiko","non-dropping-particle":"","parse-names":false,"suffix":""},{"dropping-particle":"","family":"Fukui","given":"Yoshinori","non-dropping-particle":"","parse-names":false,"suffix":""}],"container-title":"Immunity","id":"ITEM-1","issue":"1","issued":{"date-parts":[["2003","7","1"]]},"page":"119-129","publisher":"Cell Press","title":"DOCK2 is essential for antigen-induced translocation of TCR and lipid rafts, but not PKC-θ and LFA-1, in T cells","type":"article-journal","volume":"19"},"uris":["http://www.mendeley.com/documents/?uuid=2b432f5d-a4df-390d-87db-2d81668eb8e8"]},{"id":"ITEM-2","itemData":{"DOI":"10.1038/35090591","ISSN":"00280836","PMID":"11518968","abstract":"Cell migration is a fundamental biological process involving membrane polarization and cytoskeletal dynamics, both of which are regulated by Rho family GTPases. Among these molecules, Rac is crucial for generating the actin-rich lamellipodial protrusion, a principal part of the driving force for movement. The CDM family proteins, Caenorhabditis elegans CED-5, human DOCK180 and Drosophila melanogaster Myoblast City (MBC), are implicated to mediate membrane extension by functioning upstream of Rac. Although genetic analysis has shown that CED-5 and Myoblast City are crucial for migration of particular types of cells, physiological relevance of the CDM family proteins in mammals remains unknown. Here we show that DOCK2, a haematopoietic cell-specific CDM family protein, is indispensable for lymphocyte chemotaxis. DOCK2-deficient mice (DOCK2-/-) exhibited migration defects of T and B lymphocytes, but not of monocytes, in response to chemokines, resulting in several abnormalities including T lymphocytopenia, atrophy of lymphoid follicles and loss of marginal-zone B cells. In DOCK2-/- lymphocytes, chemokine-induced Rac activation and actin poly- merization were almost totally abolished. Thus, in lymphocyte migration DOCK2 functions as a central regulator that mediates cytoskeletal reorganization through Rac activation.","author":[{"dropping-particle":"","family":"Fukui","given":"Yoshinori","non-dropping-particle":"","parse-names":false,"suffix":""},{"dropping-particle":"","family":"Hashimoto","given":"Osamu","non-dropping-particle":"","parse-names":false,"suffix":""},{"dropping-particle":"","family":"Sanui","given":"Terukazu","non-dropping-particle":"","parse-names":false,"suffix":""},{"dropping-particle":"","family":"Oono","given":"Takamasa","non-dropping-particle":"","parse-names":false,"suffix":""},{"dropping-particle":"","family":"Koga","given":"Hironori","non-dropping-particle":"","parse-names":false,"suffix":""},{"dropping-particle":"","family":"Abe","given":"Masaaki","non-dropping-particle":"","parse-names":false,"suffix":""},{"dropping-particle":"","family":"Inayoshi","given":"Ayumi","non-dropping-particle":"","parse-names":false,"suffix":""},{"dropping-particle":"","family":"Noda","given":"Mayuko","non-dropping-particle":"","parse-names":false,"suffix":""},{"dropping-particle":"","family":"Oike","given":"Masahiro","non-dropping-particle":"","parse-names":false,"suffix":""},{"dropping-particle":"","family":"Shirai","given":"Toshikazu","non-dropping-particle":"","parse-names":false,"suffix":""},{"dropping-particle":"","family":"Sasazuki","given":"Takehiko","non-dropping-particle":"","parse-names":false,"suffix":""}],"container-title":"Nature","id":"ITEM-2","issue":"6849","issued":{"date-parts":[["2001","8","23"]]},"page":"826-831","publisher":"Nature Publishing Group","title":"Haematopoietic cell-specific CDM family protein DOCK2 is essential for lymphocyte migration","type":"article-journal","volume":"412"},"uris":["http://www.mendeley.com/documents/?uuid=0e2bb458-5a1d-3d3c-b176-c14705dcd6b2"]}],"mendeley":{"formattedCitation":"[15, 16]","plainTextFormattedCitation":"[15, 16]","previouslyFormattedCitation":"[15, 16]"},"properties":{"noteIndex":0},"schema":"https://github.com/citation-style-language/schema/raw/master/csl-citation.json"}</w:instrText>
            </w:r>
            <w:r w:rsidRPr="00DD24FA">
              <w:rPr>
                <w:rFonts w:ascii="Times New Roman" w:hAnsi="Times New Roman" w:cs="Times New Roman"/>
                <w:sz w:val="18"/>
                <w:szCs w:val="18"/>
              </w:rPr>
              <w:fldChar w:fldCharType="separate"/>
            </w:r>
            <w:r w:rsidR="00736431" w:rsidRPr="00DD24FA">
              <w:rPr>
                <w:rFonts w:ascii="Times New Roman" w:hAnsi="Times New Roman" w:cs="Times New Roman"/>
                <w:noProof/>
                <w:sz w:val="18"/>
                <w:szCs w:val="18"/>
              </w:rPr>
              <w:t>[15, 16]</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Mouse; Roles in migration and activation of T cells</w:t>
            </w:r>
          </w:p>
        </w:tc>
      </w:tr>
      <w:tr w:rsidR="00DD24FA" w:rsidRPr="00267B98" w14:paraId="62A05066" w14:textId="77777777" w:rsidTr="00DD24FA">
        <w:trPr>
          <w:jc w:val="center"/>
        </w:trPr>
        <w:tc>
          <w:tcPr>
            <w:tcW w:w="467" w:type="pct"/>
            <w:shd w:val="clear" w:color="auto" w:fill="auto"/>
          </w:tcPr>
          <w:p w14:paraId="2A852C5C" w14:textId="77777777" w:rsidR="001B22CD" w:rsidRPr="00DD24FA" w:rsidRDefault="001B22CD"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21_66</w:t>
            </w:r>
          </w:p>
        </w:tc>
        <w:tc>
          <w:tcPr>
            <w:tcW w:w="329" w:type="pct"/>
            <w:shd w:val="clear" w:color="auto" w:fill="auto"/>
          </w:tcPr>
          <w:p w14:paraId="52038629"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5.295</w:t>
            </w:r>
          </w:p>
        </w:tc>
        <w:tc>
          <w:tcPr>
            <w:tcW w:w="564" w:type="pct"/>
            <w:shd w:val="clear" w:color="auto" w:fill="auto"/>
          </w:tcPr>
          <w:p w14:paraId="6C3EAA55"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4.889</w:t>
            </w:r>
          </w:p>
        </w:tc>
        <w:tc>
          <w:tcPr>
            <w:tcW w:w="329" w:type="pct"/>
            <w:shd w:val="clear" w:color="auto" w:fill="auto"/>
          </w:tcPr>
          <w:p w14:paraId="3B197E1C"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0.426</w:t>
            </w:r>
          </w:p>
        </w:tc>
        <w:tc>
          <w:tcPr>
            <w:tcW w:w="570" w:type="pct"/>
            <w:shd w:val="clear" w:color="auto" w:fill="auto"/>
          </w:tcPr>
          <w:p w14:paraId="5C07BC21"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4</w:t>
            </w:r>
          </w:p>
        </w:tc>
        <w:tc>
          <w:tcPr>
            <w:tcW w:w="711" w:type="pct"/>
            <w:shd w:val="clear" w:color="auto" w:fill="auto"/>
          </w:tcPr>
          <w:p w14:paraId="2FC93487" w14:textId="77777777" w:rsidR="001B22CD" w:rsidRPr="00DD24FA" w:rsidRDefault="001B22CD" w:rsidP="00267B98">
            <w:pPr>
              <w:spacing w:after="0" w:line="240" w:lineRule="auto"/>
              <w:contextualSpacing/>
              <w:jc w:val="center"/>
              <w:rPr>
                <w:rFonts w:ascii="Times New Roman" w:hAnsi="Times New Roman" w:cs="Times New Roman"/>
                <w:i/>
                <w:color w:val="000000"/>
                <w:sz w:val="18"/>
                <w:szCs w:val="18"/>
              </w:rPr>
            </w:pPr>
            <w:r w:rsidRPr="00DD24FA">
              <w:rPr>
                <w:rFonts w:ascii="Times New Roman" w:hAnsi="Times New Roman" w:cs="Times New Roman"/>
                <w:i/>
                <w:color w:val="000000"/>
                <w:sz w:val="18"/>
                <w:szCs w:val="18"/>
              </w:rPr>
              <w:t>MEG9, LOC112443172</w:t>
            </w:r>
          </w:p>
        </w:tc>
        <w:tc>
          <w:tcPr>
            <w:tcW w:w="540" w:type="pct"/>
            <w:shd w:val="clear" w:color="auto" w:fill="auto"/>
          </w:tcPr>
          <w:p w14:paraId="54F0E028"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Intergenic</w:t>
            </w:r>
          </w:p>
        </w:tc>
        <w:tc>
          <w:tcPr>
            <w:tcW w:w="1489" w:type="pct"/>
            <w:shd w:val="clear" w:color="auto" w:fill="auto"/>
          </w:tcPr>
          <w:p w14:paraId="37D43274" w14:textId="0DD69A6C"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736431" w:rsidRPr="00DD24FA">
              <w:rPr>
                <w:rFonts w:ascii="Times New Roman" w:hAnsi="Times New Roman" w:cs="Times New Roman"/>
                <w:sz w:val="18"/>
                <w:szCs w:val="18"/>
              </w:rPr>
              <w:instrText>ADDIN CSL_CITATION {"citationItems":[{"id":"ITEM-1","itemData":{"DOI":"10.1101/442699","abstract":"Changes in gene expression are key for the cells to adapt and response to intrinsic and extrinsic stimulus. It has been shown that genotoxic stress induces global hypomethylation as a result of decreased expression of DNA methyl transferases (DNMT). We hypothesized that DNA damage suppresses long non-coding RNA expression in the vasculature via DNA methylation leading to more robust DNA repair/survival or cellular senescence/death cell fate decisions. We show here that ionizing radiation reduces the expression of DNMTs in the vascular endothelium and this leads to increased expression of the anti-apoptotic lncRNA MEG9. MEG9 is a lncRNA from the DLK1-DIO3 ncRNA cluster. Loss-of-function studies using RNA gapmers indicate that MEG9 protects endothelial cells from DNA damage induced cell death. Consistent with this phenotype, knockdown of MEG9 decreases growth factor dependent angiogenesis in a 3D fibrin gel angiogenesis assay. Mechanistically, we observed that MEG9 knockdown decreased the expression of cell survival genes including survivin and induced the expression of pro-apoptotic genes such as Bad/Bax. Taken together, our findings illustrate how DNA methylation at selective lncRNA loci can regulate their expression and drive endothelial cell fate decisions.","author":[{"dropping-particle":"","family":"Espinosa-Diez","given":"Cristina","non-dropping-particle":"","parse-names":false,"suffix":""},{"dropping-particle":"","family":"Wilson","given":"RaeAnna","non-dropping-particle":"","parse-names":false,"suffix":""},{"dropping-particle":"","family":"Mukherjee","given":"Rishima","non-dropping-particle":"","parse-names":false,"suffix":""},{"dropping-particle":"","family":"Feltham","given":"Marlee","non-dropping-particle":"","parse-names":false,"suffix":""},{"dropping-particle":"","family":"Hudson","given":"Clayton","non-dropping-particle":"","parse-names":false,"suffix":""},{"dropping-particle":"","family":"Ruhl","given":"Rebecca","non-dropping-particle":"","parse-names":false,"suffix":""},{"dropping-particle":"","family":"Anand","given":"Sudarshan","non-dropping-particle":"","parse-names":false,"suffix":""}],"container-title":"bioRxiv","id":"ITEM-1","issued":{"date-parts":[["2018"]]},"page":"442699","title":"DNA damage dependent hypomethylation regulates the pro-angiogenic LncRNA MEG9","type":"article-journal"},"uris":["http://www.mendeley.com/documents/?uuid=fc57372b-62b1-3028-8ad0-f26bd62ee00f"]},{"id":"ITEM-2","itemData":{"DOI":"10.1186/s12864-018-5062-6","ISSN":"14712164","PMID":"30241501","abstract":"Background: Natural antibodies (NAb) are an important component of the innate immune system, and fight infections as a part of the first line defence. NAb are poly-reactive and can respond non-specifically to antigens. Therefore, NAb may be a key trait when evaluating an animal’s potential natural disease resistance. Variation in NAb is caused by both genetic and environmental factors. In this study genetic parameters of NAb were estimated and a genome-wide association study (GWAS) was performed to gain further understanding on the genes that are responsible for the observed genetic variation of NAb in Canadian Holsteins. Results: In total, blood samples of 1327 cows from 64 farms were studied. NAb binding to keyhole limpet hemocyanin (KLH) were determined via indirect ELISA. Immunoglobulin (Ig) isotypes, IgG and IgM, were evaluated. From the sample population, 925 cows were genotyped for 45,187 markers and each individual marker was tested to detect genetic variation in NAb levels. The relationships among animals was accounted for with genomic relationship. Results show heritabilities of 0.27 ± 0.064 (IgG) and 0.31 ± 0.065 (IgM). In total, 23 SNPs were found to be associated with IgG, but no SNPs were associated with IgM (FDR p-value &lt; 0.05). The significant SNPs were located on autosomal chromosomes 1, 20 and 21 of the cow genome. Functional annotation analysis of the positional candidate genes revealed two sets of genes with biologically relevant functions related to NAb. In one set, seven genes with crucial roles in the production of antibody in B cells were associated with the trafficking of vesicles inside the cells between organelles. In the second set, two genes among positional candidate genes were associated with isotype class-switching and somatic hypermutation of B cells. Conclusions: This study demonstrated the possibility of increasing NAb through selective breeding. In addition, the effects of two candidate pathways are proposed for further investigation of NAb production in Holsteins.","author":[{"dropping-particle":"","family":"Klerk","given":"Britt","non-dropping-particle":"De","parse-names":false,"suffix":""},{"dropping-particle":"","family":"Emam","given":"Mehdi","non-dropping-particle":"","parse-names":false,"suffix":""},{"dropping-particle":"","family":"Thompson-Crispi","given":"Kathleen A.","non-dropping-particle":"","parse-names":false,"suffix":""},{"dropping-particle":"","family":"Sargolzaei","given":"Mehdi","non-dropping-particle":"","parse-names":false,"suffix":""},{"dropping-particle":"","family":"Poel","given":"Johan J.","non-dropping-particle":"Van der","parse-names":false,"suffix":""},{"dropping-particle":"","family":"Mallard","given":"Bonnie A.","non-dropping-particle":"","parse-names":false,"suffix":""}],"container-title":"BMC Genomics","id":"ITEM-2","issue":"1","issued":{"date-parts":[["2018","9","21"]]},"page":"694","publisher":"BioMed Central","title":"A genome-wide association study for natural antibodies measured in blood of Canadian Holstein cows","type":"article-journal","volume":"19"},"uris":["http://www.mendeley.com/documents/?uuid=88798a1f-a27a-3432-803c-0db597809d85"]}],"mendeley":{"formattedCitation":"[17, 18]","plainTextFormattedCitation":"[17, 18]","previouslyFormattedCitation":"[17, 18]"},"properties":{"noteIndex":0},"schema":"https://github.com/citation-style-language/schema/raw/master/csl-citation.json"}</w:instrText>
            </w:r>
            <w:r w:rsidRPr="00DD24FA">
              <w:rPr>
                <w:rFonts w:ascii="Times New Roman" w:hAnsi="Times New Roman" w:cs="Times New Roman"/>
                <w:sz w:val="18"/>
                <w:szCs w:val="18"/>
              </w:rPr>
              <w:fldChar w:fldCharType="separate"/>
            </w:r>
            <w:r w:rsidR="00736431" w:rsidRPr="00DD24FA">
              <w:rPr>
                <w:rFonts w:ascii="Times New Roman" w:hAnsi="Times New Roman" w:cs="Times New Roman"/>
                <w:noProof/>
                <w:sz w:val="18"/>
                <w:szCs w:val="18"/>
              </w:rPr>
              <w:t>[17, 18]</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Human, cattle; Cell proliferation and viability, natural antibodies in blood</w:t>
            </w:r>
          </w:p>
        </w:tc>
      </w:tr>
      <w:tr w:rsidR="00DD24FA" w:rsidRPr="00267B98" w14:paraId="0358BFBA" w14:textId="77777777" w:rsidTr="00DD24FA">
        <w:trPr>
          <w:jc w:val="center"/>
        </w:trPr>
        <w:tc>
          <w:tcPr>
            <w:tcW w:w="467" w:type="pct"/>
            <w:shd w:val="clear" w:color="auto" w:fill="auto"/>
          </w:tcPr>
          <w:p w14:paraId="3B39451A" w14:textId="77777777" w:rsidR="001B22CD" w:rsidRPr="00DD24FA" w:rsidRDefault="001B22CD"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7_90</w:t>
            </w:r>
          </w:p>
        </w:tc>
        <w:tc>
          <w:tcPr>
            <w:tcW w:w="329" w:type="pct"/>
            <w:shd w:val="clear" w:color="auto" w:fill="auto"/>
          </w:tcPr>
          <w:p w14:paraId="1F1CCD70"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5.167</w:t>
            </w:r>
          </w:p>
        </w:tc>
        <w:tc>
          <w:tcPr>
            <w:tcW w:w="564" w:type="pct"/>
            <w:shd w:val="clear" w:color="auto" w:fill="auto"/>
          </w:tcPr>
          <w:p w14:paraId="2F02171B"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8.377</w:t>
            </w:r>
          </w:p>
        </w:tc>
        <w:tc>
          <w:tcPr>
            <w:tcW w:w="329" w:type="pct"/>
            <w:shd w:val="clear" w:color="auto" w:fill="auto"/>
          </w:tcPr>
          <w:p w14:paraId="7E3D4357"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0.107</w:t>
            </w:r>
          </w:p>
        </w:tc>
        <w:tc>
          <w:tcPr>
            <w:tcW w:w="570" w:type="pct"/>
            <w:shd w:val="clear" w:color="auto" w:fill="auto"/>
          </w:tcPr>
          <w:p w14:paraId="0F4D6D53"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w:t>
            </w:r>
          </w:p>
        </w:tc>
        <w:tc>
          <w:tcPr>
            <w:tcW w:w="711" w:type="pct"/>
            <w:shd w:val="clear" w:color="auto" w:fill="auto"/>
          </w:tcPr>
          <w:p w14:paraId="2867C16D" w14:textId="77777777" w:rsidR="001B22CD" w:rsidRPr="00DD24FA" w:rsidRDefault="001B22CD" w:rsidP="00267B98">
            <w:pPr>
              <w:spacing w:after="0" w:line="240" w:lineRule="auto"/>
              <w:contextualSpacing/>
              <w:jc w:val="center"/>
              <w:rPr>
                <w:rFonts w:ascii="Times New Roman" w:hAnsi="Times New Roman" w:cs="Times New Roman"/>
                <w:i/>
                <w:color w:val="000000"/>
                <w:sz w:val="18"/>
                <w:szCs w:val="18"/>
              </w:rPr>
            </w:pPr>
            <w:r w:rsidRPr="00DD24FA">
              <w:rPr>
                <w:rFonts w:ascii="Times New Roman" w:hAnsi="Times New Roman" w:cs="Times New Roman"/>
                <w:i/>
                <w:color w:val="000000"/>
                <w:sz w:val="18"/>
                <w:szCs w:val="18"/>
              </w:rPr>
              <w:t>ADGRV1</w:t>
            </w:r>
          </w:p>
        </w:tc>
        <w:tc>
          <w:tcPr>
            <w:tcW w:w="540" w:type="pct"/>
            <w:shd w:val="clear" w:color="auto" w:fill="auto"/>
          </w:tcPr>
          <w:p w14:paraId="2F7435E2"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Intron</w:t>
            </w:r>
          </w:p>
        </w:tc>
        <w:tc>
          <w:tcPr>
            <w:tcW w:w="1489" w:type="pct"/>
            <w:shd w:val="clear" w:color="auto" w:fill="auto"/>
          </w:tcPr>
          <w:p w14:paraId="1843FD4A" w14:textId="4E4A7545"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736431" w:rsidRPr="00DD24FA">
              <w:rPr>
                <w:rFonts w:ascii="Times New Roman" w:hAnsi="Times New Roman" w:cs="Times New Roman"/>
                <w:sz w:val="18"/>
                <w:szCs w:val="18"/>
              </w:rPr>
              <w:instrText>ADDIN CSL_CITATION {"citationItems":[{"id":"ITEM-1","itemData":{"DOI":"10.1186/s12711-018-0405-y","ISSN":"12979686","PMID":"30290764","abstract":"Background: Heterosis has been suggested to be caused by dominance effects. We performed a joint genome-wide association analysis (GWAS) using data from multi-breed and crossbred beef cattle to identify single nucleotide polymorphisms (SNPs) with significant dominance effects associated with variation in growth and carcass traits and to understand the mode of action of these associations. Methods: Illumina BovineSNP50 genotypes and phenotypes for 11 growth and carcass traits were available for 6796 multi-breed and crossbred beef cattle. After performing quality control, 42,610 SNPs and 6794 animals were used for further analyses. A single-SNP GWAS for the joint association of additive and dominance effects was conducted in purebred, crossbred, and combined datasets using the ASReml software. Genomic breed composition predicted from admixture analyses was included in the mixed effect model to account for possible population stratification and breed effects. A threshold of 10% genome-wide false discovery rate was applied to declare associations as significant. The significant SNPs with dominance association were mapped to their corresponding genes at 100 kb. Results: Seven SNPs with significant dominance associations were detected for birth weight, weaning weight, pre-weaning daily gain, yearling weight and marbling score across the three datasets at a false discovery rate of 10%. These SNPs were located on bovine chromosomes 1, 3, 4, 6 and 21 and mapped to six putative candidate genes: U6atac, AGBL4, bta-mir-2888-1, REPIN1, ICA1 and NXPH1. These genes have interesting biological functions related to the regulation of gene expression, glucose and lipid metabolism and body fat mass. For most of the identified loci, we observed over-dominance association with the studied traits, such that the heterozygous individuals at any of these loci had greater genotypic values for the trait than either of the homozygous individuals. Conclusions: Our results revealed very few regions with significant dominance genetic effects across all the traits studied in the three datasets used. Regarding the SNPs that were detected with dominance associations, further investigation is needed to determine their relevance in crossbreeding programs assuming that dominance effects are the main cause of (or contribute usefully to) heterosis.","author":[{"dropping-particle":"","family":"Akanno","given":"Everestus C.","non-dropping-particle":"","parse-names":false,"suffix":""},{"dropping-particle":"","family":"Chen","given":"Liuhong","non-dropping-particle":"","parse-names":false,"suffix":""},{"dropping-particle":"","family":"Abo-Ismail","given":"Mohammed K.","non-dropping-particle":"","parse-names":false,"suffix":""},{"dropping-particle":"","family":"Crowley","given":"John J.","non-dropping-particle":"","parse-names":false,"suffix":""},{"dropping-particle":"","family":"Wang","given":"Zhiquan","non-dropping-particle":"","parse-names":false,"suffix":""},{"dropping-particle":"","family":"Li","given":"Changxi","non-dropping-particle":"","parse-names":false,"suffix":""},{"dropping-particle":"","family":"Basarab","given":"John A.","non-dropping-particle":"","parse-names":false,"suffix":""},{"dropping-particle":"","family":"MacNeil","given":"Michael D.","non-dropping-particle":"","parse-names":false,"suffix":""},{"dropping-particle":"","family":"Plastow","given":"Graham S.","non-dropping-particle":"","parse-names":false,"suffix":""}],"container-title":"Genetics Selection Evolution","id":"ITEM-1","issue":"1","issued":{"date-parts":[["2018","10","5"]]},"page":"48","publisher":"BioMed Central Ltd.","title":"Genome-wide association scan for heterotic quantitative trait loci in multi-breed and crossbred beef cattle","type":"article-journal","volume":"50"},"uris":["http://www.mendeley.com/documents/?uuid=95b78fad-67ca-35fb-8bdf-68e5c4ff6ef9"]},{"id":"ITEM-2","itemData":{"DOI":"10.1186/s12864-019-5935-3","ISSN":"14712164","PMID":"31299913","abstract":"Background: Subfertility is one challenge facing the dairy industry as the average Holstein heifer conception rate (HCR), the proportion of heifers that conceive and maintain a pregnancy per breeding, is estimated at 55-60%. Of the loci associated with HCR, few have been validated in an independent cattle population, limiting their usefulness for selection or furthering our understanding of the mechanisms involved in successful pregnancy. Therefore, the objectives here were to identify loci associated with HCR: 1) to the first artificial insemination (AI) service (HCR1), 2) to repeated AI services required for a heifer to conceive (TBRD) and 3) to validate loci previously associated with fertility. Breeding and health records from 3359 Holstein heifers were obtained after heifers were bred by AI at observed estrus, with pregnancy determined at day 35 via palpation. Heifer DNA was genotyped using the Illumina BovineHD BeadChip, and genome-wide association analyses (GWAA) were performed with additive, dominant and recessive models using the Efficient Mixed Model Association eXpedited (EMMAX) method with a relationship matrix for two phenotypes. The HCR1 GWAA compared heifers that were pregnant after the first AI service (n = 497) to heifers that were open following the first AI service (n = 405), which included those that never conceived. The TBRD GWAA compared only those heifers which did conceive, across variable numbers of AI service (n = 712). Comparison of loci previously associated with fertility, HCR1 or TBRD were considered the same locus for validation when in linkage disequilibrium (D' &gt; 0.7). Results: The HCR1 GWAA identified 116, 187 and 28 loci associated (P &lt; 5 × 10- 8) in additive, dominant and recessive models, respectively. The TBRD GWAA identified 235, 362, and 69 QTL associated (P &lt; 5 × 10- 8) with additive, dominant and recessive models, respectively. Loci previously associated with fertility were in linkage disequilibrium with 22 loci shared with HCR1 and TBRD, 5 HCR1 and 19 TBRD loci. Conclusions: Loci associated with HCR1 and TBRD that have been identified and validated can be used to improve HCR through genomic selection, and to better understand possible mechanisms associated with subfertility.","author":[{"dropping-particle":"","family":"Kiser","given":"Jennifer N.","non-dropping-particle":"","parse-names":false,"suffix":""},{"dropping-particle":"","family":"Keuter","given":"Elizabeth M.","non-dropping-particle":"","parse-names":false,"suffix":""},{"dropping-particle":"","family":"Seabury","given":"Christopher M.","non-dropping-particle":"","parse-names":false,"suffix":""},{"dropping-particle":"","family":"Neupane","given":"Mahesh","non-dropping-particle":"","parse-names":false,"suffix":""},{"dropping-particle":"","family":"Moraes","given":"Joao G.N.","non-dropping-particle":"","parse-names":false,"suffix":""},{"dropping-particle":"","family":"Dalton","given":"Joseph","non-dropping-particle":"","parse-names":false,"suffix":""},{"dropping-particle":"","family":"Burns","given":"Gregory W.","non-dropping-particle":"","parse-names":false,"suffix":""},{"dropping-particle":"","family":"Spencer","given":"Thomas E.","non-dropping-particle":"","parse-names":false,"suffix":""},{"dropping-particle":"","family":"Neibergs","given":"Holly L.","non-dropping-particle":"","parse-names":false,"suffix":""}],"container-title":"BMC Genomics","id":"ITEM-2","issue":"1","issued":{"date-parts":[["2019","7","12"]]},"page":"576","publisher":"BioMed Central Ltd.","title":"Validation of 46 loci associated with female fertility traits in cattle","type":"article-journal","volume":"20"},"uris":["http://www.mendeley.com/documents/?uuid=89eb3da7-d86c-3efc-9759-112ebb7713bc"]},{"id":"ITEM-3","itemData":{"DOI":"10.1210/jc.2011-2393","ISSN":"0021-972X","author":[{"dropping-particle":"","family":"Urano","given":"Tomohiko","non-dropping-particle":"","parse-names":false,"suffix":""},{"dropping-particle":"","family":"Shiraki","given":"Masataka","non-dropping-particle":"","parse-names":false,"suffix":""},{"dropping-particle":"","family":"Yagi","given":"Hideshi","non-dropping-particle":"","parse-names":false,"suffix":""},{"dropping-particle":"","family":"Ito","given":"Masako","non-dropping-particle":"","parse-names":false,"suffix":""},{"dropping-particle":"","family":"Sasaki","given":"Noriko","non-dropping-particle":"","parse-names":false,"suffix":""},{"dropping-particle":"","family":"Sato","given":"Makoto","non-dropping-particle":"","parse-names":false,"suffix":""},{"dropping-particle":"","family":"Ouchi","given":"Yasuyoshi","non-dropping-particle":"","parse-names":false,"suffix":""},{"dropping-particle":"","family":"Inoue","given":"Satoshi","non-dropping-particle":"","parse-names":false,"suffix":""}],"container-title":"The Journal of Clinical Endocrinology &amp; Metabolism","id":"ITEM-3","issue":"4","issued":{"date-parts":[["2012","4"]]},"page":"E565-E574","title":"&lt;i&gt;GPR98&lt;/i&gt; / &lt;i&gt;Gpr98&lt;/i&gt; Gene Is Involved in the Regulation of Human and Mouse Bone Mineral Density","type":"article-journal","volume":"97"},"uris":["http://www.mendeley.com/documents/?uuid=82e70656-fca1-32e7-872f-9ea23a9840df"]}],"mendeley":{"formattedCitation":"[3, 19, 20]","plainTextFormattedCitation":"[3, 19, 20]","previouslyFormattedCitation":"[3, 19, 20]"},"properties":{"noteIndex":0},"schema":"https://github.com/citation-style-language/schema/raw/master/csl-citation.json"}</w:instrText>
            </w:r>
            <w:r w:rsidRPr="00DD24FA">
              <w:rPr>
                <w:rFonts w:ascii="Times New Roman" w:hAnsi="Times New Roman" w:cs="Times New Roman"/>
                <w:sz w:val="18"/>
                <w:szCs w:val="18"/>
              </w:rPr>
              <w:fldChar w:fldCharType="separate"/>
            </w:r>
            <w:r w:rsidR="00736431" w:rsidRPr="00DD24FA">
              <w:rPr>
                <w:rFonts w:ascii="Times New Roman" w:hAnsi="Times New Roman" w:cs="Times New Roman"/>
                <w:noProof/>
                <w:sz w:val="18"/>
                <w:szCs w:val="18"/>
              </w:rPr>
              <w:t>[3, 19, 20]</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mouse; Birth and yearling weights, conception rate, regulation of bone mineral density and fragility</w:t>
            </w:r>
          </w:p>
        </w:tc>
      </w:tr>
      <w:tr w:rsidR="00DD24FA" w:rsidRPr="00267B98" w14:paraId="50F961F5" w14:textId="77777777" w:rsidTr="00DD24FA">
        <w:trPr>
          <w:jc w:val="center"/>
        </w:trPr>
        <w:tc>
          <w:tcPr>
            <w:tcW w:w="467" w:type="pct"/>
            <w:shd w:val="clear" w:color="auto" w:fill="auto"/>
          </w:tcPr>
          <w:p w14:paraId="7EBFECC0" w14:textId="77777777" w:rsidR="001B22CD" w:rsidRPr="00DD24FA" w:rsidRDefault="001B22CD"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6_32</w:t>
            </w:r>
          </w:p>
        </w:tc>
        <w:tc>
          <w:tcPr>
            <w:tcW w:w="329" w:type="pct"/>
            <w:shd w:val="clear" w:color="auto" w:fill="auto"/>
          </w:tcPr>
          <w:p w14:paraId="23EA8C12"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5.094</w:t>
            </w:r>
          </w:p>
        </w:tc>
        <w:tc>
          <w:tcPr>
            <w:tcW w:w="564" w:type="pct"/>
            <w:shd w:val="clear" w:color="auto" w:fill="auto"/>
          </w:tcPr>
          <w:p w14:paraId="780C4E00"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7.595</w:t>
            </w:r>
          </w:p>
        </w:tc>
        <w:tc>
          <w:tcPr>
            <w:tcW w:w="329" w:type="pct"/>
            <w:shd w:val="clear" w:color="auto" w:fill="auto"/>
          </w:tcPr>
          <w:p w14:paraId="0B195070"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0.269</w:t>
            </w:r>
          </w:p>
        </w:tc>
        <w:tc>
          <w:tcPr>
            <w:tcW w:w="570" w:type="pct"/>
            <w:shd w:val="clear" w:color="auto" w:fill="auto"/>
          </w:tcPr>
          <w:p w14:paraId="652F84AB"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3</w:t>
            </w:r>
          </w:p>
        </w:tc>
        <w:tc>
          <w:tcPr>
            <w:tcW w:w="711" w:type="pct"/>
            <w:shd w:val="clear" w:color="auto" w:fill="auto"/>
          </w:tcPr>
          <w:p w14:paraId="6B0185DC" w14:textId="77777777" w:rsidR="001B22CD" w:rsidRPr="00DD24FA" w:rsidRDefault="001B22CD" w:rsidP="00267B98">
            <w:pPr>
              <w:spacing w:after="0" w:line="240" w:lineRule="auto"/>
              <w:contextualSpacing/>
              <w:jc w:val="center"/>
              <w:rPr>
                <w:rFonts w:ascii="Times New Roman" w:hAnsi="Times New Roman" w:cs="Times New Roman"/>
                <w:i/>
                <w:color w:val="000000"/>
                <w:sz w:val="18"/>
                <w:szCs w:val="18"/>
              </w:rPr>
            </w:pPr>
            <w:r w:rsidRPr="00DD24FA">
              <w:rPr>
                <w:rFonts w:ascii="Times New Roman" w:hAnsi="Times New Roman" w:cs="Times New Roman"/>
                <w:i/>
                <w:color w:val="000000"/>
                <w:sz w:val="18"/>
                <w:szCs w:val="18"/>
              </w:rPr>
              <w:t>GRID2</w:t>
            </w:r>
          </w:p>
        </w:tc>
        <w:tc>
          <w:tcPr>
            <w:tcW w:w="540" w:type="pct"/>
            <w:shd w:val="clear" w:color="auto" w:fill="auto"/>
          </w:tcPr>
          <w:p w14:paraId="34793EC9"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Intron</w:t>
            </w:r>
          </w:p>
        </w:tc>
        <w:tc>
          <w:tcPr>
            <w:tcW w:w="1489" w:type="pct"/>
            <w:shd w:val="clear" w:color="auto" w:fill="auto"/>
          </w:tcPr>
          <w:p w14:paraId="2A6A7438" w14:textId="62E5F17F"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736431" w:rsidRPr="00DD24FA">
              <w:rPr>
                <w:rFonts w:ascii="Times New Roman" w:hAnsi="Times New Roman" w:cs="Times New Roman"/>
                <w:sz w:val="18"/>
                <w:szCs w:val="18"/>
              </w:rPr>
              <w:instrText>ADDIN CSL_CITATION {"citationItems":[{"id":"ITEM-1","itemData":{"DOI":"10.1006/geno.1997.5108","ISSN":"08887543","abstract":"We isolated the human glutamate receptor δ2 (GRID2) gene, which has 97.0% identity in amino acid sequence to the mouse glutamate receptor 82 (Grid2) gene. We subsequently mapped this gene to human chromosome 4q22 by radiation hybrid mapping and by hybridization to two overlapping human yeast artificial chromosomes that are located in 4q22. The Grid2 gene, which is mutated in lurcher (Lc) mice, maps to mouse chromosome 6. Thus, the mapping of the GRID2 gene to human chromosome 4q22 confirms and refines a region of synteny between mouse and human genomes.","author":[{"dropping-particle":"","family":"Hu","given":"Wei","non-dropping-particle":"","parse-names":false,"suffix":""},{"dropping-particle":"","family":"Zuo","given":"Jian","non-dropping-particle":"","parse-names":false,"suffix":""},{"dropping-particle":"","family":"Jager","given":"Philip L.","non-dropping-particle":"De","parse-names":false,"suffix":""},{"dropping-particle":"","family":"Heintz","given":"Nathaniel","non-dropping-particle":"","parse-names":false,"suffix":""}],"container-title":"Genomics","id":"ITEM-1","issue":"1","issued":{"date-parts":[["1998","1","1"]]},"page":"143-145","publisher":"Academic Press Inc.","title":"The human glutamate receptor δ2 gene (GRID2) maps to chromosome 4q22","type":"article-journal","volume":"47"},"uris":["http://www.mendeley.com/documents/?uuid=ace872b1-8523-38cc-b557-8b5b7f0e9b28"]},{"id":"ITEM-2","itemData":{"DOI":"10.1186/s12864-019-6362-1","ISSN":"14712164","abstract":"Background: Genome wide association studies (GWAS) on residual feed intake (RFI) and its component traits including daily dry matter intake (DMI), average daily gain (ADG), and metabolic body weight (MWT) were conducted in a population of 7573 animals from multiple beef cattle breeds based on 7,853,211 imputed whole genome sequence variants. The GWAS results were used to elucidate genetic architectures of the feed efficiency related traits in beef cattle. Results: The DNA variant allele substitution effects approximated a bell-shaped distribution for all the traits while the distribution of additive genetic variances explained by single DNA variants followed a scaled inverse chi-squared distribution to a greater extent. With a threshold of P-value &lt; 1.00E-05, 16, 72, 88, and 116 lead DNA variants on multiple chromosomes were significantly associated with RFI, DMI, ADG, and MWT, respectively. In addition, lead DNA variants with potentially large pleiotropic effects on DMI, ADG, and MWT were found on chromosomes 6, 14 and 20. On average, missense, 3'UTR, 5'UTR, and other regulatory region variants exhibited larger allele substitution effects in comparison to other functional classes. Intergenic and intron variants captured smaller proportions of additive genetic variance per DNA variant. Instead 3'UTR and synonymous variants explained a greater amount of genetic variance per DNA variant for all the traits examined while missense, 5'UTR and other regulatory region variants accounted for relatively more additive genetic variance per sequence variant for RFI and ADG, respectively. In total, 25 to 27 enriched cellular and molecular functions were identified with lipid metabolism and carbohydrate metabolism being the most significant for the feed efficiency traits. Conclusions: RFI is controlled by many DNA variants with relatively small effects whereas DMI, ADG, and MWT are influenced by a few DNA variants with large effects and many DNA variants with small effects. Nucleotide polymorphisms in regulatory region and synonymous functional classes play a more important role per sequence variant in determining variation of the feed efficiency traits. The genetic architecture as revealed by the GWAS of the imputed 7,853,211 DNA variants will improve our understanding on the genetic control of feed efficiency traits in beef cattle.","author":[{"dropping-particle":"","family":"Zhang","given":"Feng","non-dropping-particle":"","parse-names":false,"suffix":""},{"dropping-particle":"","family":"Wang","given":"Yining","non-dropping-particle":"","parse-names":false,"suffix":""},{"dropping-particle":"","family":"Mukiibi","given":"Robert","non-dropping-particle":"","parse-names":false,"suffix":""},{"dropping-particle":"","family":"Chen","given":"Liuhong","non-dropping-particle":"","parse-names":false,"suffix":""},{"dropping-particle":"","family":"Vinsky","given":"Michael","non-dropping-particle":"","parse-names":false,"suffix":""},{"dropping-particle":"","family":"Plastow","given":"Graham","non-dropping-particle":"","parse-names":false,"suffix":""},{"dropping-particle":"","family":"Basarab","given":"John","non-dropping-particle":"","parse-names":false,"suffix":""},{"dropping-particle":"","family":"Stothard","given":"Paul","non-dropping-particle":"","parse-names":false,"suffix":""},{"dropping-particle":"","family":"Li","given":"Changxi","non-dropping-particle":"","parse-names":false,"suffix":""}],"container-title":"BMC Genomics","id":"ITEM-2","issue":"1","issued":{"date-parts":[["2020","1","13"]]},"page":"36","publisher":"BioMed Central Ltd.","title":"Genetic architecture of quantitative traits in beef cattle revealed by genome wide association studies of imputed whole genome sequence variants: I: feed efficiency and component traits","type":"article-journal","volume":"21"},"uris":["http://www.mendeley.com/documents/?uuid=6842431f-c7f3-3d50-96e1-5932215522f0"]},{"id":"ITEM-3","itemData":{"DOI":"10.1186/s12711-018-0405-y","ISSN":"12979686","PMID":"30290764","abstract":"Background: Heterosis has been suggested to be caused by dominance effects. We performed a joint genome-wide association analysis (GWAS) using data from multi-breed and crossbred beef cattle to identify single nucleotide polymorphisms (SNPs) with significant dominance effects associated with variation in growth and carcass traits and to understand the mode of action of these associations. Methods: Illumina BovineSNP50 genotypes and phenotypes for 11 growth and carcass traits were available for 6796 multi-breed and crossbred beef cattle. After performing quality control, 42,610 SNPs and 6794 animals were used for further analyses. A single-SNP GWAS for the joint association of additive and dominance effects was conducted in purebred, crossbred, and combined datasets using the ASReml software. Genomic breed composition predicted from admixture analyses was included in the mixed effect model to account for possible population stratification and breed effects. A threshold of 10% genome-wide false discovery rate was applied to declare associations as significant. The significant SNPs with dominance association were mapped to their corresponding genes at 100 kb. Results: Seven SNPs with significant dominance associations were detected for birth weight, weaning weight, pre-weaning daily gain, yearling weight and marbling score across the three datasets at a false discovery rate of 10%. These SNPs were located on bovine chromosomes 1, 3, 4, 6 and 21 and mapped to six putative candidate genes: U6atac, AGBL4, bta-mir-2888-1, REPIN1, ICA1 and NXPH1. These genes have interesting biological functions related to the regulation of gene expression, glucose and lipid metabolism and body fat mass. For most of the identified loci, we observed over-dominance association with the studied traits, such that the heterozygous individuals at any of these loci had greater genotypic values for the trait than either of the homozygous individuals. Conclusions: Our results revealed very few regions with significant dominance genetic effects across all the traits studied in the three datasets used. Regarding the SNPs that were detected with dominance associations, further investigation is needed to determine their relevance in crossbreeding programs assuming that dominance effects are the main cause of (or contribute usefully to) heterosis.","author":[{"dropping-particle":"","family":"Akanno","given":"Everestus C.","non-dropping-particle":"","parse-names":false,"suffix":""},{"dropping-particle":"","family":"Chen","given":"Liuhong","non-dropping-particle":"","parse-names":false,"suffix":""},{"dropping-particle":"","family":"Abo-Ismail","given":"Mohammed K.","non-dropping-particle":"","parse-names":false,"suffix":""},{"dropping-particle":"","family":"Crowley","given":"John J.","non-dropping-particle":"","parse-names":false,"suffix":""},{"dropping-particle":"","family":"Wang","given":"Zhiquan","non-dropping-particle":"","parse-names":false,"suffix":""},{"dropping-particle":"","family":"Li","given":"Changxi","non-dropping-particle":"","parse-names":false,"suffix":""},{"dropping-particle":"","family":"Basarab","given":"John A.","non-dropping-particle":"","parse-names":false,"suffix":""},{"dropping-particle":"","family":"MacNeil","given":"Michael D.","non-dropping-particle":"","parse-names":false,"suffix":""},{"dropping-particle":"","family":"Plastow","given":"Graham S.","non-dropping-particle":"","parse-names":false,"suffix":""}],"container-title":"Genetics Selection Evolution","id":"ITEM-3","issue":"1","issued":{"date-parts":[["2018","10","5"]]},"page":"48","publisher":"BioMed Central Ltd.","title":"Genome-wide association scan for heterotic quantitative trait loci in multi-breed and crossbred beef cattle","type":"article-journal","volume":"50"},"uris":["http://www.mendeley.com/documents/?uuid=95b78fad-67ca-35fb-8bdf-68e5c4ff6ef9"]},{"id":"ITEM-4","itemData":{"DOI":"10.1186/1471-2156-13-21","ISSN":"14712156","PMID":"22449276","abstract":"Background: Contemporary dairy breeding goals have broadened to include, along with milk production traits, a number of non-production-related traits in an effort to improve the overall functionality of the dairy cow. Increased indirect selection for resistance to mastitis, one of the most important production-related diseases in the dairy sector, via selection for reduced somatic cell count has been part of these broadened goals. A number of genome-wide association studies have identified genetic variants associated with milk production traits and mastitis resistance, however the majority of these studies have been based on animals which were predominantly kept in confinement and fed a concentrate-based diet (i.e. high-input production systems). This genome-wide association study aims to detect associations using genotypic and phenotypic data from Irish Holstein-Friesian cattle fed predominantly grazed grass in a pasture-based production system (low-input).Results: Significant associations were detected for milk yield, fat yield, protein yield, fat percentage, protein percentage and somatic cell score using separate single-locus, frequentist and multi-locus, Bayesian approaches. These associations were detected using two separate populations of Holstein-Friesian sires and cows. In total, 1,529 and 37 associations were detected in the sires using a single SNP regression and a Bayesian method, respectively. There were 103 associations in common between the sires and cows across all the traits. As well as detecting associations within known QTL regions, a number of novel associations were detected; the most notable of these was a region of chromosome 13 associated with milk yield in the population of Holstein-Friesian sires.Conclusions: A total of 276 of novel SNPs were detected in the sires using a single SNP regression approach. Although obvious candidate genes may not be initially forthcoming, this study provides a preliminary framework upon which to identify the causal mechanisms underlying the various milk production traits and somatic cell score. Consequently this will deepen our understanding of how these traits are expressed. © 2012 Meredith et al; licensee BioMed Central Ltd.","author":[{"dropping-particle":"","family":"Meredith","given":"Brian K.","non-dropping-particle":"","parse-names":false,"suffix":""},{"dropping-particle":"","family":"Kearney","given":"Francis J.","non-dropping-particle":"","parse-names":false,"suffix":""},{"dropping-particle":"","family":"Finlay","given":"Emma K.","non-dropping-particle":"","parse-names":false,"suffix":""},{"dropping-particle":"","family":"Bradley","given":"Daniel G.","non-dropping-particle":"","parse-names":false,"suffix":""},{"dropping-particle":"","family":"Fahey","given":"Alan G.","non-dropping-particle":"","parse-names":false,"suffix":""},{"dropping-particle":"","family":"Berry","given":"Donagh P.","non-dropping-particle":"","parse-names":false,"suffix":""},{"dropping-particle":"","family":"Lynn","given":"David J.","non-dropping-particle":"","parse-names":false,"suffix":""}],"container-title":"BMC Genetics","id":"ITEM-4","issue":"1","issued":{"date-parts":[["2012","3","26"]]},"page":"21","publisher":"BioMed Central","title":"Genome-wide associations for milk production and somatic cell score in Holstein-Friesian cattle in Ireland","type":"article-journal","volume":"13"},"uris":["http://www.mendeley.com/documents/?uuid=120c3a2d-4807-3f2e-b4ba-7fbf90b7964d"]}],"mendeley":{"formattedCitation":"[7, 19, 21, 22]","plainTextFormattedCitation":"[7, 19, 21, 22]","previouslyFormattedCitation":"[7, 19, 21, 22]"},"properties":{"noteIndex":0},"schema":"https://github.com/citation-style-language/schema/raw/master/csl-citation.json"}</w:instrText>
            </w:r>
            <w:r w:rsidRPr="00DD24FA">
              <w:rPr>
                <w:rFonts w:ascii="Times New Roman" w:hAnsi="Times New Roman" w:cs="Times New Roman"/>
                <w:sz w:val="18"/>
                <w:szCs w:val="18"/>
              </w:rPr>
              <w:fldChar w:fldCharType="separate"/>
            </w:r>
            <w:r w:rsidR="00736431" w:rsidRPr="00DD24FA">
              <w:rPr>
                <w:rFonts w:ascii="Times New Roman" w:hAnsi="Times New Roman" w:cs="Times New Roman"/>
                <w:noProof/>
                <w:sz w:val="18"/>
                <w:szCs w:val="18"/>
              </w:rPr>
              <w:t>[7, 19, 21, 22]</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Human, cattle; Mammalian nervous system mediation, dry matter intake, average daily gain, birth weight, milk fat yield</w:t>
            </w:r>
          </w:p>
        </w:tc>
      </w:tr>
    </w:tbl>
    <w:p w14:paraId="532C6EC0" w14:textId="77777777" w:rsidR="00E13A86" w:rsidRDefault="00E13A86" w:rsidP="00267B98">
      <w:pPr>
        <w:spacing w:after="0" w:line="240" w:lineRule="auto"/>
        <w:contextualSpacing/>
        <w:rPr>
          <w:vertAlign w:val="superscript"/>
        </w:rPr>
      </w:pPr>
    </w:p>
    <w:p w14:paraId="060C39DA" w14:textId="643D4DEE" w:rsidR="001B22CD" w:rsidRDefault="001B22CD" w:rsidP="00267B98">
      <w:pPr>
        <w:spacing w:after="0" w:line="240" w:lineRule="auto"/>
        <w:contextualSpacing/>
        <w:rPr>
          <w:rFonts w:ascii="Times New Roman" w:hAnsi="Times New Roman" w:cs="Times New Roman"/>
        </w:rPr>
      </w:pPr>
      <w:r w:rsidRPr="00B361C9">
        <w:rPr>
          <w:rFonts w:ascii="Times New Roman" w:hAnsi="Times New Roman" w:cs="Times New Roman"/>
          <w:b/>
        </w:rPr>
        <w:t>Table</w:t>
      </w:r>
      <w:r>
        <w:rPr>
          <w:rFonts w:ascii="Times New Roman" w:hAnsi="Times New Roman" w:cs="Times New Roman"/>
          <w:b/>
        </w:rPr>
        <w:t xml:space="preserve"> </w:t>
      </w:r>
      <w:r w:rsidR="0013515C">
        <w:rPr>
          <w:rFonts w:ascii="Times New Roman" w:hAnsi="Times New Roman" w:cs="Times New Roman"/>
          <w:b/>
        </w:rPr>
        <w:t>S</w:t>
      </w:r>
      <w:r w:rsidR="00B7190B">
        <w:rPr>
          <w:rFonts w:ascii="Times New Roman" w:hAnsi="Times New Roman" w:cs="Times New Roman"/>
          <w:b/>
        </w:rPr>
        <w:t>6</w:t>
      </w:r>
      <w:r>
        <w:rPr>
          <w:rFonts w:ascii="Times New Roman" w:hAnsi="Times New Roman" w:cs="Times New Roman"/>
          <w:b/>
        </w:rPr>
        <w:t>.</w:t>
      </w:r>
      <w:r w:rsidRPr="00B361C9">
        <w:rPr>
          <w:rFonts w:ascii="Times New Roman" w:hAnsi="Times New Roman" w:cs="Times New Roman"/>
          <w:b/>
        </w:rPr>
        <w:t xml:space="preserve"> </w:t>
      </w:r>
      <w:r w:rsidRPr="00B361C9">
        <w:rPr>
          <w:rFonts w:ascii="Times New Roman" w:hAnsi="Times New Roman" w:cs="Times New Roman"/>
        </w:rPr>
        <w:t>Summary of</w:t>
      </w:r>
      <w:r w:rsidRPr="00B361C9">
        <w:rPr>
          <w:rFonts w:ascii="Times New Roman" w:hAnsi="Times New Roman" w:cs="Times New Roman"/>
          <w:b/>
        </w:rPr>
        <w:t xml:space="preserve"> </w:t>
      </w:r>
      <w:r w:rsidRPr="00B361C9">
        <w:rPr>
          <w:rFonts w:ascii="Times New Roman" w:hAnsi="Times New Roman" w:cs="Times New Roman"/>
        </w:rPr>
        <w:t xml:space="preserve">GxE </w:t>
      </w:r>
      <w:r w:rsidR="001C2F4F">
        <w:rPr>
          <w:rFonts w:ascii="Times New Roman" w:hAnsi="Times New Roman" w:cs="Times New Roman"/>
        </w:rPr>
        <w:t>interactions</w:t>
      </w:r>
      <w:r w:rsidR="00F85CC8">
        <w:rPr>
          <w:rFonts w:ascii="Times New Roman" w:hAnsi="Times New Roman" w:cs="Times New Roman"/>
        </w:rPr>
        <w:t xml:space="preserve"> with 2 to 4 supporting SNPs</w:t>
      </w:r>
      <w:r w:rsidRPr="00B361C9">
        <w:rPr>
          <w:rFonts w:ascii="Times New Roman" w:hAnsi="Times New Roman" w:cs="Times New Roman"/>
        </w:rPr>
        <w:t xml:space="preserve"> detected for </w:t>
      </w:r>
      <w:r w:rsidR="00DD1300">
        <w:rPr>
          <w:rFonts w:ascii="Times New Roman" w:hAnsi="Times New Roman" w:cs="Times New Roman"/>
        </w:rPr>
        <w:t>birth weight</w:t>
      </w:r>
      <w:r w:rsidRPr="00B361C9">
        <w:rPr>
          <w:rFonts w:ascii="Times New Roman" w:hAnsi="Times New Roman" w:cs="Times New Roman"/>
        </w:rPr>
        <w:t xml:space="preserve"> in U.S. </w:t>
      </w:r>
      <w:r>
        <w:rPr>
          <w:rFonts w:ascii="Times New Roman" w:hAnsi="Times New Roman" w:cs="Times New Roman"/>
        </w:rPr>
        <w:t xml:space="preserve">Red Angus </w:t>
      </w:r>
      <w:r w:rsidRPr="00B361C9">
        <w:rPr>
          <w:rFonts w:ascii="Times New Roman" w:hAnsi="Times New Roman" w:cs="Times New Roman"/>
        </w:rPr>
        <w:t>cattle.</w:t>
      </w:r>
    </w:p>
    <w:tbl>
      <w:tblPr>
        <w:tblW w:w="50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633"/>
        <w:gridCol w:w="1060"/>
        <w:gridCol w:w="626"/>
        <w:gridCol w:w="1087"/>
        <w:gridCol w:w="1377"/>
        <w:gridCol w:w="946"/>
        <w:gridCol w:w="2866"/>
      </w:tblGrid>
      <w:tr w:rsidR="00DD24FA" w:rsidRPr="00267B98" w14:paraId="6FC195BA" w14:textId="77777777" w:rsidTr="00DD24FA">
        <w:trPr>
          <w:jc w:val="center"/>
        </w:trPr>
        <w:tc>
          <w:tcPr>
            <w:tcW w:w="501" w:type="pct"/>
            <w:tcBorders>
              <w:top w:val="single" w:sz="4" w:space="0" w:color="auto"/>
              <w:left w:val="single" w:sz="4" w:space="0" w:color="auto"/>
              <w:bottom w:val="single" w:sz="4" w:space="0" w:color="auto"/>
              <w:right w:val="single" w:sz="4" w:space="0" w:color="auto"/>
            </w:tcBorders>
            <w:hideMark/>
          </w:tcPr>
          <w:p w14:paraId="1E14067C"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proofErr w:type="spellStart"/>
            <w:r w:rsidRPr="00DD24FA">
              <w:rPr>
                <w:rFonts w:ascii="Times New Roman" w:hAnsi="Times New Roman" w:cs="Times New Roman"/>
                <w:b/>
                <w:sz w:val="18"/>
                <w:szCs w:val="18"/>
              </w:rPr>
              <w:t>Chr_Mb</w:t>
            </w:r>
            <w:proofErr w:type="spellEnd"/>
          </w:p>
        </w:tc>
        <w:tc>
          <w:tcPr>
            <w:tcW w:w="340" w:type="pct"/>
            <w:tcBorders>
              <w:top w:val="single" w:sz="4" w:space="0" w:color="auto"/>
              <w:left w:val="single" w:sz="4" w:space="0" w:color="auto"/>
              <w:bottom w:val="single" w:sz="4" w:space="0" w:color="auto"/>
              <w:right w:val="single" w:sz="4" w:space="0" w:color="auto"/>
            </w:tcBorders>
            <w:hideMark/>
          </w:tcPr>
          <w:p w14:paraId="014995EC"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-log</w:t>
            </w:r>
            <w:r w:rsidRPr="00DD24FA">
              <w:rPr>
                <w:rFonts w:ascii="Times New Roman" w:hAnsi="Times New Roman" w:cs="Times New Roman"/>
                <w:b/>
                <w:sz w:val="18"/>
                <w:szCs w:val="18"/>
                <w:vertAlign w:val="subscript"/>
              </w:rPr>
              <w:t>10</w:t>
            </w:r>
          </w:p>
          <w:p w14:paraId="7F092E29"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P-value</w:t>
            </w:r>
          </w:p>
        </w:tc>
        <w:tc>
          <w:tcPr>
            <w:tcW w:w="563" w:type="pct"/>
            <w:tcBorders>
              <w:top w:val="single" w:sz="4" w:space="0" w:color="auto"/>
              <w:left w:val="single" w:sz="4" w:space="0" w:color="auto"/>
              <w:bottom w:val="single" w:sz="4" w:space="0" w:color="auto"/>
              <w:right w:val="single" w:sz="4" w:space="0" w:color="auto"/>
            </w:tcBorders>
            <w:hideMark/>
          </w:tcPr>
          <w:p w14:paraId="1E3CDA47"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Regression</w:t>
            </w:r>
          </w:p>
          <w:p w14:paraId="1F8E8CB8"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Beta</w:t>
            </w:r>
          </w:p>
        </w:tc>
        <w:tc>
          <w:tcPr>
            <w:tcW w:w="328" w:type="pct"/>
            <w:tcBorders>
              <w:top w:val="single" w:sz="4" w:space="0" w:color="auto"/>
              <w:left w:val="single" w:sz="4" w:space="0" w:color="auto"/>
              <w:bottom w:val="single" w:sz="4" w:space="0" w:color="auto"/>
              <w:right w:val="single" w:sz="4" w:space="0" w:color="auto"/>
            </w:tcBorders>
            <w:hideMark/>
          </w:tcPr>
          <w:p w14:paraId="3AB927CA"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MAF</w:t>
            </w:r>
          </w:p>
        </w:tc>
        <w:tc>
          <w:tcPr>
            <w:tcW w:w="570" w:type="pct"/>
            <w:tcBorders>
              <w:top w:val="single" w:sz="4" w:space="0" w:color="auto"/>
              <w:left w:val="single" w:sz="4" w:space="0" w:color="auto"/>
              <w:bottom w:val="single" w:sz="4" w:space="0" w:color="auto"/>
              <w:right w:val="single" w:sz="4" w:space="0" w:color="auto"/>
            </w:tcBorders>
            <w:hideMark/>
          </w:tcPr>
          <w:p w14:paraId="6C384C05"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Supporting</w:t>
            </w:r>
          </w:p>
          <w:p w14:paraId="46C93B46"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SNPs</w:t>
            </w:r>
          </w:p>
        </w:tc>
        <w:tc>
          <w:tcPr>
            <w:tcW w:w="722" w:type="pct"/>
            <w:tcBorders>
              <w:top w:val="single" w:sz="4" w:space="0" w:color="auto"/>
              <w:left w:val="single" w:sz="4" w:space="0" w:color="auto"/>
              <w:bottom w:val="single" w:sz="4" w:space="0" w:color="auto"/>
              <w:right w:val="single" w:sz="4" w:space="0" w:color="auto"/>
            </w:tcBorders>
            <w:hideMark/>
          </w:tcPr>
          <w:p w14:paraId="30F3D628"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Positional</w:t>
            </w:r>
          </w:p>
          <w:p w14:paraId="156B7B53"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Candidate</w:t>
            </w:r>
          </w:p>
          <w:p w14:paraId="5766DADE"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Genes</w:t>
            </w:r>
          </w:p>
        </w:tc>
        <w:tc>
          <w:tcPr>
            <w:tcW w:w="466" w:type="pct"/>
            <w:tcBorders>
              <w:top w:val="single" w:sz="4" w:space="0" w:color="auto"/>
              <w:left w:val="single" w:sz="4" w:space="0" w:color="auto"/>
              <w:bottom w:val="single" w:sz="4" w:space="0" w:color="auto"/>
              <w:right w:val="single" w:sz="4" w:space="0" w:color="auto"/>
            </w:tcBorders>
            <w:hideMark/>
          </w:tcPr>
          <w:p w14:paraId="1FE76DF0"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Lead SNP</w:t>
            </w:r>
          </w:p>
          <w:p w14:paraId="0C714A43"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Location</w:t>
            </w:r>
          </w:p>
        </w:tc>
        <w:tc>
          <w:tcPr>
            <w:tcW w:w="1510" w:type="pct"/>
            <w:tcBorders>
              <w:top w:val="single" w:sz="4" w:space="0" w:color="auto"/>
              <w:left w:val="single" w:sz="4" w:space="0" w:color="auto"/>
              <w:bottom w:val="single" w:sz="4" w:space="0" w:color="auto"/>
              <w:right w:val="single" w:sz="4" w:space="0" w:color="auto"/>
            </w:tcBorders>
            <w:hideMark/>
          </w:tcPr>
          <w:p w14:paraId="713A970C"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Scientific Precedence [reference]; organism; trait</w:t>
            </w:r>
          </w:p>
        </w:tc>
      </w:tr>
      <w:tr w:rsidR="00DD24FA" w:rsidRPr="00267B98" w14:paraId="636369B5" w14:textId="77777777" w:rsidTr="00DD24FA">
        <w:trPr>
          <w:jc w:val="center"/>
        </w:trPr>
        <w:tc>
          <w:tcPr>
            <w:tcW w:w="501" w:type="pct"/>
            <w:tcBorders>
              <w:top w:val="single" w:sz="4" w:space="0" w:color="auto"/>
              <w:left w:val="single" w:sz="4" w:space="0" w:color="auto"/>
              <w:bottom w:val="single" w:sz="4" w:space="0" w:color="auto"/>
              <w:right w:val="single" w:sz="4" w:space="0" w:color="auto"/>
            </w:tcBorders>
            <w:hideMark/>
          </w:tcPr>
          <w:p w14:paraId="55F7B928" w14:textId="53E9140B" w:rsidR="001B22CD" w:rsidRPr="00DD24FA" w:rsidRDefault="001B22CD" w:rsidP="00267B98">
            <w:pPr>
              <w:spacing w:after="0" w:line="240" w:lineRule="auto"/>
              <w:contextualSpacing/>
              <w:jc w:val="center"/>
              <w:rPr>
                <w:rFonts w:ascii="Times New Roman" w:hAnsi="Times New Roman" w:cs="Times New Roman"/>
                <w:i/>
                <w:sz w:val="18"/>
                <w:szCs w:val="18"/>
                <w:vertAlign w:val="superscript"/>
              </w:rPr>
            </w:pPr>
            <w:r w:rsidRPr="00DD24FA">
              <w:rPr>
                <w:rFonts w:ascii="Times New Roman" w:hAnsi="Times New Roman" w:cs="Times New Roman"/>
                <w:i/>
                <w:sz w:val="18"/>
                <w:szCs w:val="18"/>
              </w:rPr>
              <w:t>12_33</w:t>
            </w:r>
            <w:r w:rsidR="00E13A86" w:rsidRPr="00DD24FA">
              <w:rPr>
                <w:rFonts w:ascii="Times New Roman" w:hAnsi="Times New Roman" w:cs="Times New Roman"/>
                <w:i/>
                <w:sz w:val="18"/>
                <w:szCs w:val="18"/>
                <w:vertAlign w:val="superscript"/>
              </w:rPr>
              <w:t>a</w:t>
            </w:r>
          </w:p>
        </w:tc>
        <w:tc>
          <w:tcPr>
            <w:tcW w:w="340" w:type="pct"/>
            <w:tcBorders>
              <w:top w:val="single" w:sz="4" w:space="0" w:color="auto"/>
              <w:left w:val="single" w:sz="4" w:space="0" w:color="auto"/>
              <w:bottom w:val="single" w:sz="4" w:space="0" w:color="auto"/>
              <w:right w:val="single" w:sz="4" w:space="0" w:color="auto"/>
            </w:tcBorders>
            <w:hideMark/>
          </w:tcPr>
          <w:p w14:paraId="1B871684"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5.717</w:t>
            </w:r>
          </w:p>
        </w:tc>
        <w:tc>
          <w:tcPr>
            <w:tcW w:w="563" w:type="pct"/>
            <w:tcBorders>
              <w:top w:val="single" w:sz="4" w:space="0" w:color="auto"/>
              <w:left w:val="single" w:sz="4" w:space="0" w:color="auto"/>
              <w:bottom w:val="single" w:sz="4" w:space="0" w:color="auto"/>
              <w:right w:val="single" w:sz="4" w:space="0" w:color="auto"/>
            </w:tcBorders>
            <w:hideMark/>
          </w:tcPr>
          <w:p w14:paraId="28777768"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3.409</w:t>
            </w:r>
          </w:p>
        </w:tc>
        <w:tc>
          <w:tcPr>
            <w:tcW w:w="328" w:type="pct"/>
            <w:tcBorders>
              <w:top w:val="single" w:sz="4" w:space="0" w:color="auto"/>
              <w:left w:val="single" w:sz="4" w:space="0" w:color="auto"/>
              <w:bottom w:val="single" w:sz="4" w:space="0" w:color="auto"/>
              <w:right w:val="single" w:sz="4" w:space="0" w:color="auto"/>
            </w:tcBorders>
            <w:hideMark/>
          </w:tcPr>
          <w:p w14:paraId="0A2CA621"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0.068</w:t>
            </w:r>
          </w:p>
        </w:tc>
        <w:tc>
          <w:tcPr>
            <w:tcW w:w="570" w:type="pct"/>
            <w:tcBorders>
              <w:top w:val="single" w:sz="4" w:space="0" w:color="auto"/>
              <w:left w:val="single" w:sz="4" w:space="0" w:color="auto"/>
              <w:bottom w:val="single" w:sz="4" w:space="0" w:color="auto"/>
              <w:right w:val="single" w:sz="4" w:space="0" w:color="auto"/>
            </w:tcBorders>
            <w:hideMark/>
          </w:tcPr>
          <w:p w14:paraId="6DEDEF31"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w:t>
            </w:r>
          </w:p>
        </w:tc>
        <w:tc>
          <w:tcPr>
            <w:tcW w:w="722" w:type="pct"/>
            <w:tcBorders>
              <w:top w:val="single" w:sz="4" w:space="0" w:color="auto"/>
              <w:left w:val="single" w:sz="4" w:space="0" w:color="auto"/>
              <w:bottom w:val="single" w:sz="4" w:space="0" w:color="auto"/>
              <w:right w:val="single" w:sz="4" w:space="0" w:color="auto"/>
            </w:tcBorders>
            <w:hideMark/>
          </w:tcPr>
          <w:p w14:paraId="5BFE1546" w14:textId="77777777" w:rsidR="001B22CD" w:rsidRPr="00DD24FA" w:rsidRDefault="001B22CD" w:rsidP="00267B98">
            <w:pPr>
              <w:spacing w:after="0" w:line="240" w:lineRule="auto"/>
              <w:contextualSpacing/>
              <w:jc w:val="center"/>
              <w:rPr>
                <w:rFonts w:ascii="Times New Roman" w:hAnsi="Times New Roman" w:cs="Times New Roman"/>
                <w:i/>
                <w:color w:val="000000"/>
                <w:sz w:val="18"/>
                <w:szCs w:val="18"/>
              </w:rPr>
            </w:pPr>
            <w:r w:rsidRPr="00DD24FA">
              <w:rPr>
                <w:rFonts w:ascii="Times New Roman" w:hAnsi="Times New Roman" w:cs="Times New Roman"/>
                <w:i/>
                <w:color w:val="000000"/>
                <w:sz w:val="18"/>
                <w:szCs w:val="18"/>
              </w:rPr>
              <w:t>LOC536660</w:t>
            </w:r>
          </w:p>
        </w:tc>
        <w:tc>
          <w:tcPr>
            <w:tcW w:w="466" w:type="pct"/>
            <w:tcBorders>
              <w:top w:val="single" w:sz="4" w:space="0" w:color="auto"/>
              <w:left w:val="single" w:sz="4" w:space="0" w:color="auto"/>
              <w:bottom w:val="single" w:sz="4" w:space="0" w:color="auto"/>
              <w:right w:val="single" w:sz="4" w:space="0" w:color="auto"/>
            </w:tcBorders>
            <w:hideMark/>
          </w:tcPr>
          <w:p w14:paraId="3D82FC9D"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Intron</w:t>
            </w:r>
          </w:p>
        </w:tc>
        <w:tc>
          <w:tcPr>
            <w:tcW w:w="1510" w:type="pct"/>
            <w:tcBorders>
              <w:top w:val="single" w:sz="4" w:space="0" w:color="auto"/>
              <w:left w:val="single" w:sz="4" w:space="0" w:color="auto"/>
              <w:bottom w:val="single" w:sz="4" w:space="0" w:color="auto"/>
              <w:right w:val="single" w:sz="4" w:space="0" w:color="auto"/>
            </w:tcBorders>
            <w:hideMark/>
          </w:tcPr>
          <w:p w14:paraId="6521F93C" w14:textId="1BA83E78"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736431" w:rsidRPr="00DD24FA">
              <w:rPr>
                <w:rFonts w:ascii="Times New Roman" w:hAnsi="Times New Roman" w:cs="Times New Roman"/>
                <w:sz w:val="18"/>
                <w:szCs w:val="18"/>
              </w:rPr>
              <w:instrText>ADDIN CSL_CITATION {"citationItems":[{"id":"ITEM-1","itemData":{"DOI":"10.1111/jbg.12438","ISSN":"0931-2668","abstract":"Selection for bulls that would reach puberty early reduces the generation interval and increases fertility and herd productivity. Despite its economic importance, there are few QTL associated with age at puberty described in the literature. In this study, a weighted single-step genome-wide association study was performed to detect genomic regions and putative candidate genes related to age at puberty in young Nelore bulls. Several protein-coding genes related to spermatogenesis functions were identified within the genomic regions that explain more than 0.5% of the additive genetic variance for age at puberty in Nelore bulls, such as ADAM11, BRCA1, CSNK2A, CREBBP, MEIOC, NDRG2, NECTIN3, PARP2, PARP9, PRSS21, RAD51C, RNASE4, SLX4, SPA17, TEX14, TIMP2 and TRIP13 gene. Enrichment analysis by DAVID also revealed several GO terms related to spermatogenesis such as DNA replication (GO:0006260), male meiosis I (GO:0007141), double-strand break repair (GO:0006302), base excision repair (GO:0006284), apoptotic process (GO:0006915), cell–cell adhesion (GO: 0098609) and focal adhesion (GO:0005925). The heritability for age at puberty shows that this trait can be improved based on traditional EBV selection. Adding genomic information to the system helps to elucidate genes and molecular mechanisms controlling the sexual precocity and could help to predict sexual precocity in Nelore bulls with greater accuracy at younger age, which would speed up the breeding programme for this breed.","author":[{"dropping-particle":"","family":"Stafuzza","given":"Nedenia Bonvino","non-dropping-particle":"","parse-names":false,"suffix":""},{"dropping-particle":"da","family":"Costa e Silva","given":"Eliane Vianna","non-dropping-particle":"","parse-names":false,"suffix":""},{"dropping-particle":"","family":"Silva","given":"Rafael Medeiros de Oliveira","non-dropping-particle":"","parse-names":false,"suffix":""},{"dropping-particle":"da","family":"Costa Filho","given":"Luiz Carlos Cesar","non-dropping-particle":"","parse-names":false,"suffix":""},{"dropping-particle":"","family":"Barbosa","given":"Fernanda Battistotti","non-dropping-particle":"","parse-names":false,"suffix":""},{"dropping-particle":"","family":"Macedo","given":"Gustavo Guerino","non-dropping-particle":"","parse-names":false,"suffix":""},{"dropping-particle":"","family":"Lobo","given":"Raysildo B.","non-dropping-particle":"","parse-names":false,"suffix":""},{"dropping-particle":"","family":"Baldi","given":"Fernando","non-dropping-particle":"","parse-names":false,"suffix":""}],"container-title":"Journal of Animal Breeding and Genetics","id":"ITEM-1","issue":"2","issued":{"date-parts":[["2020","3","12"]]},"page":"234-244","publisher":"Blackwell Publishing Ltd","title":"Genome‐wide association study for age at puberty in young Nelore bulls","type":"article-journal","volume":"137"},"uris":["http://www.mendeley.com/documents/?uuid=ea1d4f0a-6ebd-36b0-a63f-d633d41bef1e"]},{"id":"ITEM-2","itemData":{"DOI":"10.1186/1471-2156-13-21","ISSN":"14712156","PMID":"22449276","abstract":"Background: Contemporary dairy breeding goals have broadened to include, along with milk production traits, a number of non-production-related traits in an effort to improve the overall functionality of the dairy cow. Increased indirect selection for resistance to mastitis, one of the most important production-related diseases in the dairy sector, via selection for reduced somatic cell count has been part of these broadened goals. A number of genome-wide association studies have identified genetic variants associated with milk production traits and mastitis resistance, however the majority of these studies have been based on animals which were predominantly kept in confinement and fed a concentrate-based diet (i.e. high-input production systems). This genome-wide association study aims to detect associations using genotypic and phenotypic data from Irish Holstein-Friesian cattle fed predominantly grazed grass in a pasture-based production system (low-input).Results: Significant associations were detected for milk yield, fat yield, protein yield, fat percentage, protein percentage and somatic cell score using separate single-locus, frequentist and multi-locus, Bayesian approaches. These associations were detected using two separate populations of Holstein-Friesian sires and cows. In total, 1,529 and 37 associations were detected in the sires using a single SNP regression and a Bayesian method, respectively. There were 103 associations in common between the sires and cows across all the traits. As well as detecting associations within known QTL regions, a number of novel associations were detected; the most notable of these was a region of chromosome 13 associated with milk yield in the population of Holstein-Friesian sires.Conclusions: A total of 276 of novel SNPs were detected in the sires using a single SNP regression approach. Although obvious candidate genes may not be initially forthcoming, this study provides a preliminary framework upon which to identify the causal mechanisms underlying the various milk production traits and somatic cell score. Consequently this will deepen our understanding of how these traits are expressed. © 2012 Meredith et al; licensee BioMed Central Ltd.","author":[{"dropping-particle":"","family":"Meredith","given":"Brian K.","non-dropping-particle":"","parse-names":false,"suffix":""},{"dropping-particle":"","family":"Kearney","given":"Francis J.","non-dropping-particle":"","parse-names":false,"suffix":""},{"dropping-particle":"","family":"Finlay","given":"Emma K.","non-dropping-particle":"","parse-names":false,"suffix":""},{"dropping-particle":"","family":"Bradley","given":"Daniel G.","non-dropping-particle":"","parse-names":false,"suffix":""},{"dropping-particle":"","family":"Fahey","given":"Alan G.","non-dropping-particle":"","parse-names":false,"suffix":""},{"dropping-particle":"","family":"Berry","given":"Donagh P.","non-dropping-particle":"","parse-names":false,"suffix":""},{"dropping-particle":"","family":"Lynn","given":"David J.","non-dropping-particle":"","parse-names":false,"suffix":""}],"container-title":"BMC Genetics","id":"ITEM-2","issue":"1","issued":{"date-parts":[["2012","3","26"]]},"page":"21","publisher":"BioMed Central","title":"Genome-wide associations for milk production and somatic cell score in Holstein-Friesian cattle in Ireland","type":"article-journal","volume":"13"},"uris":["http://www.mendeley.com/documents/?uuid=120c3a2d-4807-3f2e-b4ba-7fbf90b7964d"]},{"id":"ITEM-3","itemData":{"DOI":"10.1186/1471-2164-15-442","ISSN":"14712164","abstract":"Background: The availability of high-density SNP assays including the BovineSNP50 (50 K) enables the identification of novel quantitative trait loci (QTL) and improvement of the resolution of the locations of previously mapped QTL. We performed a series of genome-wide association studies (GWAS) using 50 K genotypes scored in 18,274 animals from 10 US beef cattle breeds with observations for twelve body weights, calving ease and carcass traits.Results: A total of 159 large-effects QTL (defined as 1-Mb genome windows explaining more than 1% of additive genetic variance) were identified. In general, more QTL were identified in analyses with bigger sample sizes. Four large-effect pleiotropic or closely linked QTLs located on BTA6 at 37-42 Mb (primarily at 38 Mb), on BTA7 at 93 Mb, on BTA14 at 23-26 Mb (primarily at 25 Mb) and on BTA20 at 4 Mb were identified in more than one breed. Several breed-specific large-effect pleiotropic or closely linked QTL were also identified. Some identified QTL regions harbor genes known to have large effects on a variety of traits in cattle such as PLAG1 and MSTN and others harbor promising candidate genes including NCAPG, ARRDC3, ERGIC1, SH3PXD2B, HMGA2, MSRB3, LEMD3, TIGAR, SEPT7, and KIRREL3. Gene ontology analysis revealed that genes involved in ossification and in adipose tissue development were over-represented in the identified pleiotropic QTL. Also, the MAPK signaling pathway was identified as a common pathway affected by the genes located near the pleiotropic QTL.Conclusions: This largest GWAS ever performed in beef cattle, led us to discover several novel across-breed and breed-specific large-effect pleiotropic QTL that cumulatively account for a significant percentage of additive genetic variance (e.g. more than a third of additive genetic variance of birth and mature weights; and calving ease direct in Hereford). These results will improve our understanding of the biology of growth and body composition in cattle. © 2014 Saatchi et al.; licensee BioMed Central Ltd.","author":[{"dropping-particle":"","family":"Saatchi","given":"Mahdi","non-dropping-particle":"","parse-names":false,"suffix":""},{"dropping-particle":"","family":"Schnabel","given":"Robert D.","non-dropping-particle":"","parse-names":false,"suffix":""},{"dropping-particle":"","family":"Taylor","given":"Jeremy F.","non-dropping-particle":"","parse-names":false,"suffix":""},{"dropping-particle":"","family":"Garrick","given":"Dorian J.","non-dropping-particle":"","parse-names":false,"suffix":""}],"container-title":"BMC Genomics","id":"ITEM-3","issue":"1","issued":{"date-parts":[["2014","6","6"]]},"publisher":"BioMed Central Ltd.","title":"Large-effect pleiotropic or closely linked QTL segregate within and across ten US cattle breeds","type":"article-journal","volume":"15"},"uris":["http://www.mendeley.com/documents/?uuid=56d0e91b-25fa-3cba-8839-4943cef581f2"]}],"mendeley":{"formattedCitation":"[1, 7, 23]","plainTextFormattedCitation":"[1, 7, 23]","previouslyFormattedCitation":"[1, 7, 23]"},"properties":{"noteIndex":0},"schema":"https://github.com/citation-style-language/schema/raw/master/csl-citation.json"}</w:instrText>
            </w:r>
            <w:r w:rsidRPr="00DD24FA">
              <w:rPr>
                <w:rFonts w:ascii="Times New Roman" w:hAnsi="Times New Roman" w:cs="Times New Roman"/>
                <w:sz w:val="18"/>
                <w:szCs w:val="18"/>
              </w:rPr>
              <w:fldChar w:fldCharType="separate"/>
            </w:r>
            <w:r w:rsidR="00736431" w:rsidRPr="00DD24FA">
              <w:rPr>
                <w:rFonts w:ascii="Times New Roman" w:hAnsi="Times New Roman" w:cs="Times New Roman"/>
                <w:noProof/>
                <w:sz w:val="18"/>
                <w:szCs w:val="18"/>
              </w:rPr>
              <w:t>[1, 7, 23]</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Age of puberty, protein yield, carcass weight, calf survival</w:t>
            </w:r>
          </w:p>
        </w:tc>
      </w:tr>
      <w:tr w:rsidR="00DD24FA" w:rsidRPr="00267B98" w14:paraId="0125EAFA" w14:textId="77777777" w:rsidTr="00DD24FA">
        <w:trPr>
          <w:jc w:val="center"/>
        </w:trPr>
        <w:tc>
          <w:tcPr>
            <w:tcW w:w="501" w:type="pct"/>
            <w:tcBorders>
              <w:top w:val="single" w:sz="4" w:space="0" w:color="auto"/>
              <w:left w:val="single" w:sz="4" w:space="0" w:color="auto"/>
              <w:bottom w:val="single" w:sz="4" w:space="0" w:color="auto"/>
              <w:right w:val="single" w:sz="4" w:space="0" w:color="auto"/>
            </w:tcBorders>
            <w:hideMark/>
          </w:tcPr>
          <w:p w14:paraId="77DB28B5" w14:textId="7A76DEBC" w:rsidR="001B22CD" w:rsidRPr="00DD24FA" w:rsidRDefault="001B22CD"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22_10</w:t>
            </w:r>
            <w:r w:rsidR="00E13A86" w:rsidRPr="00DD24FA">
              <w:rPr>
                <w:rFonts w:ascii="Times New Roman" w:hAnsi="Times New Roman" w:cs="Times New Roman"/>
                <w:i/>
                <w:sz w:val="18"/>
                <w:szCs w:val="18"/>
                <w:vertAlign w:val="superscript"/>
              </w:rPr>
              <w:t>b</w:t>
            </w:r>
          </w:p>
        </w:tc>
        <w:tc>
          <w:tcPr>
            <w:tcW w:w="340" w:type="pct"/>
            <w:tcBorders>
              <w:top w:val="single" w:sz="4" w:space="0" w:color="auto"/>
              <w:left w:val="single" w:sz="4" w:space="0" w:color="auto"/>
              <w:bottom w:val="single" w:sz="4" w:space="0" w:color="auto"/>
              <w:right w:val="single" w:sz="4" w:space="0" w:color="auto"/>
            </w:tcBorders>
            <w:hideMark/>
          </w:tcPr>
          <w:p w14:paraId="2DB58D6F"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5.610</w:t>
            </w:r>
          </w:p>
        </w:tc>
        <w:tc>
          <w:tcPr>
            <w:tcW w:w="563" w:type="pct"/>
            <w:tcBorders>
              <w:top w:val="single" w:sz="4" w:space="0" w:color="auto"/>
              <w:left w:val="single" w:sz="4" w:space="0" w:color="auto"/>
              <w:bottom w:val="single" w:sz="4" w:space="0" w:color="auto"/>
              <w:right w:val="single" w:sz="4" w:space="0" w:color="auto"/>
            </w:tcBorders>
            <w:hideMark/>
          </w:tcPr>
          <w:p w14:paraId="28FFA189"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2.694</w:t>
            </w:r>
          </w:p>
        </w:tc>
        <w:tc>
          <w:tcPr>
            <w:tcW w:w="328" w:type="pct"/>
            <w:tcBorders>
              <w:top w:val="single" w:sz="4" w:space="0" w:color="auto"/>
              <w:left w:val="single" w:sz="4" w:space="0" w:color="auto"/>
              <w:bottom w:val="single" w:sz="4" w:space="0" w:color="auto"/>
              <w:right w:val="single" w:sz="4" w:space="0" w:color="auto"/>
            </w:tcBorders>
            <w:hideMark/>
          </w:tcPr>
          <w:p w14:paraId="71E4BFCF"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0.089</w:t>
            </w:r>
          </w:p>
        </w:tc>
        <w:tc>
          <w:tcPr>
            <w:tcW w:w="570" w:type="pct"/>
            <w:tcBorders>
              <w:top w:val="single" w:sz="4" w:space="0" w:color="auto"/>
              <w:left w:val="single" w:sz="4" w:space="0" w:color="auto"/>
              <w:bottom w:val="single" w:sz="4" w:space="0" w:color="auto"/>
              <w:right w:val="single" w:sz="4" w:space="0" w:color="auto"/>
            </w:tcBorders>
            <w:hideMark/>
          </w:tcPr>
          <w:p w14:paraId="6F9F6D7E"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4</w:t>
            </w:r>
          </w:p>
        </w:tc>
        <w:tc>
          <w:tcPr>
            <w:tcW w:w="722" w:type="pct"/>
            <w:tcBorders>
              <w:top w:val="single" w:sz="4" w:space="0" w:color="auto"/>
              <w:left w:val="single" w:sz="4" w:space="0" w:color="auto"/>
              <w:bottom w:val="single" w:sz="4" w:space="0" w:color="auto"/>
              <w:right w:val="single" w:sz="4" w:space="0" w:color="auto"/>
            </w:tcBorders>
            <w:hideMark/>
          </w:tcPr>
          <w:p w14:paraId="5238805F" w14:textId="77777777" w:rsidR="001B22CD" w:rsidRPr="00DD24FA" w:rsidRDefault="001B22CD" w:rsidP="00267B98">
            <w:pPr>
              <w:spacing w:after="0" w:line="240" w:lineRule="auto"/>
              <w:contextualSpacing/>
              <w:jc w:val="center"/>
              <w:rPr>
                <w:rFonts w:ascii="Times New Roman" w:hAnsi="Times New Roman" w:cs="Times New Roman"/>
                <w:i/>
                <w:color w:val="000000"/>
                <w:sz w:val="18"/>
                <w:szCs w:val="18"/>
              </w:rPr>
            </w:pPr>
            <w:r w:rsidRPr="00DD24FA">
              <w:rPr>
                <w:rFonts w:ascii="Times New Roman" w:hAnsi="Times New Roman" w:cs="Times New Roman"/>
                <w:i/>
                <w:color w:val="000000"/>
                <w:sz w:val="18"/>
                <w:szCs w:val="18"/>
              </w:rPr>
              <w:t>MIR128-2, LOC104975489</w:t>
            </w:r>
          </w:p>
        </w:tc>
        <w:tc>
          <w:tcPr>
            <w:tcW w:w="466" w:type="pct"/>
            <w:tcBorders>
              <w:top w:val="single" w:sz="4" w:space="0" w:color="auto"/>
              <w:left w:val="single" w:sz="4" w:space="0" w:color="auto"/>
              <w:bottom w:val="single" w:sz="4" w:space="0" w:color="auto"/>
              <w:right w:val="single" w:sz="4" w:space="0" w:color="auto"/>
            </w:tcBorders>
            <w:hideMark/>
          </w:tcPr>
          <w:p w14:paraId="5CA19141"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Intergenic</w:t>
            </w:r>
          </w:p>
        </w:tc>
        <w:tc>
          <w:tcPr>
            <w:tcW w:w="1510" w:type="pct"/>
            <w:tcBorders>
              <w:top w:val="single" w:sz="4" w:space="0" w:color="auto"/>
              <w:left w:val="single" w:sz="4" w:space="0" w:color="auto"/>
              <w:bottom w:val="single" w:sz="4" w:space="0" w:color="auto"/>
              <w:right w:val="single" w:sz="4" w:space="0" w:color="auto"/>
            </w:tcBorders>
            <w:hideMark/>
          </w:tcPr>
          <w:p w14:paraId="3D4E5529" w14:textId="6E15D0D6"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165E9E" w:rsidRPr="00DD24FA">
              <w:rPr>
                <w:rFonts w:ascii="Times New Roman" w:hAnsi="Times New Roman" w:cs="Times New Roman"/>
                <w:sz w:val="18"/>
                <w:szCs w:val="18"/>
              </w:rPr>
              <w:instrText>ADDIN CSL_CITATION {"citationItems":[{"id":"ITEM-1","itemData":{"DOI":"10.1186/1471-2156-13-21","ISSN":"14712156","PMID":"22449276","abstract":"Background: Contemporary dairy breeding goals have broadened to include, along with milk production traits, a number of non-production-related traits in an effort to improve the overall functionality of the dairy cow. Increased indirect selection for resistance to mastitis, one of the most important production-related diseases in the dairy sector, via selection for reduced somatic cell count has been part of these broadened goals. A number of genome-wide association studies have identified genetic variants associated with milk production traits and mastitis resistance, however the majority of these studies have been based on animals which were predominantly kept in confinement and fed a concentrate-based diet (i.e. high-input production systems). This genome-wide association study aims to detect associations using genotypic and phenotypic data from Irish Holstein-Friesian cattle fed predominantly grazed grass in a pasture-based production system (low-input).Results: Significant associations were detected for milk yield, fat yield, protein yield, fat percentage, protein percentage and somatic cell score using separate single-locus, frequentist and multi-locus, Bayesian approaches. These associations were detected using two separate populations of Holstein-Friesian sires and cows. In total, 1,529 and 37 associations were detected in the sires using a single SNP regression and a Bayesian method, respectively. There were 103 associations in common between the sires and cows across all the traits. As well as detecting associations within known QTL regions, a number of novel associations were detected; the most notable of these was a region of chromosome 13 associated with milk yield in the population of Holstein-Friesian sires.Conclusions: A total of 276 of novel SNPs were detected in the sires using a single SNP regression approach. Although obvious candidate genes may not be initially forthcoming, this study provides a preliminary framework upon which to identify the causal mechanisms underlying the various milk production traits and somatic cell score. Consequently this will deepen our understanding of how these traits are expressed. © 2012 Meredith et al; licensee BioMed Central Ltd.","author":[{"dropping-particle":"","family":"Meredith","given":"Brian K.","non-dropping-particle":"","parse-names":false,"suffix":""},{"dropping-particle":"","family":"Kearney","given":"Francis J.","non-dropping-particle":"","parse-names":false,"suffix":""},{"dropping-particle":"","family":"Finlay","given":"Emma K.","non-dropping-particle":"","parse-names":false,"suffix":""},{"dropping-particle":"","family":"Bradley","given":"Daniel G.","non-dropping-particle":"","parse-names":false,"suffix":""},{"dropping-particle":"","family":"Fahey","given":"Alan G.","non-dropping-particle":"","parse-names":false,"suffix":""},{"dropping-particle":"","family":"Berry","given":"Donagh P.","non-dropping-particle":"","parse-names":false,"suffix":""},{"dropping-particle":"","family":"Lynn","given":"David J.","non-dropping-particle":"","parse-names":false,"suffix":""}],"container-title":"BMC Genetics","id":"ITEM-1","issue":"1","issued":{"date-parts":[["2012","3","26"]]},"page":"21","publisher":"BioMed Central","title":"Genome-wide associations for milk production and somatic cell score in Holstein-Friesian cattle in Ireland","type":"article-journal","volume":"13"},"uris":["http://www.mendeley.com/documents/?uuid=120c3a2d-4807-3f2e-b4ba-7fbf90b7964d"]},{"id":"ITEM-2","itemData":{"DOI":"10.1007/s00484-013-0773-5","ISSN":"00207128","PMID":"24362770","abstract":"Cattle are reared in diverse environments and collecting phenotypic body temperature (BT) measurements to characterize BT variation across diverse environments is difficult and expensive. To better understand the genetic basis of BT regulation, a genome-wide association study was conducted utilizing crossbred steers and heifers totaling 239 animals of unknown pedigree and breed fraction. During predicted extreme heat and cold stress events, hourly tympanic and vaginal BT devices were placed in steers and heifers, respectively. Individuals were genotyped with the BovineSNP50K_v2 assay and data analyzed using Bayesian models for area under the curve (AUC), a measure of BT over time, using hourly BT observations summed across 5-days (AUC summer 5-day (AUCS5D) and AUC winter 5-day (AUCW5D)). Posterior heritability estimates were moderate to high and were estimated to be 0.68 and 0.21 for AUCS5D and AUCW5D, respectively. Moderately positive correlations between direct genomic values for AUCS5D and AUCW5D (0.40) were found, although a small percentage of the top 5 % 1-Mb windows were in common. Different sets of genes were associated with BT during winter and summer, thus simultaneous selection for animals tolerant to both heat and cold appears possible. © 2013 ISB.","author":[{"dropping-particle":"","family":"Howard","given":"Jeremy T.","non-dropping-particle":"","parse-names":false,"suffix":""},{"dropping-particle":"","family":"Kachman","given":"Stephen D.","non-dropping-particle":"","parse-names":false,"suffix":""},{"dropping-particle":"","family":"Snelling","given":"Warren M.","non-dropping-particle":"","parse-names":false,"suffix":""},{"dropping-particle":"","family":"Pollak","given":"E. John","non-dropping-particle":"","parse-names":false,"suffix":""},{"dropping-particle":"","family":"Ciobanu","given":"Daniel C.","non-dropping-particle":"","parse-names":false,"suffix":""},{"dropping-particle":"","family":"Kuehn","given":"Larry A.","non-dropping-particle":"","parse-names":false,"suffix":""},{"dropping-particle":"","family":"Spangler","given":"Matthew L.","non-dropping-particle":"","parse-names":false,"suffix":""}],"container-title":"International Journal of Biometeorology","id":"ITEM-2","issue":"7","issued":{"date-parts":[["2014"]]},"page":"1665-1672","publisher":"Springer New York LLC","title":"Beef cattle body temperature during climatic stress: A genome-wide association study","type":"article-journal","volume":"58"},"uris":["http://www.mendeley.com/documents/?uuid=16fa06e0-996e-3178-b30e-2f30b0466ab1"]},{"id":"ITEM-3","itemData":{"DOI":"10.7554/eLife.04263","ISSN":"2050084X","PMID":"25556700","abstract":"miR-128, a brain-enriched microRNA, has been implicated in the control of neurogenesis and synaptogenesis but its potential roles in intervening processes have not been addressed. We show that post-transcriptional mechanisms restrict miR-128 accumulation to post-mitotic neurons during mouse corticogenesis and in adult stem cell niches. Whereas premature miR-128 expression in progenitors for upper layer neurons leads to impaired neuronal migration and inappropriate branching, sponge-mediated inhibition results in overmigration. Within the upper layers, premature miR-128 expression reduces the complexity of dendritic arborization, associated with altered electrophysiological properties. We show that Phf6, a gene mutated in the cognitive disorder Börjeson-Forssman-Lehmann syndrome, is an important regulatory target for miR-128. Restoring PHF6 expression counteracts the deleterious effect of miR-128 on neuronal migration, outgrowth and intrinsic physiological properties. Our results place miR-128 upstream of PHF6 in a pathway vital for cortical lamination as well as for the development of neuronal morphology and intrinsic excitability.","author":[{"dropping-particle":"","family":"Franzoni","given":"Eleonora","non-dropping-particle":"","parse-names":false,"suffix":""},{"dropping-particle":"","family":"Booker","given":"Sam A.","non-dropping-particle":"","parse-names":false,"suffix":""},{"dropping-particle":"","family":"Parthasarathy","given":"Srinivas","non-dropping-particle":"","parse-names":false,"suffix":""},{"dropping-particle":"","family":"Rehfeld","given":"Frederick","non-dropping-particle":"","parse-names":false,"suffix":""},{"dropping-particle":"","family":"Grosser","given":"Sabine","non-dropping-particle":"","parse-names":false,"suffix":""},{"dropping-particle":"","family":"Srivatsa","given":"Swathi","non-dropping-particle":"","parse-names":false,"suffix":""},{"dropping-particle":"","family":"Fuchs","given":"Heiko","non-dropping-particle":"","parse-names":false,"suffix":""},{"dropping-particle":"","family":"Tarabykin","given":"Victor","non-dropping-particle":"","parse-names":false,"suffix":""},{"dropping-particle":"","family":"Vida","given":"Imre","non-dropping-particle":"","parse-names":false,"suffix":""},{"dropping-particle":"","family":"Wulczyn","given":"F. Gregory","non-dropping-particle":"","parse-names":false,"suffix":""}],"container-title":"eLife","id":"ITEM-3","issued":{"date-parts":[["2015","1","3"]]},"publisher":"eLife Sciences Publications Ltd","title":"miR-128 regulates neuronal migration, outgrowth and intrinsic excitability via the intellectual disability gene Phf6","type":"article-journal","volume":"4"},"uris":["http://www.mendeley.com/documents/?uuid=0574c845-3a9a-372c-8a68-ddeefd8c86c5"]}],"mendeley":{"formattedCitation":"[7, 24, 25]","plainTextFormattedCitation":"[7, 24, 25]","previouslyFormattedCitation":"[7, 24, 25]"},"properties":{"noteIndex":0},"schema":"https://github.com/citation-style-language/schema/raw/master/csl-citation.json"}</w:instrText>
            </w:r>
            <w:r w:rsidRPr="00DD24FA">
              <w:rPr>
                <w:rFonts w:ascii="Times New Roman" w:hAnsi="Times New Roman" w:cs="Times New Roman"/>
                <w:sz w:val="18"/>
                <w:szCs w:val="18"/>
              </w:rPr>
              <w:fldChar w:fldCharType="separate"/>
            </w:r>
            <w:r w:rsidR="00736431" w:rsidRPr="00DD24FA">
              <w:rPr>
                <w:rFonts w:ascii="Times New Roman" w:hAnsi="Times New Roman" w:cs="Times New Roman"/>
                <w:noProof/>
                <w:sz w:val="18"/>
                <w:szCs w:val="18"/>
              </w:rPr>
              <w:t>[7, 24, 25]</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mouse; Conception rate, milk and protein yields, body temperature under climatic stress, brain and nervous system development and maintenance of function, brain aging and neurodegeneration processes</w:t>
            </w:r>
          </w:p>
        </w:tc>
      </w:tr>
      <w:tr w:rsidR="00DD24FA" w:rsidRPr="00267B98" w14:paraId="2C10190B" w14:textId="77777777" w:rsidTr="00DD24FA">
        <w:trPr>
          <w:jc w:val="center"/>
        </w:trPr>
        <w:tc>
          <w:tcPr>
            <w:tcW w:w="501" w:type="pct"/>
            <w:tcBorders>
              <w:top w:val="single" w:sz="4" w:space="0" w:color="auto"/>
              <w:left w:val="single" w:sz="4" w:space="0" w:color="auto"/>
              <w:bottom w:val="single" w:sz="4" w:space="0" w:color="auto"/>
              <w:right w:val="single" w:sz="4" w:space="0" w:color="auto"/>
            </w:tcBorders>
            <w:hideMark/>
          </w:tcPr>
          <w:p w14:paraId="26B42D92" w14:textId="20D74A40" w:rsidR="001B22CD" w:rsidRPr="00DD24FA" w:rsidRDefault="001B22CD" w:rsidP="00267B98">
            <w:pPr>
              <w:spacing w:after="0" w:line="240" w:lineRule="auto"/>
              <w:contextualSpacing/>
              <w:jc w:val="center"/>
              <w:rPr>
                <w:rFonts w:ascii="Times New Roman" w:hAnsi="Times New Roman" w:cs="Times New Roman"/>
                <w:i/>
                <w:sz w:val="18"/>
                <w:szCs w:val="18"/>
                <w:vertAlign w:val="superscript"/>
              </w:rPr>
            </w:pPr>
            <w:r w:rsidRPr="00DD24FA">
              <w:rPr>
                <w:rFonts w:ascii="Times New Roman" w:hAnsi="Times New Roman" w:cs="Times New Roman"/>
                <w:i/>
                <w:sz w:val="18"/>
                <w:szCs w:val="18"/>
              </w:rPr>
              <w:t>2_45</w:t>
            </w:r>
            <w:r w:rsidR="00E13A86" w:rsidRPr="00DD24FA">
              <w:rPr>
                <w:rFonts w:ascii="Times New Roman" w:hAnsi="Times New Roman" w:cs="Times New Roman"/>
                <w:i/>
                <w:sz w:val="18"/>
                <w:szCs w:val="18"/>
                <w:vertAlign w:val="superscript"/>
              </w:rPr>
              <w:t>c</w:t>
            </w:r>
          </w:p>
        </w:tc>
        <w:tc>
          <w:tcPr>
            <w:tcW w:w="340" w:type="pct"/>
            <w:tcBorders>
              <w:top w:val="single" w:sz="4" w:space="0" w:color="auto"/>
              <w:left w:val="single" w:sz="4" w:space="0" w:color="auto"/>
              <w:bottom w:val="single" w:sz="4" w:space="0" w:color="auto"/>
              <w:right w:val="single" w:sz="4" w:space="0" w:color="auto"/>
            </w:tcBorders>
            <w:hideMark/>
          </w:tcPr>
          <w:p w14:paraId="69450F15"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5.258</w:t>
            </w:r>
          </w:p>
        </w:tc>
        <w:tc>
          <w:tcPr>
            <w:tcW w:w="563" w:type="pct"/>
            <w:tcBorders>
              <w:top w:val="single" w:sz="4" w:space="0" w:color="auto"/>
              <w:left w:val="single" w:sz="4" w:space="0" w:color="auto"/>
              <w:bottom w:val="single" w:sz="4" w:space="0" w:color="auto"/>
              <w:right w:val="single" w:sz="4" w:space="0" w:color="auto"/>
            </w:tcBorders>
            <w:hideMark/>
          </w:tcPr>
          <w:p w14:paraId="19608431"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-2.305</w:t>
            </w:r>
          </w:p>
        </w:tc>
        <w:tc>
          <w:tcPr>
            <w:tcW w:w="328" w:type="pct"/>
            <w:tcBorders>
              <w:top w:val="single" w:sz="4" w:space="0" w:color="auto"/>
              <w:left w:val="single" w:sz="4" w:space="0" w:color="auto"/>
              <w:bottom w:val="single" w:sz="4" w:space="0" w:color="auto"/>
              <w:right w:val="single" w:sz="4" w:space="0" w:color="auto"/>
            </w:tcBorders>
            <w:hideMark/>
          </w:tcPr>
          <w:p w14:paraId="26BC08A5"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0.290</w:t>
            </w:r>
          </w:p>
        </w:tc>
        <w:tc>
          <w:tcPr>
            <w:tcW w:w="570" w:type="pct"/>
            <w:tcBorders>
              <w:top w:val="single" w:sz="4" w:space="0" w:color="auto"/>
              <w:left w:val="single" w:sz="4" w:space="0" w:color="auto"/>
              <w:bottom w:val="single" w:sz="4" w:space="0" w:color="auto"/>
              <w:right w:val="single" w:sz="4" w:space="0" w:color="auto"/>
            </w:tcBorders>
            <w:hideMark/>
          </w:tcPr>
          <w:p w14:paraId="16A4684D"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4</w:t>
            </w:r>
          </w:p>
        </w:tc>
        <w:tc>
          <w:tcPr>
            <w:tcW w:w="722" w:type="pct"/>
            <w:tcBorders>
              <w:top w:val="single" w:sz="4" w:space="0" w:color="auto"/>
              <w:left w:val="single" w:sz="4" w:space="0" w:color="auto"/>
              <w:bottom w:val="single" w:sz="4" w:space="0" w:color="auto"/>
              <w:right w:val="single" w:sz="4" w:space="0" w:color="auto"/>
            </w:tcBorders>
            <w:hideMark/>
          </w:tcPr>
          <w:p w14:paraId="3C421AF4" w14:textId="77777777" w:rsidR="001B22CD" w:rsidRPr="00DD24FA" w:rsidRDefault="001B22CD" w:rsidP="00267B98">
            <w:pPr>
              <w:spacing w:after="0" w:line="240" w:lineRule="auto"/>
              <w:contextualSpacing/>
              <w:jc w:val="center"/>
              <w:rPr>
                <w:rFonts w:ascii="Times New Roman" w:hAnsi="Times New Roman" w:cs="Times New Roman"/>
                <w:i/>
                <w:color w:val="000000"/>
                <w:sz w:val="18"/>
                <w:szCs w:val="18"/>
              </w:rPr>
            </w:pPr>
            <w:r w:rsidRPr="00DD24FA">
              <w:rPr>
                <w:rFonts w:ascii="Times New Roman" w:hAnsi="Times New Roman" w:cs="Times New Roman"/>
                <w:i/>
                <w:color w:val="000000"/>
                <w:sz w:val="18"/>
                <w:szCs w:val="18"/>
              </w:rPr>
              <w:t>RBM43, LOC107132261</w:t>
            </w:r>
          </w:p>
        </w:tc>
        <w:tc>
          <w:tcPr>
            <w:tcW w:w="466" w:type="pct"/>
            <w:tcBorders>
              <w:top w:val="single" w:sz="4" w:space="0" w:color="auto"/>
              <w:left w:val="single" w:sz="4" w:space="0" w:color="auto"/>
              <w:bottom w:val="single" w:sz="4" w:space="0" w:color="auto"/>
              <w:right w:val="single" w:sz="4" w:space="0" w:color="auto"/>
            </w:tcBorders>
            <w:hideMark/>
          </w:tcPr>
          <w:p w14:paraId="4F10D955"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Intergenic</w:t>
            </w:r>
          </w:p>
        </w:tc>
        <w:tc>
          <w:tcPr>
            <w:tcW w:w="1510" w:type="pct"/>
            <w:tcBorders>
              <w:top w:val="single" w:sz="4" w:space="0" w:color="auto"/>
              <w:left w:val="single" w:sz="4" w:space="0" w:color="auto"/>
              <w:bottom w:val="single" w:sz="4" w:space="0" w:color="auto"/>
              <w:right w:val="single" w:sz="4" w:space="0" w:color="auto"/>
            </w:tcBorders>
            <w:hideMark/>
          </w:tcPr>
          <w:p w14:paraId="546E71C9" w14:textId="02E2261E"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B6111A" w:rsidRPr="00DD24FA">
              <w:rPr>
                <w:rFonts w:ascii="Times New Roman" w:hAnsi="Times New Roman" w:cs="Times New Roman"/>
                <w:sz w:val="18"/>
                <w:szCs w:val="18"/>
              </w:rPr>
              <w:instrText>ADDIN CSL_CITATION {"citationItems":[{"id":"ITEM-1","itemData":{"DOI":"10.1371/journal.pone.0029202","ISSN":"19326203","PMID":"22238593","abstract":"African Americans are disproportionately affected by type 2 diabetes (T2DM) yet few studies have examined T2DM using genome-wide association approaches in this ethnicity. The aim of this study was to identify genes associated with T2DM in the African American population. We performed a Genome Wide Association Study (GWAS) using the Affymetrix 6.0 array in 965 African-American cases with T2DM and end-stage renal disease (T2DM-ESRD) and 1029 population-based controls. The most significant SNPs (n = 550 independent loci) were genotyped in a replication cohort and 122 SNPs (n = 98 independent loci) were further tested through genotyping three additional validation cohorts followed by meta-analysis in all five cohorts totaling 3,132 cases and 3,317 controls. Twelve SNPs had evidence of association in the GWAS (P&lt;0.0071), were directionally consistent in the Replication cohort and were associated with T2DM in subjects without nephropathy (P&lt;0.05). Meta-analysis in all cases and controls revealed a single SNP reaching genome-wide significance (P&lt;2.5×10-8). SNP rs7560163 (P = 7.0×10-9, OR (95% CI) = 0.75 (0.67-0.84)) is located intergenically between RND3 and RBM43. Four additional loci (rs7542900, rs4659485, rs2722769 and rs7107217) were associated with T2DM (P&lt;0.05) and reached more nominal levels of significance (P&lt;2.5×10-5) in the overall analysis and may represent novel loci that contribute to T2DM. We have identified novel T2DM-susceptibility variants in the African-American population. Notably, T2DM risk was associated with the major allele and implies an interesting genetic architecture in this population. These results suggest that multiple loci underlie T2DM susceptibility in the African-American population and that these loci are distinct from those identified in other ethnic populations.","author":[{"dropping-particle":"","family":"Palmer","given":"Nicholette D.","non-dropping-particle":"","parse-names":false,"suffix":""},{"dropping-particle":"","family":"McDonough","given":"Caitrin W.","non-dropping-particle":"","parse-names":false,"suffix":""},{"dropping-particle":"","family":"Hicks","given":"Pamela J.","non-dropping-particle":"","parse-names":false,"suffix":""},{"dropping-particle":"","family":"Roh","given":"Bong H.","non-dropping-particle":"","parse-names":false,"suffix":""},{"dropping-particle":"","family":"Wing","given":"Maria R.","non-dropping-particle":"","parse-names":false,"suffix":""},{"dropping-particle":"","family":"An","given":"S. Sandy","non-dropping-particle":"","parse-names":false,"suffix":""},{"dropping-particle":"","family":"Hester","given":"Jessica M.","non-dropping-particle":"","parse-names":false,"suffix":""},{"dropping-particle":"","family":"Cooke","given":"Jessica N.","non-dropping-particle":"","parse-names":false,"suffix":""},{"dropping-particle":"","family":"Bostrom","given":"Meredith A.","non-dropping-particle":"","parse-names":false,"suffix":""},{"dropping-particle":"","family":"Rudock","given":"Megan E.","non-dropping-particle":"","parse-names":false,"suffix":""},{"dropping-particle":"","family":"Talbert","given":"Matthew E.","non-dropping-particle":"","parse-names":false,"suffix":""},{"dropping-particle":"","family":"Lewis","given":"Joshua P.","non-dropping-particle":"","parse-names":false,"suffix":""},{"dropping-particle":"","family":"Ferrara","given":"Assiamira","non-dropping-particle":"","parse-names":false,"suffix":""},{"dropping-particle":"","family":"Lu","given":"Lingyi","non-dropping-particle":"","parse-names":false,"suffix":""},{"dropping-particle":"","family":"Ziegler","given":"Julie T.","non-dropping-particle":"","parse-names":false,"suffix":""},{"dropping-particle":"","family":"Sale","given":"Michele M.","non-dropping-particle":"","parse-names":false,"suffix":""},{"dropping-particle":"","family":"Divers","given":"Jasmin","non-dropping-particle":"","parse-names":false,"suffix":""},{"dropping-particle":"","family":"Shriner","given":"Daniel","non-dropping-particle":"","parse-names":false,"suffix":""},{"dropping-particle":"","family":"Adeyemo","given":"Adebowale","non-dropping-particle":"","parse-names":false,"suffix":""},{"dropping-particle":"","family":"Rotimi","given":"Charles N.","non-dropping-particle":"","parse-names":false,"suffix":""},{"dropping-particle":"","family":"Ng","given":"Maggie C.Y.","non-dropping-particle":"","parse-names":false,"suffix":""},{"dropping-particle":"","family":"Langefeld","given":"Carl D.","non-dropping-particle":"","parse-names":false,"suffix":""},{"dropping-particle":"","family":"Freedman","given":"Barry I.","non-dropping-particle":"","parse-names":false,"suffix":""},{"dropping-particle":"","family":"Bowden","given":"Donald W.","non-dropping-particle":"","parse-names":false,"suffix":""},{"dropping-particle":"","family":"Voight","given":"Benjamin F.","non-dropping-particle":"","parse-names":false,"suffix":""},{"dropping-particle":"","family":"Scott","given":"Laura J.","non-dropping-particle":"","parse-names":false,"suffix":""},{"dropping-particle":"","family":"Steinthorsdottir","given":"Valgerdur","non-dropping-particle":"","parse-names":false,"suffix":""},{"dropping-particle":"","family":"Morris","given":"Andrew P.","non-dropping-particle":"","parse-names":false,"suffix":""},{"dropping-particle":"","family":"Dina","given":"Christian","non-dropping-particle":"","parse-names":false,"suffix":""},{"dropping-particle":"","family":"Welch","given":"Ryan P.","non-dropping-particle":"","parse-names":false,"suffix":""},{"dropping-particle":"","family":"Zeggini","given":"Eleftheria","non-dropping-particle":"","parse-names":false,"suffix":""},{"dropping-particle":"","family":"Huth","given":"Cornelia","non-dropping-particle":"","parse-names":false,"suffix":""},{"dropping-particle":"","family":"Aulchenko","given":"Yurii S.","non-dropping-particle":"","parse-names":false,"suffix":""},{"dropping-particle":"","family":"Thorleifs-Son","given":"Gudmar","non-dropping-particle":"","parse-names":false,"suffix":""},{"dropping-particle":"","family":"McCulloch","given":"Laura J.","non-dropping-particle":"","parse-names":false,"suffix":""},{"dropping-particle":"","family":"Ferreira","given":"Teresa","non-dropping-particle":"","parse-names":false,"suffix":""},{"dropping-particle":"","family":"Grallert","given":"Harald","non-dropping-particle":"","parse-names":false,"suffix":""},{"dropping-particle":"","family":"Amin","given":"Najaf","non-dropping-particle":"","parse-names":false,"suffix":""},{"dropping-particle":"","family":"Wu","given":"Guanming","non-dropping-particle":"","parse-names":false,"suffix":""},{"dropping-particle":"","family":"Willer","given":"Cristen J.","non-dropping-particle":"","parse-names":false,"suffix":""},{"dropping-particle":"","family":"Raychaudhuri","given":"Soumya","non-dropping-particle":"","parse-names":false,"suffix":""},{"dropping-particle":"","family":"McCarroll","given":"Steven A.","non-dropping-particle":"","parse-names":false,"suffix":""},{"dropping-particle":"","family":"Langenberg","given":"Claudia","non-dropping-particle":"","parse-names":false,"suffix":""},{"dropping-particle":"","family":"Hofmann","given":"Oliver M.","non-dropping-particle":"","parse-names":false,"suffix":""},{"dropping-particle":"","family":"Dupuis","given":"Josée","non-dropping-particle":"","parse-names":false,"suffix":""},{"dropping-particle":"","family":"Qi","given":"Lu","non-dropping-particle":"","parse-names":false,"suffix":""},{"dropping-particle":"V.","family":"Segrè","given":"Ayellet","non-dropping-particle":"","parse-names":false,"suffix":""},{"dropping-particle":"","family":"Hoek","given":"Mandy","non-dropping-particle":"van","parse-names":false,"suffix":""},{"dropping-particle":"","family":"Navarro","given":"Pau","non-dropping-particle":"","parse-names":false,"suffix":""},{"dropping-particle":"","family":"Ardlie","given":"Kristin","non-dropping-particle":"","parse-names":false,"suffix":""},{"dropping-particle":"","family":"Balkau","given":"Beverley","non-dropping-particle":"","parse-names":false,"suffix":""},{"dropping-particle":"","family":"Benediktsson","given":"Rafn","non-dropping-particle":"","parse-names":false,"suffix":""},{"dropping-particle":"","family":"Bennett","given":"Amanda J.","non-dropping-particle":"","parse-names":false,"suffix":""},{"dropping-particle":"","family":"Blagieva","given":"Roza","non-dropping-particle":"","parse-names":false,"suffix":""},{"dropping-particle":"","family":"Boerwinkle","given":"Eric","non-dropping-particle":"","parse-names":false,"suffix":""},{"dropping-particle":"","family":"Bonnycastle","given":"Lori L.","non-dropping-particle":"","parse-names":false,"suffix":""},{"dropping-particle":"","family":"Boström","given":"Kristina Bengtsson","non-dropping-particle":"","parse-names":false,"suffix":""},{"dropping-particle":"","family":"Bravenboer","given":"Bert","non-dropping-particle":"","parse-names":false,"suffix":""},{"dropping-particle":"","family":"Bumpstead","given":"Suzannah","non-dropping-particle":"","parse-names":false,"suffix":""},{"dropping-particle":"","family":"Burtt","given":"Noël P.","non-dropping-particle":"","parse-names":false,"suffix":""},{"dropping-particle":"","family":"Charpentier","given":"Guillaume","non-dropping-particle":"","parse-names":false,"suffix":""},{"dropping-particle":"","family":"Chines","given":"Peter S.","non-dropping-particle":"","parse-names":false,"suffix":""},{"dropping-particle":"","family":"Cornelis","given":"Marilyn","non-dropping-particle":"","parse-names":false,"suffix":""},{"dropping-particle":"","family":"Couper","given":"David J.","non-dropping-particle":"","parse-names":false,"suffix":""},{"dropping-particle":"","family":"Crawford","given":"Gabe","non-dropping-particle":"","parse-names":false,"suffix":""},{"dropping-particle":"","family":"Doney","given":"Alex S.F.","non-dropping-particle":"","parse-names":false,"suffix":""},{"dropping-particle":"","family":"Elliott","given":"Katherine S.","non-dropping-particle":"","parse-names":false,"suffix":""},{"dropping-particle":"","family":"Elliott","given":"Amanda L.","non-dropping-particle":"","parse-names":false,"suffix":""},{"dropping-particle":"","family":"Erdos","given":"Michael R.","non-dropping-particle":"","parse-names":false,"suffix":""},{"dropping-particle":"","family":"Fox","given":"Caroline S.","non-dropping-particle":"","parse-names":false,"suffix":""},{"dropping-particle":"","family":"Franklin","given":"Christopher S.","non-dropping-particle":"","parse-names":false,"suffix":""},{"dropping-particle":"","family":"Ganser","given":"Martha","non-dropping-particle":"","parse-names":false,"suffix":""},{"dropping-particle":"","family":"Gieger","given":"Christian","non-dropping-particle":"","parse-names":false,"suffix":""},{"dropping-particle":"","family":"Grarup","given":"Niels","non-dropping-particle":"","parse-names":false,"suffix":""},{"dropping-particle":"","family":"Green","given":"Todd","non-dropping-particle":"","parse-names":false,"suffix":""},{"dropping-particle":"","family":"Griffin","given":"Simon","non-dropping-particle":"","parse-names":false,"suffix":""},{"dropping-particle":"","family":"Groves","given":"Christopher J.","non-dropping-particle":"","parse-names":false,"suffix":""},{"dropping-particle":"","family":"Guiducci","given":"Candace","non-dropping-particle":"","parse-names":false,"suffix":""},{"dropping-particle":"","family":"Hadjadj","given":"Samy","non-dropping-particle":"","parse-names":false,"suffix":""},{"dropping-particle":"","family":"Hassanali","given":"Neelam","non-dropping-particle":"","parse-names":false,"suffix":""},{"dropping-particle":"","family":"Herder","given":"Christian","non-dropping-particle":"","parse-names":false,"suffix":""},{"dropping-particle":"","family":"Isomaa","given":"Bo","non-dropping-particle":"","parse-names":false,"suffix":""},{"dropping-particle":"","family":"Jackson","given":"Anne U.","non-dropping-particle":"","parse-names":false,"suffix":""},{"dropping-particle":"","family":"Johnson","given":"Paul R.V.","non-dropping-particle":"","parse-names":false,"suffix":""},{"dropping-particle":"","family":"Jørgensen","given":"Torben","non-dropping-particle":"","parse-names":false,"suffix":""},{"dropping-particle":"","family":"Kao","given":"Wen H.L.","non-dropping-particle":"","parse-names":false,"suffix":""},{"dropping-particle":"","family":"Klopp","given":"Norman","non-dropping-particle":"","parse-names":false,"suffix":""},{"dropping-particle":"","family":"Kong","given":"Augustine","non-dropping-particle":"","parse-names":false,"suffix":""},{"dropping-particle":"","family":"Kraft","given":"Peter","non-dropping-particle":"","parse-names":false,"suffix":""},{"dropping-particle":"","family":"Kuusisto","given":"Johanna","non-dropping-particle":"","parse-names":false,"suffix":""},{"dropping-particle":"","family":"Lauritzen","given":"Torsten","non-dropping-particle":"","parse-names":false,"suffix":""},{"dropping-particle":"","family":"Li","given":"Man","non-dropping-particle":"","parse-names":false,"suffix":""},{"dropping-particle":"","family":"Lieverse","given":"Aloysius","non-dropping-particle":"","parse-names":false,"suffix":""},{"dropping-particle":"","family":"Lindgren","given":"Cecilia M.","non-dropping-particle":"","parse-names":false,"suffix":""},{"dropping-particle":"","family":"Lyssenko","given":"Valeriya","non-dropping-particle":"","parse-names":false,"suffix":""},{"dropping-particle":"","family":"Marre","given":"Michel","non-dropping-particle":"","parse-names":false,"suffix":""},{"dropping-particle":"","family":"Meitinger","given":"Thomas","non-dropping-particle":"","parse-names":false,"suffix":""},{"dropping-particle":"","family":"Mid-Thjell","given":"Kristian","non-dropping-particle":"","parse-names":false,"suffix":""},{"dropping-particle":"","family":"Morken","given":"Mario A.","non-dropping-particle":"","parse-names":false,"suffix":""},{"dropping-particle":"","family":"Narisu","given":"Narisu","non-dropping-particle":"","parse-names":false,"suffix":""},{"dropping-particle":"","family":"Nilsson","given":"Peter","non-dropping-particle":"","parse-names":false,"suffix":""},{"dropping-particle":"","family":"Owen","given":"Katharine R.","non-dropping-particle":"","parse-names":false,"suffix":""},{"dropping-particle":"","family":"Payne","given":"Felicity","non-dropping-particle":"","parse-names":false,"suffix":""},{"dropping-particle":"","family":"Perry","given":"John R.B.","non-dropping-particle":"","parse-names":false,"suffix":""},{"dropping-particle":"","family":"Petersen","given":"Ann Kristin","non-dropping-particle":"","parse-names":false,"suffix":""},{"dropping-particle":"","family":"Platou","given":"Carl","non-dropping-particle":"","parse-names":false,"suffix":""},{"dropping-particle":"","family":"Proença","given":"Christine","non-dropping-particle":"","parse-names":false,"suffix":""},{"dropping-particle":"","family":"Prokopenko","given":"Inga","non-dropping-particle":"","parse-names":false,"suffix":""},{"dropping-particle":"","family":"Rathmann","given":"Wolfgang","non-dropping-particle":"","parse-names":false,"suffix":""},{"dropping-particle":"","family":"Rayner","given":"Nigel William","non-dropping-particle":"","parse-names":false,"suffix":""},{"dropping-particle":"","family":"Robertson","given":"Neil R.","non-dropping-particle":"","parse-names":false,"suffix":""},{"dropping-particle":"","family":"Rocheleau","given":"Ghislain","non-dropping-particle":"","parse-names":false,"suffix":""},{"dropping-particle":"","family":"Roden","given":"Michael","non-dropping-particle":"","parse-names":false,"suffix":""},{"dropping-particle":"","family":"Sampson","given":"Michael J.","non-dropping-particle":"","parse-names":false,"suffix":""},{"dropping-particle":"","family":"Saxena","given":"Richa","non-dropping-particle":"","parse-names":false,"suffix":""},{"dropping-particle":"","family":"Shields","given":"Beverley M.","non-dropping-particle":"","parse-names":false,"suffix":""},{"dropping-particle":"","family":"Shrader","given":"Peter","non-dropping-particle":"","parse-names":false,"suffix":""},{"dropping-particle":"","family":"Sigurdsson","given":"Gunnar","non-dropping-particle":"","parse-names":false,"suffix":""},{"dropping-particle":"","family":"Sparsø","given":"Thomas","non-dropping-particle":"","parse-names":false,"suffix":""},{"dropping-particle":"","family":"Strassburger","given":"Klaus","non-dropping-particle":"","parse-names":false,"suffix":""},{"dropping-particle":"","family":"Stringham","given":"Heather M.","non-dropping-particle":"","parse-names":false,"suffix":""},{"dropping-particle":"","family":"Sun","given":"Qi","non-dropping-particle":"","parse-names":false,"suffix":""},{"dropping-particle":"","family":"Swift","given":"Amy J.","non-dropping-particle":"","parse-names":false,"suffix":""},{"dropping-particle":"","family":"Thorand","given":"Barbara","non-dropping-particle":"","parse-names":false,"suffix":""},{"dropping-particle":"","family":"Tichet","given":"Jean","non-dropping-particle":"","parse-names":false,"suffix":""},{"dropping-particle":"","family":"Tuomi","given":"Tiinamaija","non-dropping-particle":"","parse-names":false,"suffix":""},{"dropping-particle":"","family":"Dam","given":"Rob M.","non-dropping-particle":"van","parse-names":false,"suffix":""},{"dropping-particle":"","family":"Haeften","given":"Timon W.","non-dropping-particle":"van","parse-names":false,"suffix":""},{"dropping-particle":"","family":"Herpt","given":"Thijs","non-dropping-particle":"van","parse-names":false,"suffix":""},{"dropping-particle":"V.","family":"Vliet-Ostaptchouk","given":"Jana","non-dropping-particle":"van","parse-names":false,"suffix":""},{"dropping-particle":"","family":"Walters","given":"G. Bragi","non-dropping-particle":"","parse-names":false,"suffix":""},{"dropping-particle":"","family":"Weedon","given":"Michael N.","non-dropping-particle":"","parse-names":false,"suffix":""},{"dropping-particle":"","family":"Wijmenga","given":"Cisca","non-dropping-particle":"","parse-names":false,"suffix":""},{"dropping-particle":"","family":"Witteman","given":"Jacqueline","non-dropping-particle":"","parse-names":false,"suffix":""},{"dropping-particle":"","family":"Bergman","given":"Richard N.","non-dropping-particle":"","parse-names":false,"suffix":""},{"dropping-particle":"","family":"Cauchi","given":"Stephane","non-dropping-particle":"","parse-names":false,"suffix":""},{"dropping-particle":"","family":"Collins","given":"Francis S.","non-dropping-particle":"","parse-names":false,"suffix":""},{"dropping-particle":"","family":"Gloyn","given":"Anna L.","non-dropping-particle":"","parse-names":false,"suffix":""},{"dropping-particle":"","family":"Gyllensten","given":"Ulf","non-dropping-particle":"","parse-names":false,"suffix":""},{"dropping-particle":"","family":"Hansen","given":"Torben","non-dropping-particle":"","parse-names":false,"suffix":""},{"dropping-particle":"","family":"Hide","given":"Winston A.","non-dropping-particle":"","parse-names":false,"suffix":""},{"dropping-particle":"","family":"Hitman","given":"Graham A.","non-dropping-particle":"","parse-names":false,"suffix":""},{"dropping-particle":"","family":"Hofman","given":"Albert","non-dropping-particle":"","parse-names":false,"suffix":""},{"dropping-particle":"","family":"Hunter","given":"David J.","non-dropping-particle":"","parse-names":false,"suffix":""},{"dropping-particle":"","family":"Hveem","given":"Kristian","non-dropping-particle":"","parse-names":false,"suffix":""},{"dropping-particle":"","family":"Laakso","given":"Markku","non-dropping-particle":"","parse-names":false,"suffix":""},{"dropping-particle":"","family":"Mohlke","given":"Karen L.","non-dropping-particle":"","parse-names":false,"suffix":""},{"dropping-particle":"","family":"Morris","given":"Andrew D.","non-dropping-particle":"","parse-names":false,"suffix":""},{"dropping-particle":"","family":"Palmer","given":"Colin N.A.","non-dropping-particle":"","parse-names":false,"suffix":""},{"dropping-particle":"","family":"Pramstaller","given":"Peter Paul","non-dropping-particle":"","parse-names":false,"suffix":""},{"dropping-particle":"","family":"Rudan","given":"Igor","non-dropping-particle":"","parse-names":false,"suffix":""},{"dropping-particle":"","family":"Sijbrands","given":"Eric","non-dropping-particle":"","parse-names":false,"suffix":""},{"dropping-particle":"","family":"Stein","given":"Lincoln D.","non-dropping-particle":"","parse-names":false,"suffix":""},{"dropping-particle":"","family":"Tuomilehto","given":"Jaakko","non-dropping-particle":"","parse-names":false,"suffix":""},{"dropping-particle":"","family":"Uitterlinden","given":"André G.","non-dropping-particle":"","parse-names":false,"suffix":""},{"dropping-particle":"","family":"Walker","given":"Mark","non-dropping-particle":"","parse-names":false,"suffix":""},{"dropping-particle":"","family":"Wareham","given":"Nicholas J.","non-dropping-particle":"","parse-names":false,"suffix":""},{"dropping-particle":"","family":"Watanabe","given":"Richard M.","non-dropping-particle":"","parse-names":false,"suffix":""},{"dropping-particle":"","family":"Abecasis","given":"Goncalo R.","non-dropping-particle":"","parse-names":false,"suffix":""},{"dropping-particle":"","family":"Boehm","given":"Bernhard O.","non-dropping-particle":"","parse-names":false,"suffix":""},{"dropping-particle":"","family":"Campbell","given":"Harry","non-dropping-particle":"","parse-names":false,"suffix":""},{"dropping-particle":"","family":"Daly","given":"Mark J.","non-dropping-particle":"","parse-names":false,"suffix":""},{"dropping-particle":"","family":"Hattersley","given":"Andrew T.","non-dropping-particle":"","parse-names":false,"suffix":""},{"dropping-particle":"","family":"Hu","given":"Frank B.","non-dropping-particle":"","parse-names":false,"suffix":""},{"dropping-particle":"","family":"Meigs","given":"James B.","non-dropping-particle":"","parse-names":false,"suffix":""},{"dropping-particle":"","family":"Pankow","given":"James S.","non-dropping-particle":"","parse-names":false,"suffix":""},{"dropping-particle":"","family":"Pedersen","given":"Oluf","non-dropping-particle":"","parse-names":false,"suffix":""},{"dropping-particle":"","family":"Wichmann","given":"H. Erich","non-dropping-particle":"","parse-names":false,"suffix":""},{"dropping-particle":"","family":"Barroso","given":"Inês","non-dropping-particle":"","parse-names":false,"suffix":""},{"dropping-particle":"","family":"Florez","given":"Jose C.","non-dropping-particle":"","parse-names":false,"suffix":""},{"dropping-particle":"","family":"Frayling","given":"Timothy M.","non-dropping-particle":"","parse-names":false,"suffix":""},{"dropping-particle":"","family":"Groop","given":"Leif","non-dropping-particle":"","parse-names":false,"suffix":""},{"dropping-particle":"","family":"Sladek","given":"Robert","non-dropping-particle":"","parse-names":false,"suffix":""},{"dropping-particle":"","family":"Thorsteinsdottir","given":"Unnur","non-dropping-particle":"","parse-names":false,"suffix":""},{"dropping-particle":"","family":"Wilson","given":"James F.","non-dropping-particle":"","parse-names":false,"suffix":""},{"dropping-particle":"","family":"Illig","given":"Thomas","non-dropping-particle":"","parse-names":false,"suffix":""},{"dropping-particle":"","family":"Froguel","given":"Philippe","non-dropping-particle":"","parse-names":false,"suffix":""},{"dropping-particle":"","family":"Duijn","given":"Cornelia M.","non-dropping-particle":"van","parse-names":false,"suffix":""},{"dropping-particle":"","family":"Stefansson","given":"Kari","non-dropping-particle":"","parse-names":false,"suffix":""},{"dropping-particle":"","family":"Altshuler","given":"David","non-dropping-particle":"","parse-names":false,"suffix":""},{"dropping-particle":"","family":"Boehnke","given":"Michael","non-dropping-particle":"","parse-names":false,"suffix":""},{"dropping-particle":"","family":"McCarthy","given":"Mark I.","non-dropping-particle":"","parse-names":false,"suffix":""},{"dropping-particle":"","family":"Soranzo","given":"Nicole","non-dropping-particle":"","parse-names":false,"suffix":""},{"dropping-particle":"","family":"Wheeler","given":"Eleanor","non-dropping-particle":"","parse-names":false,"suffix":""},{"dropping-particle":"","family":"Glazer","given":"Nicole L.","non-dropping-particle":"","parse-names":false,"suffix":""},{"dropping-particle":"","family":"Bouatia-Naji","given":"Nabila","non-dropping-particle":"","parse-names":false,"suffix":""},{"dropping-particle":"","family":"Mägi","given":"Reedik","non-dropping-particle":"","parse-names":false,"suffix":""},{"dropping-particle":"","family":"Randall","given":"Joshua","non-dropping-particle":"","parse-names":false,"suffix":""},{"dropping-particle":"","family":"Johnson","given":"Toby","non-dropping-particle":"","parse-names":false,"suffix":""},{"dropping-particle":"","family":"Elliott","given":"Paul","non-dropping-particle":"","parse-names":false,"suffix":""},{"dropping-particle":"","family":"Rybin","given":"Denis","non-dropping-particle":"","parse-names":false,"suffix":""},{"dropping-particle":"","family":"Thorleifsson","given":"Gudmar","non-dropping-particle":"","parse-names":false,"suffix":""},{"dropping-particle":"","family":"Henneman","given":"Peter","non-dropping-particle":"","parse-names":false,"suffix":""},{"dropping-particle":"","family":"Dehghan","given":"Abbas","non-dropping-particle":"","parse-names":false,"suffix":""},{"dropping-particle":"","family":"Hottenga","given":"Jouke Jan","non-dropping-particle":"","parse-names":false,"suffix":""},{"dropping-particle":"","family":"Song","given":"Kijoung","non-dropping-particle":"","parse-names":false,"suffix":""},{"dropping-particle":"","family":"Goel","given":"Anuj","non-dropping-particle":"","parse-names":false,"suffix":""},{"dropping-particle":"","family":"Egan","given":"Josephine M.","non-dropping-particle":"","parse-names":false,"suffix":""},{"dropping-particle":"","family":"Lajunen","given":"Taina","non-dropping-particle":"","parse-names":false,"suffix":""},{"dropping-particle":"","family":"Doney","given":"Alex","non-dropping-particle":"","parse-names":false,"suffix":""},{"dropping-particle":"","family":"Kanoni","given":"Stavroula","non-dropping-particle":"","parse-names":false,"suffix":""},{"dropping-particle":"","family":"Cavalcanti-Proença","given":"Christine","non-dropping-particle":"","parse-names":false,"suffix":""},{"dropping-particle":"","family":"Kumari","given":"Meena","non-dropping-particle":"","parse-names":false,"suffix":""},{"dropping-particle":"","family":"Timpson","given":"Nicholas J.","non-dropping-particle":"","parse-names":false,"suffix":""},{"dropping-particle":"","family":"Zabena","given":"Carina","non-dropping-particle":"","parse-names":false,"suffix":""},{"dropping-particle":"","family":"Ingelsson","given":"Erik","non-dropping-particle":"","parse-names":false,"suffix":""},{"dropping-particle":"","family":"An","given":"Ping","non-dropping-particle":"","parse-names":false,"suffix":""},{"dropping-particle":"","family":"O’connell","given":"Jeffrey","non-dropping-particle":"","parse-names":false,"suffix":""},{"dropping-particle":"","family":"Luan","given":"Jian’An","non-dropping-particle":"","parse-names":false,"suffix":""},{"dropping-particle":"","family":"Roccasecca","given":"Rosa Maria","non-dropping-particle":"","parse-names":false,"suffix":""},{"dropping-particle":"","family":"Pattou","given":"François","non-dropping-particle":"","parse-names":false,"suffix":""},{"dropping-particle":"","family":"Sethupathy","given":"Praveen","non-dropping-particle":"","parse-names":false,"suffix":""},{"dropping-particle":"","family":"Ariyurek","given":"Yavuz","non-dropping-particle":"","parse-names":false,"suffix":""},{"dropping-particle":"","family":"Barter","given":"Philip","non-dropping-particle":"","parse-names":false,"suffix":""},{"dropping-particle":"","family":"Beilby","given":"John P.","non-dropping-particle":"","parse-names":false,"suffix":""},{"dropping-particle":"","family":"Ben-Shlomo","given":"Yoav","non-dropping-particle":"","parse-names":false,"suffix":""},{"dropping-particle":"","family":"Bergmann","given":"Sven","non-dropping-particle":"","parse-names":false,"suffix":""},{"dropping-particle":"","family":"Bochud","given":"Murielle","non-dropping-particle":"","parse-names":false,"suffix":""},{"dropping-particle":"","family":"Bonnefond","given":"Amélie","non-dropping-particle":"","parse-names":false,"suffix":""},{"dropping-particle":"","family":"Borch-Johnsen","given":"Knut","non-dropping-particle":"","parse-names":false,"suffix":""},{"dropping-particle":"","family":"Böttcher","given":"Yvonne","non-dropping-particle":"","parse-names":false,"suffix":""},{"dropping-particle":"","family":"Brunner","given":"Eric","non-dropping-particle":"","parse-names":false,"suffix":""},{"dropping-particle":"","family":"Bumpstead","given":"Suzannah J.","non-dropping-particle":"","parse-names":false,"suffix":""},{"dropping-particle":"","family":"Chen","given":"Yii Der Ida","non-dropping-particle":"","parse-names":false,"suffix":""},{"dropping-particle":"","family":"Chines","given":"Peter","non-dropping-particle":"","parse-names":false,"suffix":""},{"dropping-particle":"","family":"Clarke","given":"Robert","non-dropping-particle":"","parse-names":false,"suffix":""},{"dropping-particle":"","family":"Coin","given":"Lachlan J.M.","non-dropping-particle":"","parse-names":false,"suffix":""},{"dropping-particle":"","family":"Cooper","given":"Matthew N.","non-dropping-particle":"","parse-names":false,"suffix":""},{"dropping-particle":"","family":"Crisponi","given":"Laura","non-dropping-particle":"","parse-names":false,"suffix":""},{"dropping-particle":"","family":"Day","given":"Ian N.M.","non-dropping-particle":"","parse-names":false,"suffix":""},{"dropping-particle":"","family":"Geus","given":"Eco J.Cde","non-dropping-particle":"","parse-names":false,"suffix":""},{"dropping-particle":"","family":"Delplanque","given":"Jerome","non-dropping-particle":"","parse-names":false,"suffix":""},{"dropping-particle":"","family":"Fedson","given":"Annette C.","non-dropping-particle":"","parse-names":false,"suffix":""},{"dropping-particle":"","family":"Fischer-Rosinsky","given":"Antje","non-dropping-particle":"","parse-names":false,"suffix":""},{"dropping-particle":"","family":"Forouhi","given":"Nita G.","non-dropping-particle":"","parse-names":false,"suffix":""},{"dropping-particle":"","family":"Frants","given":"Rune","non-dropping-particle":"","parse-names":false,"suffix":""},{"dropping-particle":"","family":"Franzosi","given":"Maria Grazia","non-dropping-particle":"","parse-names":false,"suffix":""},{"dropping-particle":"","family":"Galan","given":"Pilar","non-dropping-particle":"","parse-names":false,"suffix":""},{"dropping-particle":"","family":"Ogoodarzi","given":"Mark","non-dropping-particle":"","parse-names":false,"suffix":""},{"dropping-particle":"","family":"Graessler","given":"Jürgen","non-dropping-particle":"","parse-names":false,"suffix":""},{"dropping-particle":"","family":"Grundy","given":"Scott","non-dropping-particle":"","parse-names":false,"suffix":""},{"dropping-particle":"","family":"Gwilliam","given":"Rhian","non-dropping-particle":"","parse-names":false,"suffix":""},{"dropping-particle":"","family":"Hallmans","given":"Göran","non-dropping-particle":"","parse-names":false,"suffix":""},{"dropping-particle":"","family":"Hammond","given":"Naomi","non-dropping-particle":"","parse-names":false,"suffix":""},{"dropping-particle":"","family":"Han","given":"Xijing","non-dropping-particle":"","parse-names":false,"suffix":""},{"dropping-particle":"","family":"Hartikainen","given":"Anna Liisa","non-dropping-particle":"","parse-names":false,"suffix":""},{"dropping-particle":"","family":"Hayward","given":"Caroline","non-dropping-particle":"","parse-names":false,"suffix":""},{"dropping-particle":"","family":"Heath","given":"Simon C.","non-dropping-particle":"","parse-names":false,"suffix":""},{"dropping-particle":"","family":"Hercberg","given":"Serge","non-dropping-particle":"","parse-names":false,"suffix":""},{"dropping-particle":"","family":"Hicks","given":"Andrew A.","non-dropping-particle":"","parse-names":false,"suffix":""},{"dropping-particle":"","family":"Hillman","given":"David R.","non-dropping-particle":"","parse-names":false,"suffix":""},{"dropping-particle":"","family":"Hingorani","given":"Aroon D.","non-dropping-particle":"","parse-names":false,"suffix":""},{"dropping-particle":"","family":"Hui","given":"Jennie","non-dropping-particle":"","parse-names":false,"suffix":""},{"dropping-particle":"","family":"Hung","given":"Joe","non-dropping-particle":"","parse-names":false,"suffix":""},{"dropping-particle":"","family":"Jula","given":"Antti","non-dropping-particle":"","parse-names":false,"suffix":""},{"dropping-particle":"","family":"Kaakinen","given":"Marika","non-dropping-particle":"","parse-names":false,"suffix":""},{"dropping-particle":"","family":"Kaprio","given":"Jaakko","non-dropping-particle":"","parse-names":false,"suffix":""},{"dropping-particle":"","family":"Kesaniemi","given":"Y. Antero","non-dropping-particle":"","parse-names":false,"suffix":""},{"dropping-particle":"","family":"Kivimaki","given":"Mika","non-dropping-particle":"","parse-names":false,"suffix":""},{"dropping-particle":"","family":"Knight","given":"Beatrice","non-dropping-particle":"","parse-names":false,"suffix":""},{"dropping-particle":"","family":"Koskinen","given":"Seppo","non-dropping-particle":"","parse-names":false,"suffix":""},{"dropping-particle":"","family":"Kovacs","given":"Peter","non-dropping-particle":"","parse-names":false,"suffix":""},{"dropping-particle":"","family":"Kyvik","given":"Kirsten Ohm","non-dropping-particle":"","parse-names":false,"suffix":""},{"dropping-particle":"","family":"Lathrop","given":"G. Mark","non-dropping-particle":"","parse-names":false,"suffix":""},{"dropping-particle":"","family":"Lawlor","given":"Debbie A.","non-dropping-particle":"","parse-names":false,"suffix":""},{"dropping-particle":"Le","family":"Bacquer","given":"Olivier","non-dropping-particle":"","parse-names":false,"suffix":""},{"dropping-particle":"","family":"Lecoeur","given":"Cécile","non-dropping-particle":"","parse-names":false,"suffix":""},{"dropping-particle":"","family":"Li","given":"Yun","non-dropping-particle":"","parse-names":false,"suffix":""},{"dropping-particle":"","family":"Mahley","given":"Robert","non-dropping-particle":"","parse-names":false,"suffix":""},{"dropping-particle":"","family":"Mangino","given":"Massimo","non-dropping-particle":"","parse-names":false,"suffix":""},{"dropping-particle":"","family":"Manning","given":"Alisa K.","non-dropping-particle":"","parse-names":false,"suffix":""},{"dropping-particle":"","family":"Martínez-Larrad","given":"María Teresa","non-dropping-particle":"","parse-names":false,"suffix":""},{"dropping-particle":"","family":"McAteer","given":"Jarred B.","non-dropping-particle":"","parse-names":false,"suffix":""},{"dropping-particle":"","family":"McPherson","given":"Ruth","non-dropping-particle":"","parse-names":false,"suffix":""},{"dropping-particle":"","family":"Meisinger","given":"Christa","non-dropping-particle":"","parse-names":false,"suffix":""},{"dropping-particle":"","family":"Melzer","given":"David","non-dropping-particle":"","parse-names":false,"suffix":""},{"dropping-particle":"","family":"Meyre","given":"David","non-dropping-particle":"","parse-names":false,"suffix":""},{"dropping-particle":"","family":"Mitchell","given":"Braxton D.","non-dropping-particle":"","parse-names":false,"suffix":""},{"dropping-particle":"","family":"Mukherjee","given":"Sutapa","non-dropping-particle":"","parse-names":false,"suffix":""},{"dropping-particle":"","family":"Naitza","given":"Silvia","non-dropping-particle":"","parse-names":false,"suffix":""},{"dropping-particle":"","family":"Neville","given":"Matthew J.","non-dropping-particle":"","parse-names":false,"suffix":""},{"dropping-particle":"","family":"Oostra","given":"Ben A.","non-dropping-particle":"","parse-names":false,"suffix":""},{"dropping-particle":"","family":"Orrù","given":"Marco","non-dropping-particle":"","parse-names":false,"suffix":""},{"dropping-particle":"","family":"Pakyz","given":"Ruth","non-dropping-particle":"","parse-names":false,"suffix":""},{"dropping-particle":"","family":"Paolisso","given":"Giuseppe","non-dropping-particle":"","parse-names":false,"suffix":""},{"dropping-particle":"","family":"Pattaro","given":"Cristian","non-dropping-particle":"","parse-names":false,"suffix":""},{"dropping-particle":"","family":"Pearson","given":"Daniel","non-dropping-particle":"","parse-names":false,"suffix":""},{"dropping-particle":"","family":"Peden","given":"John F.","non-dropping-particle":"","parse-names":false,"suffix":""},{"dropping-particle":"","family":"Pedersen","given":"Nancy L.","non-dropping-particle":"","parse-names":false,"suffix":""},{"dropping-particle":"","family":"Perola","given":"Markus","non-dropping-particle":"","parse-names":false,"suffix":""},{"dropping-particle":"","family":"Pfeiffer","given":"Andreas F.H.","non-dropping-particle":"","parse-names":false,"suffix":""},{"dropping-particle":"","family":"Pichler","given":"Irene","non-dropping-particle":"","parse-names":false,"suffix":""},{"dropping-particle":"","family":"Polasek","given":"Ozren","non-dropping-particle":"","parse-names":false,"suffix":""},{"dropping-particle":"","family":"Posthuma","given":"Danielle","non-dropping-particle":"","parse-names":false,"suffix":""},{"dropping-particle":"","family":"Potter","given":"Simon C.","non-dropping-particle":"","parse-names":false,"suffix":""},{"dropping-particle":"","family":"Pouta","given":"Anneli","non-dropping-particle":"","parse-names":false,"suffix":""},{"dropping-particle":"","family":"Province","given":"Michael A.","non-dropping-particle":"","parse-names":false,"suffix":""},{"dropping-particle":"","family":"Psaty","given":"Bruce M.","non-dropping-particle":"","parse-names":false,"suffix":""},{"dropping-particle":"","family":"Rice","given":"Kenneth","non-dropping-particle":"","parse-names":false,"suffix":""},{"dropping-particle":"","family":"Ripatti","given":"Samuli","non-dropping-particle":"","parse-names":false,"suffix":""},{"dropping-particle":"","family":"Rivadeneira","given":"Fernando","non-dropping-particle":"","parse-names":false,"suffix":""},{"dropping-particle":"","family":"Rolandsson","given":"Olov","non-dropping-particle":"","parse-names":false,"suffix":""},{"dropping-particle":"","family":"Sandbaek","given":"Annelli","non-dropping-particle":"","parse-names":false,"suffix":""},{"dropping-particle":"","family":"Sandhu","given":"Manjinder","non-dropping-particle":"","parse-names":false,"suffix":""},{"dropping-particle":"","family":"Sanna","given":"Serena","non-dropping-particle":"","parse-names":false,"suffix":""},{"dropping-particle":"","family":"Sayer","given":"Avan Aihie","non-dropping-particle":"","parse-names":false,"suffix":""},{"dropping-particle":"","family":"Scheet","given":"Paul","non-dropping-particle":"","parse-names":false,"suffix":""},{"dropping-particle":"","family":"Seedorf","given":"Udo","non-dropping-particle":"","parse-names":false,"suffix":""},{"dropping-particle":"","family":"Sharp","given":"Stephen J.","non-dropping-particle":"","parse-names":false,"suffix":""},{"dropping-particle":"","family":"Sijbrands","given":"Eric J.G.","non-dropping-particle":"","parse-names":false,"suffix":""},{"dropping-particle":"","family":"Silveira","given":"Angela","non-dropping-particle":"","parse-names":false,"suffix":""},{"dropping-particle":"","family":"Simpson","given":"Laila","non-dropping-particle":"","parse-names":false,"suffix":""},{"dropping-particle":"","family":"Singleton","given":"Andrew","non-dropping-particle":"","parse-names":false,"suffix":""},{"dropping-particle":"","family":"Smith","given":"Nicholas L.","non-dropping-particle":"","parse-names":false,"suffix":""},{"dropping-particle":"","family":"Sovio","given":"Ulla","non-dropping-particle":"","parse-names":false,"suffix":""},{"dropping-particle":"","family":"Swift","given":"Amy","non-dropping-particle":"","parse-names":false,"suffix":""},{"dropping-particle":"","family":"Syddall","given":"Holly","non-dropping-particle":"","parse-names":false,"suffix":""},{"dropping-particle":"","family":"Syvänen","given":"Ann Christine","non-dropping-particle":"","parse-names":false,"suffix":""},{"dropping-particle":"","family":"Tanaka","given":"Toshiko","non-dropping-particle":"","parse-names":false,"suffix":""},{"dropping-particle":"","family":"Tönjes","given":"Anke","non-dropping-particle":"","parse-names":false,"suffix":""},{"dropping-particle":"","family":"Dijk","given":"Ko Willems","non-dropping-particle":"van","parse-names":false,"suffix":""},{"dropping-particle":"","family":"Varma","given":"Dhiraj","non-dropping-particle":"","parse-names":false,"suffix":""},{"dropping-particle":"","family":"Visvikis-Siest","given":"Sophie","non-dropping-particle":"","parse-names":false,"suffix":""},{"dropping-particle":"","family":"Vitart","given":"Veronique","non-dropping-particle":"","parse-names":false,"suffix":""},{"dropping-particle":"","family":"Vogelzangs","given":"Nicole","non-dropping-particle":"","parse-names":false,"suffix":""},{"dropping-particle":"","family":"Waeber","given":"Gérard","non-dropping-particle":"","parse-names":false,"suffix":""},{"dropping-particle":"","family":"Wagner","given":"Peter J.","non-dropping-particle":"","parse-names":false,"suffix":""},{"dropping-particle":"","family":"Walley","given":"Andrew","non-dropping-particle":"","parse-names":false,"suffix":""},{"dropping-particle":"","family":"Ward","given":"Kim L.","non-dropping-particle":"","parse-names":false,"suffix":""},{"dropping-particle":"","family":"Watkins","given":"Hugh","non-dropping-particle":"","parse-names":false,"suffix":""},{"dropping-particle":"","family":"Wild","given":"Sarah H.","non-dropping-particle":"","parse-names":false,"suffix":""},{"dropping-particle":"","family":"Willemsen","given":"Gonneke","non-dropping-particle":"","parse-names":false,"suffix":""},{"dropping-particle":"","family":"Witteman","given":"Jaqueline C.M.","non-dropping-particle":"","parse-names":false,"suffix":""},{"dropping-particle":"","family":"Yarnell","given":"John W.G.","non-dropping-particle":"","parse-names":false,"suffix":""},{"dropping-particle":"","family":"Zelenika","given":"Diana","non-dropping-particle":"","parse-names":false,"suffix":""},{"dropping-particle":"","family":"Zethelius","given":"Björn","non-dropping-particle":"","parse-names":false,"suffix":""},{"dropping-particle":"","family":"Zhai","given":"Guangju","non-dropping-particle":"","parse-names":false,"suffix":""},{"dropping-particle":"","family":"Zhao","given":"Jing Hua","non-dropping-particle":"","parse-names":false,"suffix":""},{"dropping-particle":"","family":"Zillikens","given":"McArola","non-dropping-particle":"","parse-names":false,"suffix":""},{"dropping-particle":"","family":"Borecki","given":"Ingrid B.","non-dropping-particle":"","parse-names":false,"suffix":""},{"dropping-particle":"","family":"Loos","given":"Ruth J.F.","non-dropping-particle":"","parse-names":false,"suffix":""},{"dropping-particle":"","family":"Meneton","given":"Pierre","non-dropping-particle":"","parse-names":false,"suffix":""},{"dropping-particle":"","family":"Magnusson","given":"Patrik K.E.","non-dropping-particle":"","parse-names":false,"suffix":""},{"dropping-particle":"","family":"Nathan","given":"David M.","non-dropping-particle":"","parse-names":false,"suffix":""},{"dropping-particle":"","family":"Williams","given":"Gordon H.","non-dropping-particle":"","parse-names":false,"suffix":""},{"dropping-particle":"","family":"Silander","given":"Kaisa","non-dropping-particle":"","parse-names":false,"suffix":""},{"dropping-particle":"","family":"Salomaa","given":"Veikko","non-dropping-particle":"","parse-names":false,"suffix":""},{"dropping-particle":"","family":"Smith","given":"George Davey","non-dropping-particle":"","parse-names":false,"suffix":""},{"dropping-particle":"","family":"Bornstein","given":"Stefan R.","non-dropping-particle":"","parse-names":false,"suffix":""},{"dropping-particle":"","family":"Schwarz","given":"Peter","non-dropping-particle":"","parse-names":false,"suffix":""},{"dropping-particle":"","family":"Spranger","given":"Joachim","non-dropping-particle":"","parse-names":false,"suffix":""},{"dropping-particle":"","family":"Karpe","given":"Fredrik","non-dropping-particle":"","parse-names":false,"suffix":""},{"dropping-particle":"","family":"Shuldiner","given":"Alan R.","non-dropping-particle":"","parse-names":false,"suffix":""},{"dropping-particle":"","family":"Cooper","given":"Cyrus","non-dropping-particle":"","parse-names":false,"suffix":""},{"dropping-particle":"V.","family":"Dedoussis","given":"George","non-dropping-particle":"","parse-names":false,"suffix":""},{"dropping-particle":"","family":"Serrano-Ríos","given":"Manuel","non-dropping-particle":"","parse-names":false,"suffix":""},{"dropping-particle":"","family":"Dmorris","given":"Andrew","non-dropping-particle":"","parse-names":false,"suffix":""},{"dropping-particle":"","family":"Lind","given":"Lars","non-dropping-particle":"","parse-names":false,"suffix":""},{"dropping-particle":"","family":"Palmer","given":"Lyle J.","non-dropping-particle":"","parse-names":false,"suffix":""},{"dropping-particle":"","family":"Hul","given":"Frank B.","non-dropping-particle":"","parse-names":false,"suffix":""},{"dropping-particle":"","family":"Franks","given":"Paul W.","non-dropping-particle":"","parse-names":false,"suffix":""},{"dropping-particle":"","family":"Ebrahim","given":"Shah","non-dropping-particle":"","parse-names":false,"suffix":""},{"dropping-particle":"","family":"Marmot","given":"Michael","non-dropping-particle":"","parse-names":false,"suffix":""},{"dropping-particle":"","family":"Wright","given":"Alan F.","non-dropping-particle":"","parse-names":false,"suffix":""},{"dropping-particle":"","family":"Stumvoll","given":"Michael","non-dropping-particle":"","parse-names":false,"suffix":""},{"dropping-particle":"","family":"Buchanan","given":"Thomas A.","non-dropping-particle":"","parse-names":false,"suffix":""},{"dropping-particle":"","family":"Valle","given":"Timo T.","non-dropping-particle":"","parse-names":false,"suffix":""},{"dropping-particle":"","family":"Rotter","given":"Jerome I.","non-dropping-particle":"","parse-names":false,"suffix":""},{"dropping-particle":"","family":"Siscovick","given":"David S.","non-dropping-particle":"","parse-names":false,"suffix":""},{"dropping-particle":"","family":"Penninx","given":"Brenda W.J.H.","non-dropping-particle":"","parse-names":false,"suffix":""},{"dropping-particle":"","family":"Boomsma","given":"Dorret I.","non-dropping-particle":"","parse-names":false,"suffix":""},{"dropping-particle":"","family":"Deloukas","given":"Panos","non-dropping-particle":"","parse-names":false,"suffix":""},{"dropping-particle":"","family":"Spector","given":"Timothy D.","non-dropping-particle":"","parse-names":false,"suffix":""},{"dropping-particle":"","family":"Ferrucci","given":"Luigi","non-dropping-particle":"","parse-names":false,"suffix":""},{"dropping-particle":"","family":"Duijn","given":"Cornelia Mvan","non-dropping-particle":"","parse-names":false,"suffix":""},{"dropping-particle":"","family":"Cao","given":"Antonio","non-dropping-particle":"","parse-names":false,"suffix":""},{"dropping-particle":"","family":"Scuteri","given":"Angelo","non-dropping-particle":"","parse-names":false,"suffix":""},{"dropping-particle":"","family":"Schlessinger","given":"David","non-dropping-particle":"","parse-names":false,"suffix":""},{"dropping-particle":"","family":"Uda","given":"Manuela","non-dropping-particle":"","parse-names":false,"suffix":""},{"dropping-particle":"","family":"Ruokonen","given":"Aimo","non-dropping-particle":"","parse-names":false,"suffix":""},{"dropping-particle":"","family":"Jarvelin","given":"Marjo Riitta","non-dropping-particle":"","parse-names":false,"suffix":""},{"dropping-particle":"","family":"Waterworth","given":"Dawn M.","non-dropping-particle":"","parse-names":false,"suffix":""},{"dropping-particle":"","family":"Vollenweider","given":"Peter","non-dropping-particle":"","parse-names":false,"suffix":""},{"dropping-particle":"","family":"Peltonen","given":"Leena","non-dropping-particle":"","parse-names":false,"suffix":""},{"dropping-particle":"","family":"Mooser","given":"Vincent","non-dropping-particle":"","parse-names":false,"suffix":""}],"container-title":"PLoS ONE","id":"ITEM-1","issue":"1","issued":{"date-parts":[["2012","1","4"]]},"publisher":"Public Library of Science","title":"A genome-wide association search for type 2 diabetes genes in african americans","type":"article-journal","volume":"7"},"uris":["http://www.mendeley.com/documents/?uuid=484c93fd-7443-382d-b853-bc373232d2cd"]},{"id":"ITEM-2","itemData":{"DOI":"10.3389/fgene.2018.00522","ISSN":"1664-8021","abstract":"A within-breed genome-wide association study (GWAS) is useful when identifying the QTL that segregates in a breed. However, an across-breed meta-analysis can be used to increase the power of identification and precise localization of QTL that segregate in multiple breeds. Precise localization will allow including QTL information from other breeds in genomic prediction due to the persistence of the linkage phase between the causal variant and the marker. This study aimed to identify and confirm QTL detected in within-breed GWAS through a meta-analysis in three French dairy cattle breeds. A set of sequence variants selected based on their functional annotations were imputed into 50 k genotypes for 46,732 Holstein, 20,096 Montbeliarde, and 11,944 Normande cows to identify QTL for milk production, the success rate at insemination of cows (fertility) and stature. We conducted within-breed GWAS followed by across-breed meta-analysis using a weighted Z-scores model on the GWAS summary data (i.e., P-values, effect direction, and sample size). After Bonferroni correction, the GWAS result identified 21,956 significantly associated SNP (PFWER &lt; 0.05), while meta-analysis result identified 9,604 significant SNP (PFWER &lt; 0.05) associated with the phenotypes. The meta-analysis identified 36 QTL for milk yield, 48 QTL for fat yield and percentage, 29 QTL for protein yield and percentage, 13 QTL for fertility, and 16 QTL for stature. Some of these QTL were not significant in the within-breed GWAS. Some previously identified causal variants were confirmed, e.g., BTA14:1802265 (fat percentage, P = 1.5 × 10−760; protein percentage, P = 7.61 × 10−348) both mapping the DGAT1-K232A mutation and BTA14:25006125 (P = 8.58 × 10−140) mapping PLAG1 gene was confirmed for stature in Montbeliarde. New QTL lead SNP shared between breeds included the intronic variant rs109205829 (NFIB gene), and the intergenic variant rs41592357 (1.38 Mb upstream of the CNTN6 gene and 0.65 Mb downstream of the CNTN4 gene). Rs110425867 (ZFAT gene) was the top variant associated with fertility, and new QTL lead SNP included rs109483390 (0.1 Mb upstream of the TNFAIP3 gene and 0.07 Mb downstream of PERP gene), and rs42412333 (0.45 Mb downstream of the RPL10L gene). An across-breed meta-analysis had greater power to detect QTL as opposed to a within breed GWAS. The QTL detected here can be incorporated in routine genomic predictions.","author":[{"dropping-particle":"","family":"Marete","given":"Andrew G.","non-dropping-particle":"","parse-names":false,"suffix":""},{"dropping-particle":"","family":"Guldbrandtsen","given":"Bernt","non-dropping-particle":"","parse-names":false,"suffix":""},{"dropping-particle":"","family":"Lund","given":"Mogens S.","non-dropping-particle":"","parse-names":false,"suffix":""},{"dropping-particle":"","family":"Fritz","given":"Sébastien","non-dropping-particle":"","parse-names":false,"suffix":""},{"dropping-particle":"","family":"Sahana","given":"Goutam","non-dropping-particle":"","parse-names":false,"suffix":""},{"dropping-particle":"","family":"Boichard","given":"Didier","non-dropping-particle":"","parse-names":false,"suffix":""}],"container-title":"Frontiers in Genetics","id":"ITEM-2","issued":{"date-parts":[["2018","11","6"]]},"page":"522","publisher":"Frontiers Media S.A.","title":"A Meta-Analysis Including Pre-selected Sequence Variants Associated With Seven Traits in Three French Dairy Cattle Populations","type":"article-journal","volume":"9"},"uris":["http://www.mendeley.com/documents/?uuid=e4797c9a-2c84-35de-b871-ed2b276d7bab"]}],"mendeley":{"formattedCitation":"[26, 27]","plainTextFormattedCitation":"[26, 27]","previouslyFormattedCitation":"[26, 27]"},"properties":{"noteIndex":0},"schema":"https://github.com/citation-style-language/schema/raw/master/csl-citation.json"}</w:instrText>
            </w:r>
            <w:r w:rsidRPr="00DD24FA">
              <w:rPr>
                <w:rFonts w:ascii="Times New Roman" w:hAnsi="Times New Roman" w:cs="Times New Roman"/>
                <w:sz w:val="18"/>
                <w:szCs w:val="18"/>
              </w:rPr>
              <w:fldChar w:fldCharType="separate"/>
            </w:r>
            <w:r w:rsidR="00165E9E" w:rsidRPr="00DD24FA">
              <w:rPr>
                <w:rFonts w:ascii="Times New Roman" w:hAnsi="Times New Roman" w:cs="Times New Roman"/>
                <w:noProof/>
                <w:sz w:val="18"/>
                <w:szCs w:val="18"/>
              </w:rPr>
              <w:t>[26, 27]</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Human, cattle; Developmentally regulates mRNA processing, association with type II diabetes, milk, fat, and protein yields</w:t>
            </w:r>
          </w:p>
        </w:tc>
      </w:tr>
      <w:tr w:rsidR="00DD24FA" w:rsidRPr="00267B98" w14:paraId="5DA3910B" w14:textId="77777777" w:rsidTr="00DD24FA">
        <w:trPr>
          <w:jc w:val="center"/>
        </w:trPr>
        <w:tc>
          <w:tcPr>
            <w:tcW w:w="501" w:type="pct"/>
            <w:tcBorders>
              <w:top w:val="single" w:sz="4" w:space="0" w:color="auto"/>
              <w:left w:val="single" w:sz="4" w:space="0" w:color="auto"/>
              <w:bottom w:val="single" w:sz="4" w:space="0" w:color="auto"/>
              <w:right w:val="single" w:sz="4" w:space="0" w:color="auto"/>
            </w:tcBorders>
            <w:hideMark/>
          </w:tcPr>
          <w:p w14:paraId="009D797E" w14:textId="32E2C1FE" w:rsidR="001B22CD" w:rsidRPr="00DD24FA" w:rsidRDefault="001B22CD" w:rsidP="00267B98">
            <w:pPr>
              <w:spacing w:after="0" w:line="240" w:lineRule="auto"/>
              <w:contextualSpacing/>
              <w:jc w:val="center"/>
              <w:rPr>
                <w:rFonts w:ascii="Times New Roman" w:hAnsi="Times New Roman" w:cs="Times New Roman"/>
                <w:i/>
                <w:sz w:val="18"/>
                <w:szCs w:val="18"/>
                <w:vertAlign w:val="superscript"/>
              </w:rPr>
            </w:pPr>
            <w:r w:rsidRPr="00DD24FA">
              <w:rPr>
                <w:rFonts w:ascii="Times New Roman" w:hAnsi="Times New Roman" w:cs="Times New Roman"/>
                <w:i/>
                <w:sz w:val="18"/>
                <w:szCs w:val="18"/>
              </w:rPr>
              <w:t>2_12</w:t>
            </w:r>
            <w:r w:rsidR="00E13A86" w:rsidRPr="00DD24FA">
              <w:rPr>
                <w:rFonts w:ascii="Times New Roman" w:hAnsi="Times New Roman" w:cs="Times New Roman"/>
                <w:i/>
                <w:sz w:val="18"/>
                <w:szCs w:val="18"/>
                <w:vertAlign w:val="superscript"/>
              </w:rPr>
              <w:t>a</w:t>
            </w:r>
          </w:p>
        </w:tc>
        <w:tc>
          <w:tcPr>
            <w:tcW w:w="340" w:type="pct"/>
            <w:tcBorders>
              <w:top w:val="single" w:sz="4" w:space="0" w:color="auto"/>
              <w:left w:val="single" w:sz="4" w:space="0" w:color="auto"/>
              <w:bottom w:val="single" w:sz="4" w:space="0" w:color="auto"/>
              <w:right w:val="single" w:sz="4" w:space="0" w:color="auto"/>
            </w:tcBorders>
            <w:hideMark/>
          </w:tcPr>
          <w:p w14:paraId="344A769E" w14:textId="2FED544D"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5.241</w:t>
            </w:r>
          </w:p>
        </w:tc>
        <w:tc>
          <w:tcPr>
            <w:tcW w:w="563" w:type="pct"/>
            <w:tcBorders>
              <w:top w:val="single" w:sz="4" w:space="0" w:color="auto"/>
              <w:left w:val="single" w:sz="4" w:space="0" w:color="auto"/>
              <w:bottom w:val="single" w:sz="4" w:space="0" w:color="auto"/>
              <w:right w:val="single" w:sz="4" w:space="0" w:color="auto"/>
            </w:tcBorders>
            <w:hideMark/>
          </w:tcPr>
          <w:p w14:paraId="27B56CCF" w14:textId="4AB16466"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1.54</w:t>
            </w:r>
            <w:r w:rsidR="00357539" w:rsidRPr="00DD24FA">
              <w:rPr>
                <w:rFonts w:ascii="Times New Roman" w:hAnsi="Times New Roman" w:cs="Times New Roman"/>
                <w:color w:val="000000"/>
                <w:sz w:val="18"/>
                <w:szCs w:val="18"/>
              </w:rPr>
              <w:t>7</w:t>
            </w:r>
          </w:p>
        </w:tc>
        <w:tc>
          <w:tcPr>
            <w:tcW w:w="328" w:type="pct"/>
            <w:tcBorders>
              <w:top w:val="single" w:sz="4" w:space="0" w:color="auto"/>
              <w:left w:val="single" w:sz="4" w:space="0" w:color="auto"/>
              <w:bottom w:val="single" w:sz="4" w:space="0" w:color="auto"/>
              <w:right w:val="single" w:sz="4" w:space="0" w:color="auto"/>
            </w:tcBorders>
            <w:hideMark/>
          </w:tcPr>
          <w:p w14:paraId="761C0545"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0.459</w:t>
            </w:r>
          </w:p>
        </w:tc>
        <w:tc>
          <w:tcPr>
            <w:tcW w:w="570" w:type="pct"/>
            <w:tcBorders>
              <w:top w:val="single" w:sz="4" w:space="0" w:color="auto"/>
              <w:left w:val="single" w:sz="4" w:space="0" w:color="auto"/>
              <w:bottom w:val="single" w:sz="4" w:space="0" w:color="auto"/>
              <w:right w:val="single" w:sz="4" w:space="0" w:color="auto"/>
            </w:tcBorders>
            <w:hideMark/>
          </w:tcPr>
          <w:p w14:paraId="2C0315E0"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3</w:t>
            </w:r>
          </w:p>
        </w:tc>
        <w:tc>
          <w:tcPr>
            <w:tcW w:w="722" w:type="pct"/>
            <w:tcBorders>
              <w:top w:val="single" w:sz="4" w:space="0" w:color="auto"/>
              <w:left w:val="single" w:sz="4" w:space="0" w:color="auto"/>
              <w:bottom w:val="single" w:sz="4" w:space="0" w:color="auto"/>
              <w:right w:val="single" w:sz="4" w:space="0" w:color="auto"/>
            </w:tcBorders>
            <w:hideMark/>
          </w:tcPr>
          <w:p w14:paraId="0D6B0087" w14:textId="77777777" w:rsidR="001B22CD" w:rsidRPr="00DD24FA" w:rsidRDefault="001B22CD" w:rsidP="00267B98">
            <w:pPr>
              <w:spacing w:after="0" w:line="240" w:lineRule="auto"/>
              <w:contextualSpacing/>
              <w:jc w:val="center"/>
              <w:rPr>
                <w:rFonts w:ascii="Times New Roman" w:hAnsi="Times New Roman" w:cs="Times New Roman"/>
                <w:i/>
                <w:color w:val="000000"/>
                <w:sz w:val="18"/>
                <w:szCs w:val="18"/>
              </w:rPr>
            </w:pPr>
            <w:r w:rsidRPr="00DD24FA">
              <w:rPr>
                <w:rFonts w:ascii="Times New Roman" w:hAnsi="Times New Roman" w:cs="Times New Roman"/>
                <w:i/>
                <w:color w:val="000000"/>
                <w:sz w:val="18"/>
                <w:szCs w:val="18"/>
              </w:rPr>
              <w:t>ZNF804A</w:t>
            </w:r>
          </w:p>
        </w:tc>
        <w:tc>
          <w:tcPr>
            <w:tcW w:w="466" w:type="pct"/>
            <w:tcBorders>
              <w:top w:val="single" w:sz="4" w:space="0" w:color="auto"/>
              <w:left w:val="single" w:sz="4" w:space="0" w:color="auto"/>
              <w:bottom w:val="single" w:sz="4" w:space="0" w:color="auto"/>
              <w:right w:val="single" w:sz="4" w:space="0" w:color="auto"/>
            </w:tcBorders>
            <w:hideMark/>
          </w:tcPr>
          <w:p w14:paraId="5CFFFFD3"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Intron</w:t>
            </w:r>
          </w:p>
        </w:tc>
        <w:tc>
          <w:tcPr>
            <w:tcW w:w="1510" w:type="pct"/>
            <w:tcBorders>
              <w:top w:val="single" w:sz="4" w:space="0" w:color="auto"/>
              <w:left w:val="single" w:sz="4" w:space="0" w:color="auto"/>
              <w:bottom w:val="single" w:sz="4" w:space="0" w:color="auto"/>
              <w:right w:val="single" w:sz="4" w:space="0" w:color="auto"/>
            </w:tcBorders>
            <w:hideMark/>
          </w:tcPr>
          <w:p w14:paraId="6406381D" w14:textId="2E8A776D"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B6111A" w:rsidRPr="00DD24FA">
              <w:rPr>
                <w:rFonts w:ascii="Times New Roman" w:hAnsi="Times New Roman" w:cs="Times New Roman"/>
                <w:sz w:val="18"/>
                <w:szCs w:val="18"/>
              </w:rPr>
              <w:instrText>ADDIN CSL_CITATION {"citationItems":[{"id":"ITEM-1","itemData":{"DOI":"10.1503/jpn.130126","ISSN":"14882434","PMID":"24866414","abstract":"Background: In a genome-wide association study of autism, zinc finger protein 804A (ZNF804A) single nucleotide polymorphisms (SNPs) were found to be nominally associated in verbally deficient individuals with autism. Zinc finger protein 804A copy number variations (CNVs) have also been observed in individuals with autism. In addition, ZNF804A is known to be involved in theory of mind (ToM) tasks,and ToM deficits are deemed responsible for the communication and social challenges faced by individuals with autism. We hypothesized that ZNF804A could be a risk gene for autism. Methods:We examined the genetic association and CNVs of ZNF804Ain 841 families in which 1 or more members had autism. We compared the expression of ZNF804Ain the postmortem brains of individuals with autism (n = 8) and controls (n = 13). We also assessed in vitro the effect of ZNF804Asilencing on the expression of several genes known to be involved in verbal efficiency and social cognition. Results:We found that rs7603001 was nominally associated with autism (p = 0.018). The association was stronger (p = 0.008) in the families of individuals with autism who were verbally deficient (n = 761 families). We observed ZNF804ACNVs in 7 verbally deficient boys with autism. In ZNF804A knockdown cells, the expression of synaptosomal-associated protein, 25kDa (SNAP25) was reduced compared with controls (p = 0.009). The expression of ZNF804A(p = 0.009) and SNAP25(p = 0.009) were reduced in the anterior cingulate gyrus (ACG) of individuals with autism. There was a strong positive correlation between the expression of ZNF804Aand SNAP25in the ACG (p&lt; 0.001). Limitations:Study limitations include our small sample size of postmortem brains. Conclusion: Our results suggest that ZNF804A could be a potential candidate gene mediating the intermediate phenotypes associated with verbal traits in individuals with autism. © 2014 Canadian Medical Association.","author":[{"dropping-particle":"","family":"Anitha","given":"Ayyappan","non-dropping-particle":"","parse-names":false,"suffix":""},{"dropping-particle":"","family":"Thanseem","given":"Ismail","non-dropping-particle":"","parse-names":false,"suffix":""},{"dropping-particle":"","family":"Nakamura","given":"Kazuhiko","non-dropping-particle":"","parse-names":false,"suffix":""},{"dropping-particle":"","family":"Vasu","given":"Mahesh M.","non-dropping-particle":"","parse-names":false,"suffix":""},{"dropping-particle":"","family":"Yamada","given":"Kazuo","non-dropping-particle":"","parse-names":false,"suffix":""},{"dropping-particle":"","family":"Ueki","given":"Takatoshi","non-dropping-particle":"","parse-names":false,"suffix":""},{"dropping-particle":"","family":"Iwayama","given":"Yoshimi","non-dropping-particle":"","parse-names":false,"suffix":""},{"dropping-particle":"","family":"Toyota","given":"Tomoko","non-dropping-particle":"","parse-names":false,"suffix":""},{"dropping-particle":"","family":"Tsuchiya","given":"Kenji J.","non-dropping-particle":"","parse-names":false,"suffix":""},{"dropping-particle":"","family":"Iwata","given":"Yasuhide","non-dropping-particle":"","parse-names":false,"suffix":""},{"dropping-particle":"","family":"Suzuki","given":"Katsuaki","non-dropping-particle":"","parse-names":false,"suffix":""},{"dropping-particle":"","family":"Sugiyama","given":"Toshiro","non-dropping-particle":"","parse-names":false,"suffix":""},{"dropping-particle":"","family":"Tsujii","given":"Masatsugu","non-dropping-particle":"","parse-names":false,"suffix":""},{"dropping-particle":"","family":"Yoshikawa","given":"Takeo","non-dropping-particle":"","parse-names":false,"suffix":""},{"dropping-particle":"","family":"Mori","given":"Norio","non-dropping-particle":"","parse-names":false,"suffix":""}],"container-title":"Journal of Psychiatry and Neuroscience","id":"ITEM-1","issue":"5","issued":{"date-parts":[["2014"]]},"page":"294-303","publisher":"Canadian Medical Association","title":"Zinc finger protein 804A (ZNF804A) and verbal deficits in individuals with autism","type":"article-journal","volume":"39"},"uris":["http://www.mendeley.com/documents/?uuid=7a92789c-2211-3018-b058-535e77d1baaa"]},{"id":"ITEM-2","itemData":{"DOI":"10.1186/s12711-020-0523-1","abstract":"Background: Linear type traits, which reflect the muscular characteristics of an animal, could provide insight into how, in some cases, morphologically very different animals can yield the same carcass weight. Such variability may contribute to differences in the overall value of the carcass since primal cuts vary greatly in price; such variability may also hinder successful genome-based association studies. Therefore, the objective of our study was to identify genomic regions that are associated with five muscularity linear type traits and to determine if these significant regions are common across five different breeds. Analyses were carried out using linear mixed models on imputed whole-genome sequence data in each of the five breeds, separately. Then, the results of the within-breed analyses were used to conduct an across-breed meta-analysis per trait. Results: We identified many quantitative trait loci (QTL) that are located across the whole genome and associated with each trait in each breed. The only commonality among the breeds and traits was a large-effect pleiotropic QTL on BTA2 that contained the MSTN gene, which was associated with all traits in the Charolais and Limousin breeds. Other plausible candidate genes were identified for muscularity traits including PDE1A, PPP1R1C and multiple col-lagen and HOXD genes. In addition, associated (gene ontology) GO terms and KEGG pathways tended to differ between breeds and between traits especially in the numerically smaller populations of Angus, Hereford, and Sim-mental breeds. Most of the SNPs that were associated with any of the traits were intergenic or intronic SNPs located within regulatory regions of the genome. Conclusions: The commonality between the Charolais and Limousin breeds indicates that the genetic architecture of the muscularity traits may be similar in these breeds due to their similar origins. Conversely, there were vast differences in the QTL associated with muscularity in Angus, Hereford, and Simmental. Knowledge of these differences in genetic architecture between breeds is useful to develop accurate genomic prediction equations that can operate effectively across breeds. Overall, the associated QTL differed according to trait, which suggests that breeding for a morphologically different (e.g. longer and wider versus shorter and smaller) more efficient animal may become possible in the future.","author":[{"dropping-particle":"","family":"Doyle","given":"Jennifer L","non-dropping-particle":"","parse-names":false,"suffix":""},{"dropping-particle":"","family":"Berry","given":"Donagh P","non-dropping-particle":"","parse-names":false,"suffix":""},{"dropping-particle":"","family":"Veerkamp","given":"Roel F","non-dropping-particle":"","parse-names":false,"suffix":""},{"dropping-particle":"","family":"Carthy","given":"Tara R","non-dropping-particle":"","parse-names":false,"suffix":""},{"dropping-particle":"","family":"Evans","given":"Ross D","non-dropping-particle":"","parse-names":false,"suffix":""},{"dropping-particle":"","family":"Walsh","given":"Siobhán W","non-dropping-particle":"","parse-names":false,"suffix":""},{"dropping-particle":"","family":"Purfield","given":"Deirdre C","non-dropping-particle":"","parse-names":false,"suffix":""}],"container-title":"Genetics Selection Evolution","id":"ITEM-2","issue":"2","issued":{"date-parts":[["2020"]]},"page":"1-18","title":"Genomic regions associated with muscularity in beef cattle differ in five contrasting cattle breeds","type":"article-journal","volume":"52"},"uris":["http://www.mendeley.com/documents/?uuid=bace6c40-c6b9-343b-93d2-673cc9a3ca37"]},{"id":"ITEM-3","itemData":{"DOI":"10.1186/s12864-020-6520-5","ISSN":"14712164","PMID":"32000679","abstract":"Background: Transcription has a substantial genetic control and genetic dissection of gene expression could help us understand the genetic architecture of complex phenotypes such as meat quality in cattle. The objectives of the present research were: 1) to perform eQTL and sQTL mapping analyses for meat quality traits in longissimus dorsi muscle; 2) to uncover genes whose expression is influenced by local or distant genetic variation; 3) to identify expression and splicing hot spots; and 4) to uncover genomic regions affecting the expression of multiple genes. Results: Eighty steers were selected for phenotyping, genotyping and RNA-seq evaluation. A panel of traits related to meat quality was recorded in longissimus dorsi muscle. Information on 112,042 SNPs and expression data on 8588 autosomal genes and 87,770 exons from 8467 genes were included in an expression and splicing quantitative trait loci (QTL) mapping (eQTL and sQTL, respectively). A gene, exon and isoform differential expression analysis previously carried out in this population identified 1352 genes, referred to as DEG, as explaining part of the variability associated with meat quality traits. The eQTL and sQTL mapping was performed using a linear regression model in the R package Matrix eQTL. Genotype and year of birth were included as fixed effects, and population structure was accounted for by including as a covariate the first PC from a PCA analysis on genotypic data. The identified QTLs were classified as cis or trans using 1 Mb as the maximum distance between the associated SNP and the gene being analyzed. A total of 8377 eQTLs were identified, including 75.6% trans, 10.4% cis, 12.5% DEG trans and 1.5% DEG cis; while 11,929 sQTLs were uncovered: 66.1% trans, 16.9% DEG trans, 14% cis and 3% DEG cis. Twenty-seven expression master regulators and 13 splicing master regulators were identified and were classified as membrane-associated or cytoskeletal proteins, transcription factors or DNA methylases. These genes could control the expression of other genes through cell signaling or by a direct transcriptional activation/repression mechanism. Conclusion: In the present analysis, we show that eQTL and sQTL mapping makes possible positional identification of gene and isoform expression regulators.","author":[{"dropping-particle":"","family":"Leal-Gutiérrez","given":"Joel D.","non-dropping-particle":"","parse-names":false,"suffix":""},{"dropping-particle":"","family":"Elzo","given":"Mauricio A.","non-dropping-particle":"","parse-names":false,"suffix":""},{"dropping-particle":"","family":"Mateescu","given":"Raluca G.","non-dropping-particle":"","parse-names":false,"suffix":""}],"container-title":"BMC Genomics","id":"ITEM-3","issue":"1","issued":{"date-parts":[["2020","1","30"]]},"page":"1-15","publisher":"BioMed Central","title":"Identification of eQTLs and sQTLs associated with meat quality in beef","type":"article-journal","volume":"21"},"uris":["http://www.mendeley.com/documents/?uuid=3b081ae0-992c-3840-a698-df40e35e90e6"]},{"id":"ITEM-4","itemData":{"DOI":"10.1186/s12864-016-2511-y","ISSN":"14712164","PMID":"26960694","abstract":"Background: Saturated fatty acids can be detrimental to human health and have received considerable attention in recent years. Several studies using taurine breeds showed the existence of genetic variability and thus the possibility of genetic improvement of the fatty acid profile in beef. This study identified the regions of the genome associated with saturated, mono- and polyunsaturated fatty acids, and n-6 to n-3 ratios in the Longissimus thoracis of Nellore finished in feedlot, using the single-step method. Results: The results showed that 115 windows explain more than 1 % of the additive genetic variance for the 22 studied fatty acids. Thirty-one genomic regions that explain more than 1 % of the additive genetic variance were observed for total saturated fatty acids, C12:0, C14:0, C16:0 and C18:0. Nineteen genomic regions, distributed in sixteen different chromosomes accounted for more than 1 % of the additive genetic variance for the monounsaturated fatty acids, such as the sum of monounsaturated fatty acids, C14:1 cis-9, C18:1 trans-11, C18:1 cis-9, and C18:1 trans-9. Forty genomic regions explained more than 1 % of the additive variance for the polyunsaturated fatty acids group, which are related to the total polyunsaturated fatty acids, C20:4 n-6, C18:2 cis-9 cis12 n-6, C18:3 n-3, C18:3 n-6, C22:6 n-3 and C20:3 n-6 cis-8 cis-11 cis-14. Twenty-one genomic regions accounted for more than 1 % of the genetic variance for the group of omega-3, omega-6 and the n-6:n-3 ratio. Conclusions: The identification of such regions and the respective candidate genes, such as ELOVL5, ESSRG, PCYT1A and genes of the ABC group (ABC5, ABC6 and ABC10), should contribute to form a genetic basis of the fatty acid profile of Nellore (Bos indicus) beef, contributing to better selection of the traits associated with improving human health.","author":[{"dropping-particle":"","family":"Lemos","given":"Marcos V.A.","non-dropping-particle":"","parse-names":false,"suffix":""},{"dropping-particle":"","family":"Chiaia","given":"Hermenegildo Lucas Justino","non-dropping-particle":"","parse-names":false,"suffix":""},{"dropping-particle":"","family":"Berton","given":"Mariana Piatto","non-dropping-particle":"","parse-names":false,"suffix":""},{"dropping-particle":"","family":"Feitosa","given":"Fabieli L.B.","non-dropping-particle":"","parse-names":false,"suffix":""},{"dropping-particle":"","family":"Aboujaoud","given":"Carolyn","non-dropping-particle":"","parse-names":false,"suffix":""},{"dropping-particle":"","family":"Camargo","given":"Gregório M.F.","non-dropping-particle":"","parse-names":false,"suffix":""},{"dropping-particle":"","family":"Pereira","given":"Angélica S.C.","non-dropping-particle":"","parse-names":false,"suffix":""},{"dropping-particle":"","family":"Albuquerque","given":"Lucia G.","non-dropping-particle":"","parse-names":false,"suffix":""},{"dropping-particle":"","family":"Ferrinho","given":"Adrielle M.","non-dropping-particle":"","parse-names":false,"suffix":""},{"dropping-particle":"","family":"Mueller","given":"Lenise F.","non-dropping-particle":"","parse-names":false,"suffix":""},{"dropping-particle":"","family":"Mazalli","given":"Monica R.","non-dropping-particle":"","parse-names":false,"suffix":""},{"dropping-particle":"","family":"Furlan","given":"Joyce J.M.","non-dropping-particle":"","parse-names":false,"suffix":""},{"dropping-particle":"","family":"Carvalheiro","given":"Roberto","non-dropping-particle":"","parse-names":false,"suffix":""},{"dropping-particle":"","family":"Gordo","given":"Daniel M.","non-dropping-particle":"","parse-names":false,"suffix":""},{"dropping-particle":"","family":"Tonussi","given":"Rafael","non-dropping-particle":"","parse-names":false,"suffix":""},{"dropping-particle":"","family":"Espigolan","given":"Rafael","non-dropping-particle":"","parse-names":false,"suffix":""},{"dropping-particle":"","family":"Silva","given":"Rafael Medeiros de Oliveira","non-dropping-particle":"","parse-names":false,"suffix":""},{"dropping-particle":"","family":"Oliveira","given":"Henrique Nunes","non-dropping-particle":"de","parse-names":false,"suffix":""},{"dropping-particle":"","family":"Duckett","given":"Susan","non-dropping-particle":"","parse-names":false,"suffix":""},{"dropping-particle":"","family":"Aguilar","given":"Ignacio","non-dropping-particle":"","parse-names":false,"suffix":""},{"dropping-particle":"","family":"Baldi","given":"Fernando","non-dropping-particle":"","parse-names":false,"suffix":""}],"container-title":"BMC Genomics","id":"ITEM-4","issue":"1","issued":{"date-parts":[["2016","3","9"]]},"page":"213","publisher":"BioMed Central Ltd.","title":"Genome-wide association between single nucleotide polymorphisms with beef fatty acid profile in Nellore cattle using the single step procedure","type":"article-journal","volume":"17"},"uris":["http://www.mendeley.com/documents/?uuid=55f8e954-9546-3e4c-80f9-25f7455a3a21"]}],"mendeley":{"formattedCitation":"[28–31]","plainTextFormattedCitation":"[28–31]","previouslyFormattedCitation":"[28–31]"},"properties":{"noteIndex":0},"schema":"https://github.com/citation-style-language/schema/raw/master/csl-citation.json"}</w:instrText>
            </w:r>
            <w:r w:rsidRPr="00DD24FA">
              <w:rPr>
                <w:rFonts w:ascii="Times New Roman" w:hAnsi="Times New Roman" w:cs="Times New Roman"/>
                <w:sz w:val="18"/>
                <w:szCs w:val="18"/>
              </w:rPr>
              <w:fldChar w:fldCharType="separate"/>
            </w:r>
            <w:r w:rsidR="00B6111A" w:rsidRPr="00DD24FA">
              <w:rPr>
                <w:rFonts w:ascii="Times New Roman" w:hAnsi="Times New Roman" w:cs="Times New Roman"/>
                <w:noProof/>
                <w:sz w:val="18"/>
                <w:szCs w:val="18"/>
              </w:rPr>
              <w:t>[28–31]</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xml:space="preserve">; Human, cattle; Role in signaling pathways for neuron differentiation, cell adhesion, muscular traits, expression and splicing master regulators for meat quality, fatty acid, </w:t>
            </w:r>
            <w:r w:rsidR="00B6111A" w:rsidRPr="00DD24FA">
              <w:rPr>
                <w:rFonts w:ascii="Times New Roman" w:hAnsi="Times New Roman" w:cs="Times New Roman"/>
                <w:sz w:val="18"/>
                <w:szCs w:val="18"/>
              </w:rPr>
              <w:t>back length</w:t>
            </w:r>
          </w:p>
        </w:tc>
      </w:tr>
    </w:tbl>
    <w:p w14:paraId="2121D186" w14:textId="46FA5963" w:rsidR="001B22CD" w:rsidRPr="00F85CC8" w:rsidRDefault="00E13A86" w:rsidP="00267B98">
      <w:pPr>
        <w:spacing w:after="0" w:line="240" w:lineRule="auto"/>
        <w:contextualSpacing/>
        <w:rPr>
          <w:sz w:val="20"/>
          <w:szCs w:val="20"/>
        </w:rPr>
      </w:pPr>
      <w:r w:rsidRPr="00F85CC8">
        <w:rPr>
          <w:sz w:val="20"/>
          <w:szCs w:val="20"/>
          <w:vertAlign w:val="superscript"/>
        </w:rPr>
        <w:t>a</w:t>
      </w:r>
      <w:r w:rsidR="001B22CD" w:rsidRPr="00F85CC8">
        <w:rPr>
          <w:sz w:val="20"/>
          <w:szCs w:val="20"/>
          <w:vertAlign w:val="superscript"/>
        </w:rPr>
        <w:t xml:space="preserve"> </w:t>
      </w:r>
      <w:r w:rsidR="001B22CD" w:rsidRPr="00F85CC8">
        <w:rPr>
          <w:sz w:val="20"/>
          <w:szCs w:val="20"/>
        </w:rPr>
        <w:t>Significant for</w:t>
      </w:r>
      <w:r w:rsidR="0093268A" w:rsidRPr="00F85CC8">
        <w:rPr>
          <w:sz w:val="20"/>
          <w:szCs w:val="20"/>
        </w:rPr>
        <w:t xml:space="preserve"> U.S.</w:t>
      </w:r>
      <w:r w:rsidR="001B22CD" w:rsidRPr="00F85CC8">
        <w:rPr>
          <w:sz w:val="20"/>
          <w:szCs w:val="20"/>
        </w:rPr>
        <w:t xml:space="preserve"> Southeast Ecoregion</w:t>
      </w:r>
    </w:p>
    <w:p w14:paraId="296FC6EA" w14:textId="70239A96" w:rsidR="001B22CD" w:rsidRPr="00F85CC8" w:rsidRDefault="00E13A86" w:rsidP="00267B98">
      <w:pPr>
        <w:spacing w:after="0" w:line="240" w:lineRule="auto"/>
        <w:contextualSpacing/>
        <w:rPr>
          <w:sz w:val="20"/>
          <w:szCs w:val="20"/>
        </w:rPr>
      </w:pPr>
      <w:r w:rsidRPr="00F85CC8">
        <w:rPr>
          <w:sz w:val="20"/>
          <w:szCs w:val="20"/>
          <w:vertAlign w:val="superscript"/>
        </w:rPr>
        <w:t>b</w:t>
      </w:r>
      <w:r w:rsidR="001B22CD" w:rsidRPr="00F85CC8">
        <w:rPr>
          <w:sz w:val="20"/>
          <w:szCs w:val="20"/>
          <w:vertAlign w:val="superscript"/>
        </w:rPr>
        <w:t xml:space="preserve"> </w:t>
      </w:r>
      <w:r w:rsidR="001B22CD" w:rsidRPr="00F85CC8">
        <w:rPr>
          <w:sz w:val="20"/>
          <w:szCs w:val="20"/>
        </w:rPr>
        <w:t xml:space="preserve">Significant for </w:t>
      </w:r>
      <w:r w:rsidR="0093268A" w:rsidRPr="00F85CC8">
        <w:rPr>
          <w:sz w:val="20"/>
          <w:szCs w:val="20"/>
        </w:rPr>
        <w:t xml:space="preserve">U.S. </w:t>
      </w:r>
      <w:r w:rsidR="001B22CD" w:rsidRPr="00F85CC8">
        <w:rPr>
          <w:sz w:val="20"/>
          <w:szCs w:val="20"/>
        </w:rPr>
        <w:t>Arid Prairie Ecoregion</w:t>
      </w:r>
    </w:p>
    <w:p w14:paraId="62DB81B6" w14:textId="34E3B86A" w:rsidR="0013515C" w:rsidRPr="00F85CC8" w:rsidRDefault="00E13A86" w:rsidP="00267B98">
      <w:pPr>
        <w:spacing w:after="0" w:line="240" w:lineRule="auto"/>
        <w:contextualSpacing/>
        <w:rPr>
          <w:sz w:val="20"/>
          <w:szCs w:val="20"/>
        </w:rPr>
      </w:pPr>
      <w:r w:rsidRPr="00F85CC8">
        <w:rPr>
          <w:sz w:val="20"/>
          <w:szCs w:val="20"/>
          <w:vertAlign w:val="superscript"/>
        </w:rPr>
        <w:t>c</w:t>
      </w:r>
      <w:r w:rsidRPr="00F85CC8">
        <w:rPr>
          <w:sz w:val="20"/>
          <w:szCs w:val="20"/>
        </w:rPr>
        <w:t xml:space="preserve"> Significant for </w:t>
      </w:r>
      <w:r w:rsidR="0093268A" w:rsidRPr="00F85CC8">
        <w:rPr>
          <w:sz w:val="20"/>
          <w:szCs w:val="20"/>
        </w:rPr>
        <w:t xml:space="preserve">U.S. </w:t>
      </w:r>
      <w:r w:rsidRPr="00F85CC8">
        <w:rPr>
          <w:sz w:val="20"/>
          <w:szCs w:val="20"/>
        </w:rPr>
        <w:t>Desert Ecoregion</w:t>
      </w:r>
    </w:p>
    <w:p w14:paraId="5487653A" w14:textId="69435742" w:rsidR="00B7190B" w:rsidRDefault="00B7190B" w:rsidP="00267B98">
      <w:pPr>
        <w:spacing w:after="0" w:line="240" w:lineRule="auto"/>
        <w:contextualSpacing/>
      </w:pPr>
    </w:p>
    <w:p w14:paraId="2FB4CCB1" w14:textId="77777777" w:rsidR="00B7190B" w:rsidRPr="000057B1" w:rsidRDefault="00B7190B" w:rsidP="00B7190B">
      <w:r>
        <w:rPr>
          <w:rFonts w:ascii="Times New Roman" w:hAnsi="Times New Roman" w:cs="Times New Roman"/>
          <w:b/>
        </w:rPr>
        <w:t>Table S7.</w:t>
      </w:r>
      <w:r>
        <w:rPr>
          <w:rFonts w:ascii="Times New Roman" w:hAnsi="Times New Roman" w:cs="Times New Roman"/>
        </w:rPr>
        <w:t xml:space="preserve"> </w:t>
      </w:r>
      <w:r>
        <w:t>Genomic inflation factors (</w:t>
      </w:r>
      <w:r>
        <w:rPr>
          <w:rFonts w:cstheme="minorHAnsi"/>
        </w:rPr>
        <w:t>λ</w:t>
      </w:r>
      <w:r>
        <w:t xml:space="preserve">) calculated using observed </w:t>
      </w:r>
      <w:r w:rsidRPr="0043204B">
        <w:rPr>
          <w:i/>
          <w:iCs/>
        </w:rPr>
        <w:t>P</w:t>
      </w:r>
      <w:r>
        <w:rPr>
          <w:i/>
          <w:iCs/>
        </w:rPr>
        <w:t>-</w:t>
      </w:r>
      <w:r>
        <w:t xml:space="preserve">values and expected </w:t>
      </w:r>
      <w:r w:rsidRPr="0043204B">
        <w:rPr>
          <w:i/>
          <w:iCs/>
        </w:rPr>
        <w:t>P</w:t>
      </w:r>
      <w:r>
        <w:rPr>
          <w:i/>
          <w:iCs/>
        </w:rPr>
        <w:t>-</w:t>
      </w:r>
      <w:r>
        <w:t xml:space="preserve">values </w:t>
      </w:r>
      <w:r w:rsidRPr="0043204B">
        <w:t xml:space="preserve">for </w:t>
      </w:r>
      <w:r>
        <w:t>GxE GWAA for growth traits in U.S. Red Angus beef cattle.</w:t>
      </w:r>
    </w:p>
    <w:tbl>
      <w:tblPr>
        <w:tblStyle w:val="TableGrid"/>
        <w:tblW w:w="5000" w:type="pct"/>
        <w:tblLook w:val="04A0" w:firstRow="1" w:lastRow="0" w:firstColumn="1" w:lastColumn="0" w:noHBand="0" w:noVBand="1"/>
      </w:tblPr>
      <w:tblGrid>
        <w:gridCol w:w="5305"/>
        <w:gridCol w:w="2250"/>
        <w:gridCol w:w="1795"/>
      </w:tblGrid>
      <w:tr w:rsidR="00B7190B" w:rsidRPr="00414093" w14:paraId="4F46217C" w14:textId="77777777" w:rsidTr="00BA33F6">
        <w:trPr>
          <w:trHeight w:val="293"/>
        </w:trPr>
        <w:tc>
          <w:tcPr>
            <w:tcW w:w="2837" w:type="pct"/>
            <w:tcBorders>
              <w:top w:val="single" w:sz="4" w:space="0" w:color="auto"/>
              <w:left w:val="single" w:sz="4" w:space="0" w:color="auto"/>
              <w:bottom w:val="single" w:sz="12" w:space="0" w:color="auto"/>
              <w:right w:val="single" w:sz="4" w:space="0" w:color="auto"/>
            </w:tcBorders>
          </w:tcPr>
          <w:p w14:paraId="461D7998" w14:textId="77777777" w:rsidR="00B7190B" w:rsidRPr="006735B9" w:rsidRDefault="00B7190B" w:rsidP="00B47F85">
            <w:pPr>
              <w:rPr>
                <w:b/>
                <w:sz w:val="24"/>
                <w:szCs w:val="24"/>
              </w:rPr>
            </w:pPr>
            <w:r w:rsidRPr="006735B9">
              <w:rPr>
                <w:b/>
                <w:sz w:val="24"/>
                <w:szCs w:val="24"/>
              </w:rPr>
              <w:t>Trait</w:t>
            </w:r>
          </w:p>
        </w:tc>
        <w:tc>
          <w:tcPr>
            <w:tcW w:w="1203" w:type="pct"/>
            <w:tcBorders>
              <w:top w:val="single" w:sz="4" w:space="0" w:color="auto"/>
              <w:left w:val="single" w:sz="4" w:space="0" w:color="auto"/>
              <w:bottom w:val="single" w:sz="12" w:space="0" w:color="auto"/>
              <w:right w:val="single" w:sz="4" w:space="0" w:color="auto"/>
            </w:tcBorders>
          </w:tcPr>
          <w:p w14:paraId="73CE8725" w14:textId="77777777" w:rsidR="00B7190B" w:rsidRPr="006735B9" w:rsidRDefault="00B7190B" w:rsidP="00B47F85">
            <w:pPr>
              <w:jc w:val="center"/>
              <w:rPr>
                <w:b/>
                <w:sz w:val="24"/>
                <w:szCs w:val="24"/>
              </w:rPr>
            </w:pPr>
            <w:r>
              <w:rPr>
                <w:rFonts w:cstheme="minorHAnsi"/>
                <w:b/>
                <w:sz w:val="24"/>
                <w:szCs w:val="24"/>
              </w:rPr>
              <w:t>λ</w:t>
            </w:r>
          </w:p>
        </w:tc>
        <w:tc>
          <w:tcPr>
            <w:tcW w:w="960" w:type="pct"/>
            <w:tcBorders>
              <w:top w:val="single" w:sz="4" w:space="0" w:color="auto"/>
              <w:left w:val="single" w:sz="4" w:space="0" w:color="auto"/>
              <w:bottom w:val="single" w:sz="12" w:space="0" w:color="auto"/>
              <w:right w:val="single" w:sz="4" w:space="0" w:color="auto"/>
            </w:tcBorders>
          </w:tcPr>
          <w:p w14:paraId="552388DB" w14:textId="77777777" w:rsidR="00B7190B" w:rsidRPr="006735B9" w:rsidRDefault="00B7190B" w:rsidP="00B47F85">
            <w:pPr>
              <w:jc w:val="center"/>
              <w:rPr>
                <w:b/>
                <w:sz w:val="24"/>
                <w:szCs w:val="24"/>
              </w:rPr>
            </w:pPr>
            <w:r>
              <w:rPr>
                <w:b/>
                <w:sz w:val="24"/>
                <w:szCs w:val="24"/>
              </w:rPr>
              <w:t>SE (</w:t>
            </w:r>
            <w:r>
              <w:rPr>
                <w:rFonts w:cstheme="minorHAnsi"/>
                <w:b/>
                <w:sz w:val="24"/>
                <w:szCs w:val="24"/>
              </w:rPr>
              <w:t>λ</w:t>
            </w:r>
            <w:r>
              <w:rPr>
                <w:b/>
                <w:sz w:val="24"/>
                <w:szCs w:val="24"/>
              </w:rPr>
              <w:t>)</w:t>
            </w:r>
          </w:p>
        </w:tc>
      </w:tr>
      <w:tr w:rsidR="00B7190B" w:rsidRPr="00414093" w14:paraId="18365858" w14:textId="77777777" w:rsidTr="00BA33F6">
        <w:trPr>
          <w:trHeight w:val="293"/>
        </w:trPr>
        <w:tc>
          <w:tcPr>
            <w:tcW w:w="2837" w:type="pct"/>
            <w:tcBorders>
              <w:top w:val="single" w:sz="12" w:space="0" w:color="auto"/>
              <w:left w:val="single" w:sz="4" w:space="0" w:color="auto"/>
              <w:bottom w:val="single" w:sz="4" w:space="0" w:color="auto"/>
              <w:right w:val="single" w:sz="4" w:space="0" w:color="auto"/>
            </w:tcBorders>
          </w:tcPr>
          <w:p w14:paraId="507F696A" w14:textId="550ECD2A" w:rsidR="00B7190B" w:rsidRPr="003F11A7" w:rsidRDefault="00B7190B" w:rsidP="00B47F85">
            <w:pPr>
              <w:rPr>
                <w:b/>
                <w:bCs/>
                <w:sz w:val="24"/>
                <w:szCs w:val="24"/>
                <w:vertAlign w:val="superscript"/>
              </w:rPr>
            </w:pPr>
            <w:r w:rsidRPr="003F11A7">
              <w:rPr>
                <w:b/>
                <w:bCs/>
              </w:rPr>
              <w:t xml:space="preserve">BW </w:t>
            </w:r>
            <w:r>
              <w:rPr>
                <w:b/>
                <w:bCs/>
              </w:rPr>
              <w:t>U.S Desert Ecoregion</w:t>
            </w:r>
          </w:p>
        </w:tc>
        <w:tc>
          <w:tcPr>
            <w:tcW w:w="1203" w:type="pct"/>
            <w:tcBorders>
              <w:top w:val="single" w:sz="12" w:space="0" w:color="auto"/>
              <w:left w:val="single" w:sz="4" w:space="0" w:color="auto"/>
              <w:bottom w:val="single" w:sz="4" w:space="0" w:color="auto"/>
              <w:right w:val="single" w:sz="4" w:space="0" w:color="auto"/>
            </w:tcBorders>
          </w:tcPr>
          <w:p w14:paraId="42FBD968" w14:textId="77777777" w:rsidR="00B7190B" w:rsidRPr="006735B9" w:rsidRDefault="00B7190B" w:rsidP="00B47F85">
            <w:pPr>
              <w:jc w:val="center"/>
              <w:rPr>
                <w:sz w:val="24"/>
                <w:szCs w:val="24"/>
              </w:rPr>
            </w:pPr>
            <w:r>
              <w:t>0.993</w:t>
            </w:r>
          </w:p>
        </w:tc>
        <w:tc>
          <w:tcPr>
            <w:tcW w:w="960" w:type="pct"/>
            <w:tcBorders>
              <w:top w:val="single" w:sz="12" w:space="0" w:color="auto"/>
              <w:left w:val="single" w:sz="4" w:space="0" w:color="auto"/>
              <w:bottom w:val="single" w:sz="4" w:space="0" w:color="auto"/>
              <w:right w:val="single" w:sz="4" w:space="0" w:color="auto"/>
            </w:tcBorders>
          </w:tcPr>
          <w:p w14:paraId="52D032B6" w14:textId="77777777" w:rsidR="00B7190B" w:rsidRPr="006735B9" w:rsidRDefault="00B7190B" w:rsidP="00B47F85">
            <w:pPr>
              <w:jc w:val="center"/>
              <w:rPr>
                <w:sz w:val="24"/>
                <w:szCs w:val="24"/>
              </w:rPr>
            </w:pPr>
            <w:r>
              <w:t>9.013E-06</w:t>
            </w:r>
          </w:p>
        </w:tc>
      </w:tr>
      <w:tr w:rsidR="00B7190B" w:rsidRPr="00414093" w14:paraId="662CA96F" w14:textId="77777777" w:rsidTr="00BA33F6">
        <w:trPr>
          <w:trHeight w:val="293"/>
        </w:trPr>
        <w:tc>
          <w:tcPr>
            <w:tcW w:w="2837" w:type="pct"/>
            <w:tcBorders>
              <w:top w:val="single" w:sz="4" w:space="0" w:color="auto"/>
              <w:left w:val="single" w:sz="4" w:space="0" w:color="auto"/>
              <w:bottom w:val="single" w:sz="4" w:space="0" w:color="auto"/>
              <w:right w:val="single" w:sz="4" w:space="0" w:color="auto"/>
            </w:tcBorders>
          </w:tcPr>
          <w:p w14:paraId="77E7F4D8" w14:textId="6292774C" w:rsidR="00B7190B" w:rsidRPr="003F11A7" w:rsidRDefault="00B7190B" w:rsidP="00B47F85">
            <w:pPr>
              <w:rPr>
                <w:b/>
                <w:bCs/>
                <w:sz w:val="24"/>
                <w:szCs w:val="24"/>
                <w:vertAlign w:val="superscript"/>
              </w:rPr>
            </w:pPr>
            <w:r w:rsidRPr="003F11A7">
              <w:rPr>
                <w:b/>
                <w:bCs/>
              </w:rPr>
              <w:t xml:space="preserve">BW </w:t>
            </w:r>
            <w:r>
              <w:rPr>
                <w:b/>
                <w:bCs/>
              </w:rPr>
              <w:t>U.S. Southeast Ecoregion</w:t>
            </w:r>
          </w:p>
        </w:tc>
        <w:tc>
          <w:tcPr>
            <w:tcW w:w="1203" w:type="pct"/>
            <w:tcBorders>
              <w:top w:val="single" w:sz="4" w:space="0" w:color="auto"/>
              <w:left w:val="single" w:sz="4" w:space="0" w:color="auto"/>
              <w:bottom w:val="single" w:sz="4" w:space="0" w:color="auto"/>
              <w:right w:val="single" w:sz="4" w:space="0" w:color="auto"/>
            </w:tcBorders>
          </w:tcPr>
          <w:p w14:paraId="18A8EA3F" w14:textId="77777777" w:rsidR="00B7190B" w:rsidRPr="006735B9" w:rsidRDefault="00B7190B" w:rsidP="00B47F85">
            <w:pPr>
              <w:jc w:val="center"/>
              <w:rPr>
                <w:sz w:val="24"/>
                <w:szCs w:val="24"/>
              </w:rPr>
            </w:pPr>
            <w:r>
              <w:t>1.007</w:t>
            </w:r>
          </w:p>
        </w:tc>
        <w:tc>
          <w:tcPr>
            <w:tcW w:w="960" w:type="pct"/>
            <w:tcBorders>
              <w:top w:val="single" w:sz="4" w:space="0" w:color="auto"/>
              <w:left w:val="single" w:sz="4" w:space="0" w:color="auto"/>
              <w:bottom w:val="single" w:sz="4" w:space="0" w:color="auto"/>
              <w:right w:val="single" w:sz="4" w:space="0" w:color="auto"/>
            </w:tcBorders>
          </w:tcPr>
          <w:p w14:paraId="232F3C65" w14:textId="77777777" w:rsidR="00B7190B" w:rsidRPr="006735B9" w:rsidRDefault="00B7190B" w:rsidP="00B47F85">
            <w:pPr>
              <w:jc w:val="center"/>
              <w:rPr>
                <w:sz w:val="24"/>
                <w:szCs w:val="24"/>
              </w:rPr>
            </w:pPr>
            <w:r>
              <w:t>9.188E-06</w:t>
            </w:r>
          </w:p>
        </w:tc>
      </w:tr>
      <w:tr w:rsidR="00B7190B" w:rsidRPr="00414093" w14:paraId="65D59B98" w14:textId="77777777" w:rsidTr="00BA33F6">
        <w:trPr>
          <w:trHeight w:val="293"/>
        </w:trPr>
        <w:tc>
          <w:tcPr>
            <w:tcW w:w="2837" w:type="pct"/>
            <w:tcBorders>
              <w:top w:val="single" w:sz="4" w:space="0" w:color="auto"/>
              <w:left w:val="single" w:sz="4" w:space="0" w:color="auto"/>
              <w:bottom w:val="single" w:sz="4" w:space="0" w:color="auto"/>
              <w:right w:val="single" w:sz="4" w:space="0" w:color="auto"/>
            </w:tcBorders>
          </w:tcPr>
          <w:p w14:paraId="5A6CF0BF" w14:textId="2D241ED2" w:rsidR="00B7190B" w:rsidRPr="003F11A7" w:rsidRDefault="00B7190B" w:rsidP="00B47F85">
            <w:pPr>
              <w:rPr>
                <w:b/>
                <w:bCs/>
                <w:sz w:val="24"/>
                <w:szCs w:val="24"/>
                <w:vertAlign w:val="superscript"/>
              </w:rPr>
            </w:pPr>
            <w:r w:rsidRPr="003F11A7">
              <w:rPr>
                <w:b/>
                <w:bCs/>
              </w:rPr>
              <w:t xml:space="preserve">BW </w:t>
            </w:r>
            <w:r>
              <w:rPr>
                <w:b/>
                <w:bCs/>
              </w:rPr>
              <w:t>U.S. High Plains Ecoregion</w:t>
            </w:r>
          </w:p>
        </w:tc>
        <w:tc>
          <w:tcPr>
            <w:tcW w:w="1203" w:type="pct"/>
            <w:tcBorders>
              <w:top w:val="single" w:sz="4" w:space="0" w:color="auto"/>
              <w:left w:val="single" w:sz="4" w:space="0" w:color="auto"/>
              <w:bottom w:val="single" w:sz="4" w:space="0" w:color="auto"/>
              <w:right w:val="single" w:sz="4" w:space="0" w:color="auto"/>
            </w:tcBorders>
          </w:tcPr>
          <w:p w14:paraId="205CBF08" w14:textId="77777777" w:rsidR="00B7190B" w:rsidRPr="006735B9" w:rsidRDefault="00B7190B" w:rsidP="00B47F85">
            <w:pPr>
              <w:jc w:val="center"/>
              <w:rPr>
                <w:sz w:val="24"/>
                <w:szCs w:val="24"/>
              </w:rPr>
            </w:pPr>
            <w:r>
              <w:t>1.019</w:t>
            </w:r>
          </w:p>
        </w:tc>
        <w:tc>
          <w:tcPr>
            <w:tcW w:w="960" w:type="pct"/>
            <w:tcBorders>
              <w:top w:val="single" w:sz="4" w:space="0" w:color="auto"/>
              <w:left w:val="single" w:sz="4" w:space="0" w:color="auto"/>
              <w:bottom w:val="single" w:sz="4" w:space="0" w:color="auto"/>
              <w:right w:val="single" w:sz="4" w:space="0" w:color="auto"/>
            </w:tcBorders>
          </w:tcPr>
          <w:p w14:paraId="2119621C" w14:textId="77777777" w:rsidR="00B7190B" w:rsidRPr="006735B9" w:rsidRDefault="00B7190B" w:rsidP="00B47F85">
            <w:pPr>
              <w:jc w:val="center"/>
              <w:rPr>
                <w:sz w:val="24"/>
                <w:szCs w:val="24"/>
              </w:rPr>
            </w:pPr>
            <w:r>
              <w:t>1.815E-05</w:t>
            </w:r>
          </w:p>
        </w:tc>
      </w:tr>
      <w:tr w:rsidR="00B7190B" w:rsidRPr="00414093" w14:paraId="2A171BDC" w14:textId="77777777" w:rsidTr="00BA33F6">
        <w:trPr>
          <w:trHeight w:val="293"/>
        </w:trPr>
        <w:tc>
          <w:tcPr>
            <w:tcW w:w="2837" w:type="pct"/>
            <w:tcBorders>
              <w:top w:val="single" w:sz="4" w:space="0" w:color="auto"/>
              <w:left w:val="single" w:sz="4" w:space="0" w:color="auto"/>
              <w:bottom w:val="single" w:sz="4" w:space="0" w:color="auto"/>
              <w:right w:val="single" w:sz="4" w:space="0" w:color="auto"/>
            </w:tcBorders>
          </w:tcPr>
          <w:p w14:paraId="4EBF04BD" w14:textId="57E1EFF6" w:rsidR="00B7190B" w:rsidRPr="003F11A7" w:rsidRDefault="00B7190B" w:rsidP="00B47F85">
            <w:pPr>
              <w:rPr>
                <w:b/>
                <w:bCs/>
              </w:rPr>
            </w:pPr>
            <w:r w:rsidRPr="003F11A7">
              <w:rPr>
                <w:b/>
                <w:bCs/>
              </w:rPr>
              <w:t xml:space="preserve">BW </w:t>
            </w:r>
            <w:r>
              <w:rPr>
                <w:b/>
                <w:bCs/>
              </w:rPr>
              <w:t>U.S. Arid Prairie Ecoregion</w:t>
            </w:r>
          </w:p>
        </w:tc>
        <w:tc>
          <w:tcPr>
            <w:tcW w:w="1203" w:type="pct"/>
            <w:tcBorders>
              <w:top w:val="single" w:sz="4" w:space="0" w:color="auto"/>
              <w:left w:val="single" w:sz="4" w:space="0" w:color="auto"/>
              <w:bottom w:val="single" w:sz="4" w:space="0" w:color="auto"/>
              <w:right w:val="single" w:sz="4" w:space="0" w:color="auto"/>
            </w:tcBorders>
          </w:tcPr>
          <w:p w14:paraId="11259D6E" w14:textId="77777777" w:rsidR="00B7190B" w:rsidRDefault="00B7190B" w:rsidP="00B47F85">
            <w:pPr>
              <w:jc w:val="center"/>
            </w:pPr>
            <w:r>
              <w:t>1.002</w:t>
            </w:r>
          </w:p>
        </w:tc>
        <w:tc>
          <w:tcPr>
            <w:tcW w:w="960" w:type="pct"/>
            <w:tcBorders>
              <w:top w:val="single" w:sz="4" w:space="0" w:color="auto"/>
              <w:left w:val="single" w:sz="4" w:space="0" w:color="auto"/>
              <w:bottom w:val="single" w:sz="4" w:space="0" w:color="auto"/>
              <w:right w:val="single" w:sz="4" w:space="0" w:color="auto"/>
            </w:tcBorders>
          </w:tcPr>
          <w:p w14:paraId="6B154579" w14:textId="77777777" w:rsidR="00B7190B" w:rsidRDefault="00B7190B" w:rsidP="00B47F85">
            <w:pPr>
              <w:jc w:val="center"/>
            </w:pPr>
            <w:r>
              <w:t>2.081E-05</w:t>
            </w:r>
          </w:p>
        </w:tc>
      </w:tr>
      <w:tr w:rsidR="00B7190B" w:rsidRPr="00414093" w14:paraId="1714EE6A" w14:textId="77777777" w:rsidTr="00BA33F6">
        <w:trPr>
          <w:trHeight w:val="293"/>
        </w:trPr>
        <w:tc>
          <w:tcPr>
            <w:tcW w:w="2837" w:type="pct"/>
            <w:tcBorders>
              <w:top w:val="single" w:sz="4" w:space="0" w:color="auto"/>
              <w:left w:val="single" w:sz="4" w:space="0" w:color="auto"/>
              <w:bottom w:val="single" w:sz="4" w:space="0" w:color="auto"/>
              <w:right w:val="single" w:sz="4" w:space="0" w:color="auto"/>
            </w:tcBorders>
          </w:tcPr>
          <w:p w14:paraId="539485C9" w14:textId="117CFFA7" w:rsidR="00B7190B" w:rsidRPr="003F11A7" w:rsidRDefault="00B7190B" w:rsidP="00B47F85">
            <w:pPr>
              <w:rPr>
                <w:b/>
                <w:bCs/>
              </w:rPr>
            </w:pPr>
            <w:r w:rsidRPr="003F11A7">
              <w:rPr>
                <w:b/>
                <w:bCs/>
              </w:rPr>
              <w:t xml:space="preserve">BW </w:t>
            </w:r>
            <w:r>
              <w:rPr>
                <w:b/>
                <w:bCs/>
              </w:rPr>
              <w:t>U.S. Foothills Ecoregion</w:t>
            </w:r>
          </w:p>
        </w:tc>
        <w:tc>
          <w:tcPr>
            <w:tcW w:w="1203" w:type="pct"/>
            <w:tcBorders>
              <w:top w:val="single" w:sz="4" w:space="0" w:color="auto"/>
              <w:left w:val="single" w:sz="4" w:space="0" w:color="auto"/>
              <w:bottom w:val="single" w:sz="4" w:space="0" w:color="auto"/>
              <w:right w:val="single" w:sz="4" w:space="0" w:color="auto"/>
            </w:tcBorders>
          </w:tcPr>
          <w:p w14:paraId="03DD5913" w14:textId="77777777" w:rsidR="00B7190B" w:rsidRDefault="00B7190B" w:rsidP="00B47F85">
            <w:pPr>
              <w:jc w:val="center"/>
            </w:pPr>
            <w:r>
              <w:t>1.026</w:t>
            </w:r>
          </w:p>
        </w:tc>
        <w:tc>
          <w:tcPr>
            <w:tcW w:w="960" w:type="pct"/>
            <w:tcBorders>
              <w:top w:val="single" w:sz="4" w:space="0" w:color="auto"/>
              <w:left w:val="single" w:sz="4" w:space="0" w:color="auto"/>
              <w:bottom w:val="single" w:sz="4" w:space="0" w:color="auto"/>
              <w:right w:val="single" w:sz="4" w:space="0" w:color="auto"/>
            </w:tcBorders>
          </w:tcPr>
          <w:p w14:paraId="5DAED457" w14:textId="77777777" w:rsidR="00B7190B" w:rsidRDefault="00B7190B" w:rsidP="00B47F85">
            <w:pPr>
              <w:jc w:val="center"/>
            </w:pPr>
            <w:r>
              <w:t>2.262E-05</w:t>
            </w:r>
          </w:p>
        </w:tc>
      </w:tr>
      <w:tr w:rsidR="00B7190B" w:rsidRPr="00414093" w14:paraId="21325E16" w14:textId="77777777" w:rsidTr="00BA33F6">
        <w:trPr>
          <w:trHeight w:val="293"/>
        </w:trPr>
        <w:tc>
          <w:tcPr>
            <w:tcW w:w="2837" w:type="pct"/>
            <w:tcBorders>
              <w:top w:val="single" w:sz="4" w:space="0" w:color="auto"/>
              <w:left w:val="single" w:sz="4" w:space="0" w:color="auto"/>
              <w:bottom w:val="single" w:sz="4" w:space="0" w:color="auto"/>
              <w:right w:val="single" w:sz="4" w:space="0" w:color="auto"/>
            </w:tcBorders>
          </w:tcPr>
          <w:p w14:paraId="190B2610" w14:textId="15EDA617" w:rsidR="00B7190B" w:rsidRPr="003F11A7" w:rsidRDefault="00B7190B" w:rsidP="00B47F85">
            <w:pPr>
              <w:rPr>
                <w:b/>
                <w:bCs/>
              </w:rPr>
            </w:pPr>
            <w:r w:rsidRPr="003F11A7">
              <w:rPr>
                <w:b/>
                <w:bCs/>
              </w:rPr>
              <w:t xml:space="preserve">BW </w:t>
            </w:r>
            <w:r>
              <w:rPr>
                <w:b/>
                <w:bCs/>
              </w:rPr>
              <w:t>U.S. Forested Mountains Ecoregion</w:t>
            </w:r>
          </w:p>
        </w:tc>
        <w:tc>
          <w:tcPr>
            <w:tcW w:w="1203" w:type="pct"/>
            <w:tcBorders>
              <w:top w:val="single" w:sz="4" w:space="0" w:color="auto"/>
              <w:left w:val="single" w:sz="4" w:space="0" w:color="auto"/>
              <w:bottom w:val="single" w:sz="4" w:space="0" w:color="auto"/>
              <w:right w:val="single" w:sz="4" w:space="0" w:color="auto"/>
            </w:tcBorders>
          </w:tcPr>
          <w:p w14:paraId="5BBFE736" w14:textId="77777777" w:rsidR="00B7190B" w:rsidRDefault="00B7190B" w:rsidP="00B47F85">
            <w:pPr>
              <w:jc w:val="center"/>
            </w:pPr>
            <w:r>
              <w:t>0.998</w:t>
            </w:r>
          </w:p>
        </w:tc>
        <w:tc>
          <w:tcPr>
            <w:tcW w:w="960" w:type="pct"/>
            <w:tcBorders>
              <w:top w:val="single" w:sz="4" w:space="0" w:color="auto"/>
              <w:left w:val="single" w:sz="4" w:space="0" w:color="auto"/>
              <w:bottom w:val="single" w:sz="4" w:space="0" w:color="auto"/>
              <w:right w:val="single" w:sz="4" w:space="0" w:color="auto"/>
            </w:tcBorders>
          </w:tcPr>
          <w:p w14:paraId="6C15F3AE" w14:textId="77777777" w:rsidR="00B7190B" w:rsidRDefault="00B7190B" w:rsidP="00B47F85">
            <w:pPr>
              <w:jc w:val="center"/>
            </w:pPr>
            <w:r>
              <w:t>1.299E-05</w:t>
            </w:r>
          </w:p>
        </w:tc>
      </w:tr>
      <w:tr w:rsidR="00B7190B" w:rsidRPr="00414093" w14:paraId="33D9FE52" w14:textId="77777777" w:rsidTr="00BA33F6">
        <w:trPr>
          <w:trHeight w:val="293"/>
        </w:trPr>
        <w:tc>
          <w:tcPr>
            <w:tcW w:w="2837" w:type="pct"/>
            <w:tcBorders>
              <w:top w:val="single" w:sz="4" w:space="0" w:color="auto"/>
              <w:left w:val="single" w:sz="4" w:space="0" w:color="auto"/>
              <w:bottom w:val="single" w:sz="4" w:space="0" w:color="auto"/>
              <w:right w:val="single" w:sz="4" w:space="0" w:color="auto"/>
            </w:tcBorders>
          </w:tcPr>
          <w:p w14:paraId="24503FD8" w14:textId="004F99E3" w:rsidR="00B7190B" w:rsidRPr="003F11A7" w:rsidRDefault="00B7190B" w:rsidP="00B47F85">
            <w:pPr>
              <w:rPr>
                <w:b/>
                <w:bCs/>
              </w:rPr>
            </w:pPr>
            <w:r w:rsidRPr="003F11A7">
              <w:rPr>
                <w:b/>
                <w:bCs/>
              </w:rPr>
              <w:lastRenderedPageBreak/>
              <w:t xml:space="preserve">BW </w:t>
            </w:r>
            <w:r>
              <w:rPr>
                <w:b/>
                <w:bCs/>
              </w:rPr>
              <w:t>U.S. Fescue Belt Ecoregion</w:t>
            </w:r>
          </w:p>
        </w:tc>
        <w:tc>
          <w:tcPr>
            <w:tcW w:w="1203" w:type="pct"/>
            <w:tcBorders>
              <w:top w:val="single" w:sz="4" w:space="0" w:color="auto"/>
              <w:left w:val="single" w:sz="4" w:space="0" w:color="auto"/>
              <w:bottom w:val="single" w:sz="4" w:space="0" w:color="auto"/>
              <w:right w:val="single" w:sz="4" w:space="0" w:color="auto"/>
            </w:tcBorders>
          </w:tcPr>
          <w:p w14:paraId="35AE10BE" w14:textId="77777777" w:rsidR="00B7190B" w:rsidRDefault="00B7190B" w:rsidP="00B47F85">
            <w:pPr>
              <w:jc w:val="center"/>
            </w:pPr>
            <w:r>
              <w:t>0.996</w:t>
            </w:r>
          </w:p>
        </w:tc>
        <w:tc>
          <w:tcPr>
            <w:tcW w:w="960" w:type="pct"/>
            <w:tcBorders>
              <w:top w:val="single" w:sz="4" w:space="0" w:color="auto"/>
              <w:left w:val="single" w:sz="4" w:space="0" w:color="auto"/>
              <w:bottom w:val="single" w:sz="4" w:space="0" w:color="auto"/>
              <w:right w:val="single" w:sz="4" w:space="0" w:color="auto"/>
            </w:tcBorders>
          </w:tcPr>
          <w:p w14:paraId="71C5299A" w14:textId="77777777" w:rsidR="00B7190B" w:rsidRDefault="00B7190B" w:rsidP="00B47F85">
            <w:pPr>
              <w:jc w:val="center"/>
            </w:pPr>
            <w:r>
              <w:t>1.717E-05</w:t>
            </w:r>
          </w:p>
        </w:tc>
      </w:tr>
      <w:tr w:rsidR="00B7190B" w:rsidRPr="00414093" w14:paraId="39A10D2F" w14:textId="77777777" w:rsidTr="00BA33F6">
        <w:trPr>
          <w:trHeight w:val="293"/>
        </w:trPr>
        <w:tc>
          <w:tcPr>
            <w:tcW w:w="2837" w:type="pct"/>
            <w:tcBorders>
              <w:top w:val="single" w:sz="4" w:space="0" w:color="auto"/>
              <w:left w:val="single" w:sz="4" w:space="0" w:color="auto"/>
              <w:bottom w:val="single" w:sz="4" w:space="0" w:color="auto"/>
              <w:right w:val="single" w:sz="4" w:space="0" w:color="auto"/>
            </w:tcBorders>
          </w:tcPr>
          <w:p w14:paraId="4CFE4F8D" w14:textId="1974F95D" w:rsidR="00B7190B" w:rsidRPr="003F11A7" w:rsidRDefault="00B7190B" w:rsidP="00B47F85">
            <w:pPr>
              <w:rPr>
                <w:b/>
                <w:bCs/>
              </w:rPr>
            </w:pPr>
            <w:r w:rsidRPr="003F11A7">
              <w:rPr>
                <w:b/>
                <w:bCs/>
              </w:rPr>
              <w:t xml:space="preserve">BW </w:t>
            </w:r>
            <w:r>
              <w:rPr>
                <w:b/>
                <w:bCs/>
              </w:rPr>
              <w:t>U.S. Upper Midwest and Northeast Ecoregion</w:t>
            </w:r>
          </w:p>
        </w:tc>
        <w:tc>
          <w:tcPr>
            <w:tcW w:w="1203" w:type="pct"/>
            <w:tcBorders>
              <w:top w:val="single" w:sz="4" w:space="0" w:color="auto"/>
              <w:left w:val="single" w:sz="4" w:space="0" w:color="auto"/>
              <w:bottom w:val="single" w:sz="4" w:space="0" w:color="auto"/>
              <w:right w:val="single" w:sz="4" w:space="0" w:color="auto"/>
            </w:tcBorders>
          </w:tcPr>
          <w:p w14:paraId="533EC42A" w14:textId="77777777" w:rsidR="00B7190B" w:rsidRDefault="00B7190B" w:rsidP="00B47F85">
            <w:pPr>
              <w:jc w:val="center"/>
            </w:pPr>
            <w:r>
              <w:t>0.981</w:t>
            </w:r>
          </w:p>
        </w:tc>
        <w:tc>
          <w:tcPr>
            <w:tcW w:w="960" w:type="pct"/>
            <w:tcBorders>
              <w:top w:val="single" w:sz="4" w:space="0" w:color="auto"/>
              <w:left w:val="single" w:sz="4" w:space="0" w:color="auto"/>
              <w:bottom w:val="single" w:sz="4" w:space="0" w:color="auto"/>
              <w:right w:val="single" w:sz="4" w:space="0" w:color="auto"/>
            </w:tcBorders>
          </w:tcPr>
          <w:p w14:paraId="29F86756" w14:textId="77777777" w:rsidR="00B7190B" w:rsidRDefault="00B7190B" w:rsidP="00B47F85">
            <w:pPr>
              <w:jc w:val="center"/>
            </w:pPr>
            <w:r>
              <w:t>1.395E-05</w:t>
            </w:r>
          </w:p>
        </w:tc>
      </w:tr>
      <w:tr w:rsidR="00B7190B" w:rsidRPr="00414093" w14:paraId="3D9E351D" w14:textId="77777777" w:rsidTr="00BA33F6">
        <w:trPr>
          <w:trHeight w:val="293"/>
        </w:trPr>
        <w:tc>
          <w:tcPr>
            <w:tcW w:w="2837" w:type="pct"/>
            <w:tcBorders>
              <w:top w:val="single" w:sz="4" w:space="0" w:color="auto"/>
              <w:left w:val="single" w:sz="4" w:space="0" w:color="auto"/>
              <w:bottom w:val="single" w:sz="4" w:space="0" w:color="auto"/>
              <w:right w:val="single" w:sz="4" w:space="0" w:color="auto"/>
            </w:tcBorders>
          </w:tcPr>
          <w:p w14:paraId="72838DBA" w14:textId="664C19CF" w:rsidR="00B7190B" w:rsidRPr="003F11A7" w:rsidRDefault="00B7190B" w:rsidP="00B47F85">
            <w:pPr>
              <w:rPr>
                <w:b/>
                <w:bCs/>
              </w:rPr>
            </w:pPr>
            <w:r w:rsidRPr="003F11A7">
              <w:rPr>
                <w:b/>
                <w:bCs/>
              </w:rPr>
              <w:t xml:space="preserve">WW </w:t>
            </w:r>
            <w:r>
              <w:rPr>
                <w:b/>
                <w:bCs/>
              </w:rPr>
              <w:t>U.S. Desert Ecoregion</w:t>
            </w:r>
          </w:p>
        </w:tc>
        <w:tc>
          <w:tcPr>
            <w:tcW w:w="1203" w:type="pct"/>
            <w:tcBorders>
              <w:top w:val="single" w:sz="4" w:space="0" w:color="auto"/>
              <w:left w:val="single" w:sz="4" w:space="0" w:color="auto"/>
              <w:bottom w:val="single" w:sz="4" w:space="0" w:color="auto"/>
              <w:right w:val="single" w:sz="4" w:space="0" w:color="auto"/>
            </w:tcBorders>
          </w:tcPr>
          <w:p w14:paraId="3BE1079D" w14:textId="77777777" w:rsidR="00B7190B" w:rsidRDefault="00B7190B" w:rsidP="00B47F85">
            <w:pPr>
              <w:jc w:val="center"/>
            </w:pPr>
            <w:r>
              <w:t>1.014</w:t>
            </w:r>
          </w:p>
        </w:tc>
        <w:tc>
          <w:tcPr>
            <w:tcW w:w="960" w:type="pct"/>
            <w:tcBorders>
              <w:top w:val="single" w:sz="4" w:space="0" w:color="auto"/>
              <w:left w:val="single" w:sz="4" w:space="0" w:color="auto"/>
              <w:bottom w:val="single" w:sz="4" w:space="0" w:color="auto"/>
              <w:right w:val="single" w:sz="4" w:space="0" w:color="auto"/>
            </w:tcBorders>
          </w:tcPr>
          <w:p w14:paraId="42EDF35E" w14:textId="77777777" w:rsidR="00B7190B" w:rsidRDefault="00B7190B" w:rsidP="00B47F85">
            <w:pPr>
              <w:jc w:val="center"/>
            </w:pPr>
            <w:r>
              <w:t>4.974E-05</w:t>
            </w:r>
          </w:p>
        </w:tc>
      </w:tr>
      <w:tr w:rsidR="00B7190B" w:rsidRPr="00414093" w14:paraId="0709F607" w14:textId="77777777" w:rsidTr="00BA33F6">
        <w:trPr>
          <w:trHeight w:val="293"/>
        </w:trPr>
        <w:tc>
          <w:tcPr>
            <w:tcW w:w="2837" w:type="pct"/>
            <w:tcBorders>
              <w:top w:val="single" w:sz="4" w:space="0" w:color="auto"/>
              <w:left w:val="single" w:sz="4" w:space="0" w:color="auto"/>
              <w:bottom w:val="single" w:sz="4" w:space="0" w:color="auto"/>
              <w:right w:val="single" w:sz="4" w:space="0" w:color="auto"/>
            </w:tcBorders>
          </w:tcPr>
          <w:p w14:paraId="79687CD0" w14:textId="0776BC5A" w:rsidR="00B7190B" w:rsidRPr="003F11A7" w:rsidRDefault="00B7190B" w:rsidP="00B47F85">
            <w:pPr>
              <w:rPr>
                <w:b/>
                <w:bCs/>
              </w:rPr>
            </w:pPr>
            <w:r w:rsidRPr="003F11A7">
              <w:rPr>
                <w:b/>
                <w:bCs/>
              </w:rPr>
              <w:t xml:space="preserve">WW </w:t>
            </w:r>
            <w:r>
              <w:rPr>
                <w:b/>
                <w:bCs/>
              </w:rPr>
              <w:t>U.S. Southeast Ecoregion</w:t>
            </w:r>
          </w:p>
        </w:tc>
        <w:tc>
          <w:tcPr>
            <w:tcW w:w="1203" w:type="pct"/>
            <w:tcBorders>
              <w:top w:val="single" w:sz="4" w:space="0" w:color="auto"/>
              <w:left w:val="single" w:sz="4" w:space="0" w:color="auto"/>
              <w:bottom w:val="single" w:sz="4" w:space="0" w:color="auto"/>
              <w:right w:val="single" w:sz="4" w:space="0" w:color="auto"/>
            </w:tcBorders>
          </w:tcPr>
          <w:p w14:paraId="38892B41" w14:textId="77777777" w:rsidR="00B7190B" w:rsidRDefault="00B7190B" w:rsidP="00B47F85">
            <w:pPr>
              <w:jc w:val="center"/>
            </w:pPr>
            <w:r>
              <w:t>1.010</w:t>
            </w:r>
          </w:p>
        </w:tc>
        <w:tc>
          <w:tcPr>
            <w:tcW w:w="960" w:type="pct"/>
            <w:tcBorders>
              <w:top w:val="single" w:sz="4" w:space="0" w:color="auto"/>
              <w:left w:val="single" w:sz="4" w:space="0" w:color="auto"/>
              <w:bottom w:val="single" w:sz="4" w:space="0" w:color="auto"/>
              <w:right w:val="single" w:sz="4" w:space="0" w:color="auto"/>
            </w:tcBorders>
          </w:tcPr>
          <w:p w14:paraId="014D217A" w14:textId="77777777" w:rsidR="00B7190B" w:rsidRDefault="00B7190B" w:rsidP="00B47F85">
            <w:pPr>
              <w:jc w:val="center"/>
            </w:pPr>
            <w:r>
              <w:t>1.989E-05</w:t>
            </w:r>
          </w:p>
        </w:tc>
      </w:tr>
      <w:tr w:rsidR="00B7190B" w:rsidRPr="00414093" w14:paraId="2C0BDED9" w14:textId="77777777" w:rsidTr="00BA33F6">
        <w:trPr>
          <w:trHeight w:val="293"/>
        </w:trPr>
        <w:tc>
          <w:tcPr>
            <w:tcW w:w="2837" w:type="pct"/>
            <w:tcBorders>
              <w:top w:val="single" w:sz="4" w:space="0" w:color="auto"/>
              <w:left w:val="single" w:sz="4" w:space="0" w:color="auto"/>
              <w:bottom w:val="single" w:sz="4" w:space="0" w:color="auto"/>
              <w:right w:val="single" w:sz="4" w:space="0" w:color="auto"/>
            </w:tcBorders>
          </w:tcPr>
          <w:p w14:paraId="24302092" w14:textId="2CE9645E" w:rsidR="00B7190B" w:rsidRPr="003F11A7" w:rsidRDefault="00B7190B" w:rsidP="00B47F85">
            <w:pPr>
              <w:rPr>
                <w:b/>
                <w:bCs/>
              </w:rPr>
            </w:pPr>
            <w:r w:rsidRPr="003F11A7">
              <w:rPr>
                <w:b/>
                <w:bCs/>
              </w:rPr>
              <w:t xml:space="preserve">WW </w:t>
            </w:r>
            <w:r>
              <w:rPr>
                <w:b/>
                <w:bCs/>
              </w:rPr>
              <w:t>U.S. High Plains Ecoregion</w:t>
            </w:r>
          </w:p>
        </w:tc>
        <w:tc>
          <w:tcPr>
            <w:tcW w:w="1203" w:type="pct"/>
            <w:tcBorders>
              <w:top w:val="single" w:sz="4" w:space="0" w:color="auto"/>
              <w:left w:val="single" w:sz="4" w:space="0" w:color="auto"/>
              <w:bottom w:val="single" w:sz="4" w:space="0" w:color="auto"/>
              <w:right w:val="single" w:sz="4" w:space="0" w:color="auto"/>
            </w:tcBorders>
          </w:tcPr>
          <w:p w14:paraId="655E3E97" w14:textId="77777777" w:rsidR="00B7190B" w:rsidRDefault="00B7190B" w:rsidP="00B47F85">
            <w:pPr>
              <w:jc w:val="center"/>
            </w:pPr>
            <w:r>
              <w:t>0.999</w:t>
            </w:r>
          </w:p>
        </w:tc>
        <w:tc>
          <w:tcPr>
            <w:tcW w:w="960" w:type="pct"/>
            <w:tcBorders>
              <w:top w:val="single" w:sz="4" w:space="0" w:color="auto"/>
              <w:left w:val="single" w:sz="4" w:space="0" w:color="auto"/>
              <w:bottom w:val="single" w:sz="4" w:space="0" w:color="auto"/>
              <w:right w:val="single" w:sz="4" w:space="0" w:color="auto"/>
            </w:tcBorders>
          </w:tcPr>
          <w:p w14:paraId="6B941C3A" w14:textId="77777777" w:rsidR="00B7190B" w:rsidRDefault="00B7190B" w:rsidP="00B47F85">
            <w:pPr>
              <w:jc w:val="center"/>
            </w:pPr>
            <w:r>
              <w:t>1.079E-05</w:t>
            </w:r>
          </w:p>
        </w:tc>
      </w:tr>
      <w:tr w:rsidR="00B7190B" w:rsidRPr="00414093" w14:paraId="42FCC998" w14:textId="77777777" w:rsidTr="00BA33F6">
        <w:trPr>
          <w:trHeight w:val="293"/>
        </w:trPr>
        <w:tc>
          <w:tcPr>
            <w:tcW w:w="2837" w:type="pct"/>
            <w:tcBorders>
              <w:top w:val="single" w:sz="4" w:space="0" w:color="auto"/>
              <w:left w:val="single" w:sz="4" w:space="0" w:color="auto"/>
              <w:bottom w:val="single" w:sz="4" w:space="0" w:color="auto"/>
              <w:right w:val="single" w:sz="4" w:space="0" w:color="auto"/>
            </w:tcBorders>
          </w:tcPr>
          <w:p w14:paraId="5E70F562" w14:textId="2FA3D001" w:rsidR="00B7190B" w:rsidRPr="003F11A7" w:rsidRDefault="00B7190B" w:rsidP="00B47F85">
            <w:pPr>
              <w:rPr>
                <w:b/>
                <w:bCs/>
              </w:rPr>
            </w:pPr>
            <w:r w:rsidRPr="003F11A7">
              <w:rPr>
                <w:b/>
                <w:bCs/>
              </w:rPr>
              <w:t xml:space="preserve">WW </w:t>
            </w:r>
            <w:r>
              <w:rPr>
                <w:b/>
                <w:bCs/>
              </w:rPr>
              <w:t>U.S. Arid Prairie Ecoregion</w:t>
            </w:r>
          </w:p>
        </w:tc>
        <w:tc>
          <w:tcPr>
            <w:tcW w:w="1203" w:type="pct"/>
            <w:tcBorders>
              <w:top w:val="single" w:sz="4" w:space="0" w:color="auto"/>
              <w:left w:val="single" w:sz="4" w:space="0" w:color="auto"/>
              <w:bottom w:val="single" w:sz="4" w:space="0" w:color="auto"/>
              <w:right w:val="single" w:sz="4" w:space="0" w:color="auto"/>
            </w:tcBorders>
          </w:tcPr>
          <w:p w14:paraId="2E82A68A" w14:textId="77777777" w:rsidR="00B7190B" w:rsidRDefault="00B7190B" w:rsidP="00B47F85">
            <w:pPr>
              <w:jc w:val="center"/>
            </w:pPr>
            <w:r>
              <w:t>0.982</w:t>
            </w:r>
          </w:p>
        </w:tc>
        <w:tc>
          <w:tcPr>
            <w:tcW w:w="960" w:type="pct"/>
            <w:tcBorders>
              <w:top w:val="single" w:sz="4" w:space="0" w:color="auto"/>
              <w:left w:val="single" w:sz="4" w:space="0" w:color="auto"/>
              <w:bottom w:val="single" w:sz="4" w:space="0" w:color="auto"/>
              <w:right w:val="single" w:sz="4" w:space="0" w:color="auto"/>
            </w:tcBorders>
          </w:tcPr>
          <w:p w14:paraId="653BD239" w14:textId="77777777" w:rsidR="00B7190B" w:rsidRDefault="00B7190B" w:rsidP="00B47F85">
            <w:pPr>
              <w:jc w:val="center"/>
            </w:pPr>
            <w:r>
              <w:t>1.193E-05</w:t>
            </w:r>
          </w:p>
        </w:tc>
      </w:tr>
      <w:tr w:rsidR="00B7190B" w:rsidRPr="00414093" w14:paraId="0B2E9706" w14:textId="77777777" w:rsidTr="00BA33F6">
        <w:trPr>
          <w:trHeight w:val="293"/>
        </w:trPr>
        <w:tc>
          <w:tcPr>
            <w:tcW w:w="2837" w:type="pct"/>
            <w:tcBorders>
              <w:top w:val="single" w:sz="4" w:space="0" w:color="auto"/>
              <w:left w:val="single" w:sz="4" w:space="0" w:color="auto"/>
              <w:bottom w:val="single" w:sz="4" w:space="0" w:color="auto"/>
              <w:right w:val="single" w:sz="4" w:space="0" w:color="auto"/>
            </w:tcBorders>
          </w:tcPr>
          <w:p w14:paraId="76CEB3D7" w14:textId="53617ED1" w:rsidR="00B7190B" w:rsidRPr="003F11A7" w:rsidRDefault="00B7190B" w:rsidP="00B47F85">
            <w:pPr>
              <w:rPr>
                <w:b/>
                <w:bCs/>
              </w:rPr>
            </w:pPr>
            <w:r w:rsidRPr="003F11A7">
              <w:rPr>
                <w:b/>
                <w:bCs/>
              </w:rPr>
              <w:t xml:space="preserve">WW </w:t>
            </w:r>
            <w:r>
              <w:rPr>
                <w:b/>
                <w:bCs/>
              </w:rPr>
              <w:t>U.S. Foothills Ecoregion</w:t>
            </w:r>
          </w:p>
        </w:tc>
        <w:tc>
          <w:tcPr>
            <w:tcW w:w="1203" w:type="pct"/>
            <w:tcBorders>
              <w:top w:val="single" w:sz="4" w:space="0" w:color="auto"/>
              <w:left w:val="single" w:sz="4" w:space="0" w:color="auto"/>
              <w:bottom w:val="single" w:sz="4" w:space="0" w:color="auto"/>
              <w:right w:val="single" w:sz="4" w:space="0" w:color="auto"/>
            </w:tcBorders>
          </w:tcPr>
          <w:p w14:paraId="72D64753" w14:textId="77777777" w:rsidR="00B7190B" w:rsidRDefault="00B7190B" w:rsidP="00B47F85">
            <w:pPr>
              <w:jc w:val="center"/>
            </w:pPr>
            <w:r>
              <w:t>1.045</w:t>
            </w:r>
          </w:p>
        </w:tc>
        <w:tc>
          <w:tcPr>
            <w:tcW w:w="960" w:type="pct"/>
            <w:tcBorders>
              <w:top w:val="single" w:sz="4" w:space="0" w:color="auto"/>
              <w:left w:val="single" w:sz="4" w:space="0" w:color="auto"/>
              <w:bottom w:val="single" w:sz="4" w:space="0" w:color="auto"/>
              <w:right w:val="single" w:sz="4" w:space="0" w:color="auto"/>
            </w:tcBorders>
          </w:tcPr>
          <w:p w14:paraId="217B1DAF" w14:textId="77777777" w:rsidR="00B7190B" w:rsidRDefault="00B7190B" w:rsidP="00B47F85">
            <w:pPr>
              <w:jc w:val="center"/>
            </w:pPr>
            <w:r>
              <w:t>2.905E-05</w:t>
            </w:r>
          </w:p>
        </w:tc>
      </w:tr>
      <w:tr w:rsidR="00B7190B" w:rsidRPr="00414093" w14:paraId="575414AB" w14:textId="77777777" w:rsidTr="00BA33F6">
        <w:trPr>
          <w:trHeight w:val="293"/>
        </w:trPr>
        <w:tc>
          <w:tcPr>
            <w:tcW w:w="2837" w:type="pct"/>
            <w:tcBorders>
              <w:top w:val="single" w:sz="4" w:space="0" w:color="auto"/>
              <w:left w:val="single" w:sz="4" w:space="0" w:color="auto"/>
              <w:bottom w:val="single" w:sz="4" w:space="0" w:color="auto"/>
              <w:right w:val="single" w:sz="4" w:space="0" w:color="auto"/>
            </w:tcBorders>
          </w:tcPr>
          <w:p w14:paraId="1564697E" w14:textId="36F25EFD" w:rsidR="00B7190B" w:rsidRPr="003F11A7" w:rsidRDefault="00B7190B" w:rsidP="00B47F85">
            <w:pPr>
              <w:rPr>
                <w:b/>
                <w:bCs/>
              </w:rPr>
            </w:pPr>
            <w:r w:rsidRPr="003F11A7">
              <w:rPr>
                <w:b/>
                <w:bCs/>
              </w:rPr>
              <w:t xml:space="preserve">WW </w:t>
            </w:r>
            <w:r>
              <w:rPr>
                <w:b/>
                <w:bCs/>
              </w:rPr>
              <w:t>U.S. Forested Mountains Ecoregion</w:t>
            </w:r>
          </w:p>
        </w:tc>
        <w:tc>
          <w:tcPr>
            <w:tcW w:w="1203" w:type="pct"/>
            <w:tcBorders>
              <w:top w:val="single" w:sz="4" w:space="0" w:color="auto"/>
              <w:left w:val="single" w:sz="4" w:space="0" w:color="auto"/>
              <w:bottom w:val="single" w:sz="4" w:space="0" w:color="auto"/>
              <w:right w:val="single" w:sz="4" w:space="0" w:color="auto"/>
            </w:tcBorders>
          </w:tcPr>
          <w:p w14:paraId="482FD5F9" w14:textId="77777777" w:rsidR="00B7190B" w:rsidRDefault="00B7190B" w:rsidP="00B47F85">
            <w:pPr>
              <w:jc w:val="center"/>
            </w:pPr>
            <w:r>
              <w:t>1.016</w:t>
            </w:r>
          </w:p>
        </w:tc>
        <w:tc>
          <w:tcPr>
            <w:tcW w:w="960" w:type="pct"/>
            <w:tcBorders>
              <w:top w:val="single" w:sz="4" w:space="0" w:color="auto"/>
              <w:left w:val="single" w:sz="4" w:space="0" w:color="auto"/>
              <w:bottom w:val="single" w:sz="4" w:space="0" w:color="auto"/>
              <w:right w:val="single" w:sz="4" w:space="0" w:color="auto"/>
            </w:tcBorders>
          </w:tcPr>
          <w:p w14:paraId="6E308B12" w14:textId="77777777" w:rsidR="00B7190B" w:rsidRDefault="00B7190B" w:rsidP="00B47F85">
            <w:pPr>
              <w:jc w:val="center"/>
            </w:pPr>
            <w:r>
              <w:t>1.194E-05</w:t>
            </w:r>
          </w:p>
        </w:tc>
      </w:tr>
      <w:tr w:rsidR="00B7190B" w:rsidRPr="00414093" w14:paraId="2A5A41D9" w14:textId="77777777" w:rsidTr="00BA33F6">
        <w:trPr>
          <w:trHeight w:val="293"/>
        </w:trPr>
        <w:tc>
          <w:tcPr>
            <w:tcW w:w="2837" w:type="pct"/>
            <w:tcBorders>
              <w:top w:val="single" w:sz="4" w:space="0" w:color="auto"/>
              <w:left w:val="single" w:sz="4" w:space="0" w:color="auto"/>
              <w:bottom w:val="single" w:sz="4" w:space="0" w:color="auto"/>
              <w:right w:val="single" w:sz="4" w:space="0" w:color="auto"/>
            </w:tcBorders>
          </w:tcPr>
          <w:p w14:paraId="4FA9C9F3" w14:textId="2E3833F8" w:rsidR="00B7190B" w:rsidRPr="003F11A7" w:rsidRDefault="00B7190B" w:rsidP="00B47F85">
            <w:pPr>
              <w:rPr>
                <w:b/>
                <w:bCs/>
              </w:rPr>
            </w:pPr>
            <w:r w:rsidRPr="003F11A7">
              <w:rPr>
                <w:b/>
                <w:bCs/>
              </w:rPr>
              <w:t xml:space="preserve">WW </w:t>
            </w:r>
            <w:r>
              <w:rPr>
                <w:b/>
                <w:bCs/>
              </w:rPr>
              <w:t>U.S. Fescue Belt Ecoregion</w:t>
            </w:r>
          </w:p>
        </w:tc>
        <w:tc>
          <w:tcPr>
            <w:tcW w:w="1203" w:type="pct"/>
            <w:tcBorders>
              <w:top w:val="single" w:sz="4" w:space="0" w:color="auto"/>
              <w:left w:val="single" w:sz="4" w:space="0" w:color="auto"/>
              <w:bottom w:val="single" w:sz="4" w:space="0" w:color="auto"/>
              <w:right w:val="single" w:sz="4" w:space="0" w:color="auto"/>
            </w:tcBorders>
          </w:tcPr>
          <w:p w14:paraId="3FB54359" w14:textId="77777777" w:rsidR="00B7190B" w:rsidRDefault="00B7190B" w:rsidP="00B47F85">
            <w:pPr>
              <w:jc w:val="center"/>
            </w:pPr>
            <w:r>
              <w:t>0.986</w:t>
            </w:r>
          </w:p>
        </w:tc>
        <w:tc>
          <w:tcPr>
            <w:tcW w:w="960" w:type="pct"/>
            <w:tcBorders>
              <w:top w:val="single" w:sz="4" w:space="0" w:color="auto"/>
              <w:left w:val="single" w:sz="4" w:space="0" w:color="auto"/>
              <w:bottom w:val="single" w:sz="4" w:space="0" w:color="auto"/>
              <w:right w:val="single" w:sz="4" w:space="0" w:color="auto"/>
            </w:tcBorders>
          </w:tcPr>
          <w:p w14:paraId="27E57F88" w14:textId="77777777" w:rsidR="00B7190B" w:rsidRDefault="00B7190B" w:rsidP="00B47F85">
            <w:pPr>
              <w:jc w:val="center"/>
            </w:pPr>
            <w:r>
              <w:t>2.164E-05</w:t>
            </w:r>
          </w:p>
        </w:tc>
      </w:tr>
      <w:tr w:rsidR="00B7190B" w:rsidRPr="00414093" w14:paraId="0F47C049" w14:textId="77777777" w:rsidTr="00BA33F6">
        <w:trPr>
          <w:trHeight w:val="293"/>
        </w:trPr>
        <w:tc>
          <w:tcPr>
            <w:tcW w:w="2837" w:type="pct"/>
            <w:tcBorders>
              <w:top w:val="single" w:sz="4" w:space="0" w:color="auto"/>
              <w:left w:val="single" w:sz="4" w:space="0" w:color="auto"/>
              <w:bottom w:val="single" w:sz="4" w:space="0" w:color="auto"/>
              <w:right w:val="single" w:sz="4" w:space="0" w:color="auto"/>
            </w:tcBorders>
          </w:tcPr>
          <w:p w14:paraId="639CF992" w14:textId="680B832D" w:rsidR="00B7190B" w:rsidRPr="003F11A7" w:rsidRDefault="00B7190B" w:rsidP="00B47F85">
            <w:pPr>
              <w:rPr>
                <w:b/>
                <w:bCs/>
              </w:rPr>
            </w:pPr>
            <w:r w:rsidRPr="003F11A7">
              <w:rPr>
                <w:b/>
                <w:bCs/>
              </w:rPr>
              <w:t xml:space="preserve">WW </w:t>
            </w:r>
            <w:r>
              <w:rPr>
                <w:b/>
                <w:bCs/>
              </w:rPr>
              <w:t xml:space="preserve">U.S. </w:t>
            </w:r>
            <w:r w:rsidR="00BA33F6">
              <w:rPr>
                <w:b/>
                <w:bCs/>
              </w:rPr>
              <w:t>Upper Midwest and Northeast Ecoregion</w:t>
            </w:r>
          </w:p>
        </w:tc>
        <w:tc>
          <w:tcPr>
            <w:tcW w:w="1203" w:type="pct"/>
            <w:tcBorders>
              <w:top w:val="single" w:sz="4" w:space="0" w:color="auto"/>
              <w:left w:val="single" w:sz="4" w:space="0" w:color="auto"/>
              <w:bottom w:val="single" w:sz="4" w:space="0" w:color="auto"/>
              <w:right w:val="single" w:sz="4" w:space="0" w:color="auto"/>
            </w:tcBorders>
          </w:tcPr>
          <w:p w14:paraId="181F4AC8" w14:textId="77777777" w:rsidR="00B7190B" w:rsidRDefault="00B7190B" w:rsidP="00B47F85">
            <w:pPr>
              <w:jc w:val="center"/>
            </w:pPr>
            <w:r>
              <w:t>1.008</w:t>
            </w:r>
          </w:p>
        </w:tc>
        <w:tc>
          <w:tcPr>
            <w:tcW w:w="960" w:type="pct"/>
            <w:tcBorders>
              <w:top w:val="single" w:sz="4" w:space="0" w:color="auto"/>
              <w:left w:val="single" w:sz="4" w:space="0" w:color="auto"/>
              <w:bottom w:val="single" w:sz="4" w:space="0" w:color="auto"/>
              <w:right w:val="single" w:sz="4" w:space="0" w:color="auto"/>
            </w:tcBorders>
          </w:tcPr>
          <w:p w14:paraId="03848DFC" w14:textId="77777777" w:rsidR="00B7190B" w:rsidRDefault="00B7190B" w:rsidP="00B47F85">
            <w:pPr>
              <w:jc w:val="center"/>
            </w:pPr>
            <w:r>
              <w:t>1.008E-05</w:t>
            </w:r>
          </w:p>
        </w:tc>
      </w:tr>
      <w:tr w:rsidR="00B7190B" w:rsidRPr="00414093" w14:paraId="23C3FCAC" w14:textId="77777777" w:rsidTr="00BA33F6">
        <w:trPr>
          <w:trHeight w:val="293"/>
        </w:trPr>
        <w:tc>
          <w:tcPr>
            <w:tcW w:w="2837" w:type="pct"/>
            <w:tcBorders>
              <w:top w:val="single" w:sz="4" w:space="0" w:color="auto"/>
              <w:left w:val="single" w:sz="4" w:space="0" w:color="auto"/>
              <w:bottom w:val="single" w:sz="4" w:space="0" w:color="auto"/>
              <w:right w:val="single" w:sz="4" w:space="0" w:color="auto"/>
            </w:tcBorders>
          </w:tcPr>
          <w:p w14:paraId="4EA86BCA" w14:textId="3D307B67" w:rsidR="00B7190B" w:rsidRPr="003F11A7" w:rsidRDefault="00B7190B" w:rsidP="00B47F85">
            <w:pPr>
              <w:rPr>
                <w:b/>
                <w:bCs/>
              </w:rPr>
            </w:pPr>
            <w:r w:rsidRPr="003F11A7">
              <w:rPr>
                <w:b/>
                <w:bCs/>
              </w:rPr>
              <w:t xml:space="preserve">YW </w:t>
            </w:r>
            <w:r w:rsidR="00BA33F6">
              <w:rPr>
                <w:b/>
                <w:bCs/>
              </w:rPr>
              <w:t>U.S. Desert Ecoregion</w:t>
            </w:r>
          </w:p>
        </w:tc>
        <w:tc>
          <w:tcPr>
            <w:tcW w:w="1203" w:type="pct"/>
            <w:tcBorders>
              <w:top w:val="single" w:sz="4" w:space="0" w:color="auto"/>
              <w:left w:val="single" w:sz="4" w:space="0" w:color="auto"/>
              <w:bottom w:val="single" w:sz="4" w:space="0" w:color="auto"/>
              <w:right w:val="single" w:sz="4" w:space="0" w:color="auto"/>
            </w:tcBorders>
          </w:tcPr>
          <w:p w14:paraId="2E3BF1DC" w14:textId="77777777" w:rsidR="00B7190B" w:rsidRDefault="00B7190B" w:rsidP="00B47F85">
            <w:pPr>
              <w:jc w:val="center"/>
            </w:pPr>
            <w:r>
              <w:t>1.021</w:t>
            </w:r>
          </w:p>
        </w:tc>
        <w:tc>
          <w:tcPr>
            <w:tcW w:w="960" w:type="pct"/>
            <w:tcBorders>
              <w:top w:val="single" w:sz="4" w:space="0" w:color="auto"/>
              <w:left w:val="single" w:sz="4" w:space="0" w:color="auto"/>
              <w:bottom w:val="single" w:sz="4" w:space="0" w:color="auto"/>
              <w:right w:val="single" w:sz="4" w:space="0" w:color="auto"/>
            </w:tcBorders>
          </w:tcPr>
          <w:p w14:paraId="4CBA57B8" w14:textId="77777777" w:rsidR="00B7190B" w:rsidRDefault="00B7190B" w:rsidP="00B47F85">
            <w:pPr>
              <w:jc w:val="center"/>
            </w:pPr>
            <w:r>
              <w:t>1.966E-05</w:t>
            </w:r>
          </w:p>
        </w:tc>
      </w:tr>
      <w:tr w:rsidR="00B7190B" w:rsidRPr="00414093" w14:paraId="197A5267" w14:textId="77777777" w:rsidTr="00BA33F6">
        <w:trPr>
          <w:trHeight w:val="293"/>
        </w:trPr>
        <w:tc>
          <w:tcPr>
            <w:tcW w:w="2837" w:type="pct"/>
            <w:tcBorders>
              <w:top w:val="single" w:sz="4" w:space="0" w:color="auto"/>
              <w:left w:val="single" w:sz="4" w:space="0" w:color="auto"/>
              <w:bottom w:val="single" w:sz="4" w:space="0" w:color="auto"/>
              <w:right w:val="single" w:sz="4" w:space="0" w:color="auto"/>
            </w:tcBorders>
          </w:tcPr>
          <w:p w14:paraId="30C10942" w14:textId="3FFFFE6A" w:rsidR="00B7190B" w:rsidRPr="003F11A7" w:rsidRDefault="00B7190B" w:rsidP="00B47F85">
            <w:pPr>
              <w:rPr>
                <w:b/>
                <w:bCs/>
              </w:rPr>
            </w:pPr>
            <w:r w:rsidRPr="003F11A7">
              <w:rPr>
                <w:b/>
                <w:bCs/>
              </w:rPr>
              <w:t xml:space="preserve">YW </w:t>
            </w:r>
            <w:r w:rsidR="00BA33F6">
              <w:rPr>
                <w:b/>
                <w:bCs/>
              </w:rPr>
              <w:t>U.S. Southeast Ecoregion</w:t>
            </w:r>
          </w:p>
        </w:tc>
        <w:tc>
          <w:tcPr>
            <w:tcW w:w="1203" w:type="pct"/>
            <w:tcBorders>
              <w:top w:val="single" w:sz="4" w:space="0" w:color="auto"/>
              <w:left w:val="single" w:sz="4" w:space="0" w:color="auto"/>
              <w:bottom w:val="single" w:sz="4" w:space="0" w:color="auto"/>
              <w:right w:val="single" w:sz="4" w:space="0" w:color="auto"/>
            </w:tcBorders>
          </w:tcPr>
          <w:p w14:paraId="788CFA58" w14:textId="77777777" w:rsidR="00B7190B" w:rsidRDefault="00B7190B" w:rsidP="00B47F85">
            <w:pPr>
              <w:jc w:val="center"/>
            </w:pPr>
            <w:r>
              <w:t>1.019</w:t>
            </w:r>
          </w:p>
        </w:tc>
        <w:tc>
          <w:tcPr>
            <w:tcW w:w="960" w:type="pct"/>
            <w:tcBorders>
              <w:top w:val="single" w:sz="4" w:space="0" w:color="auto"/>
              <w:left w:val="single" w:sz="4" w:space="0" w:color="auto"/>
              <w:bottom w:val="single" w:sz="4" w:space="0" w:color="auto"/>
              <w:right w:val="single" w:sz="4" w:space="0" w:color="auto"/>
            </w:tcBorders>
          </w:tcPr>
          <w:p w14:paraId="536D0C36" w14:textId="77777777" w:rsidR="00B7190B" w:rsidRDefault="00B7190B" w:rsidP="00B47F85">
            <w:pPr>
              <w:jc w:val="center"/>
            </w:pPr>
            <w:r>
              <w:t>2.792E-05</w:t>
            </w:r>
          </w:p>
        </w:tc>
      </w:tr>
      <w:tr w:rsidR="00B7190B" w:rsidRPr="00414093" w14:paraId="38EF2492" w14:textId="77777777" w:rsidTr="00BA33F6">
        <w:trPr>
          <w:trHeight w:val="293"/>
        </w:trPr>
        <w:tc>
          <w:tcPr>
            <w:tcW w:w="2837" w:type="pct"/>
            <w:tcBorders>
              <w:top w:val="single" w:sz="4" w:space="0" w:color="auto"/>
              <w:left w:val="single" w:sz="4" w:space="0" w:color="auto"/>
              <w:bottom w:val="single" w:sz="4" w:space="0" w:color="auto"/>
              <w:right w:val="single" w:sz="4" w:space="0" w:color="auto"/>
            </w:tcBorders>
          </w:tcPr>
          <w:p w14:paraId="04B80AA5" w14:textId="490E8D10" w:rsidR="00B7190B" w:rsidRPr="003F11A7" w:rsidRDefault="00B7190B" w:rsidP="00B47F85">
            <w:pPr>
              <w:rPr>
                <w:b/>
                <w:bCs/>
              </w:rPr>
            </w:pPr>
            <w:r w:rsidRPr="003F11A7">
              <w:rPr>
                <w:b/>
                <w:bCs/>
              </w:rPr>
              <w:t xml:space="preserve">YW </w:t>
            </w:r>
            <w:r w:rsidR="00BA33F6">
              <w:rPr>
                <w:b/>
                <w:bCs/>
              </w:rPr>
              <w:t>U.S. High Plains Ecoregion</w:t>
            </w:r>
          </w:p>
        </w:tc>
        <w:tc>
          <w:tcPr>
            <w:tcW w:w="1203" w:type="pct"/>
            <w:tcBorders>
              <w:top w:val="single" w:sz="4" w:space="0" w:color="auto"/>
              <w:left w:val="single" w:sz="4" w:space="0" w:color="auto"/>
              <w:bottom w:val="single" w:sz="4" w:space="0" w:color="auto"/>
              <w:right w:val="single" w:sz="4" w:space="0" w:color="auto"/>
            </w:tcBorders>
          </w:tcPr>
          <w:p w14:paraId="237D0B86" w14:textId="77777777" w:rsidR="00B7190B" w:rsidRDefault="00B7190B" w:rsidP="00B47F85">
            <w:pPr>
              <w:jc w:val="center"/>
            </w:pPr>
            <w:r>
              <w:t>1.013</w:t>
            </w:r>
          </w:p>
        </w:tc>
        <w:tc>
          <w:tcPr>
            <w:tcW w:w="960" w:type="pct"/>
            <w:tcBorders>
              <w:top w:val="single" w:sz="4" w:space="0" w:color="auto"/>
              <w:left w:val="single" w:sz="4" w:space="0" w:color="auto"/>
              <w:bottom w:val="single" w:sz="4" w:space="0" w:color="auto"/>
              <w:right w:val="single" w:sz="4" w:space="0" w:color="auto"/>
            </w:tcBorders>
          </w:tcPr>
          <w:p w14:paraId="0F2FD445" w14:textId="77777777" w:rsidR="00B7190B" w:rsidRDefault="00B7190B" w:rsidP="00B47F85">
            <w:pPr>
              <w:jc w:val="center"/>
            </w:pPr>
            <w:r>
              <w:t>1.985E-05</w:t>
            </w:r>
          </w:p>
        </w:tc>
      </w:tr>
      <w:tr w:rsidR="00B7190B" w:rsidRPr="00414093" w14:paraId="05F071AB" w14:textId="77777777" w:rsidTr="00BA33F6">
        <w:trPr>
          <w:trHeight w:val="293"/>
        </w:trPr>
        <w:tc>
          <w:tcPr>
            <w:tcW w:w="2837" w:type="pct"/>
            <w:tcBorders>
              <w:top w:val="single" w:sz="4" w:space="0" w:color="auto"/>
              <w:left w:val="single" w:sz="4" w:space="0" w:color="auto"/>
              <w:bottom w:val="single" w:sz="4" w:space="0" w:color="auto"/>
              <w:right w:val="single" w:sz="4" w:space="0" w:color="auto"/>
            </w:tcBorders>
          </w:tcPr>
          <w:p w14:paraId="495AD625" w14:textId="71B63FA6" w:rsidR="00B7190B" w:rsidRPr="003F11A7" w:rsidRDefault="00B7190B" w:rsidP="00B47F85">
            <w:pPr>
              <w:rPr>
                <w:b/>
                <w:bCs/>
              </w:rPr>
            </w:pPr>
            <w:r w:rsidRPr="003F11A7">
              <w:rPr>
                <w:b/>
                <w:bCs/>
              </w:rPr>
              <w:t>YW</w:t>
            </w:r>
            <w:r w:rsidR="00BA33F6">
              <w:rPr>
                <w:b/>
                <w:bCs/>
              </w:rPr>
              <w:t xml:space="preserve"> U.S. Arid Prairie Ecoregion</w:t>
            </w:r>
          </w:p>
        </w:tc>
        <w:tc>
          <w:tcPr>
            <w:tcW w:w="1203" w:type="pct"/>
            <w:tcBorders>
              <w:top w:val="single" w:sz="4" w:space="0" w:color="auto"/>
              <w:left w:val="single" w:sz="4" w:space="0" w:color="auto"/>
              <w:bottom w:val="single" w:sz="4" w:space="0" w:color="auto"/>
              <w:right w:val="single" w:sz="4" w:space="0" w:color="auto"/>
            </w:tcBorders>
          </w:tcPr>
          <w:p w14:paraId="3CD632DE" w14:textId="77777777" w:rsidR="00B7190B" w:rsidRDefault="00B7190B" w:rsidP="00B47F85">
            <w:pPr>
              <w:jc w:val="center"/>
            </w:pPr>
            <w:r>
              <w:t>0.995</w:t>
            </w:r>
          </w:p>
        </w:tc>
        <w:tc>
          <w:tcPr>
            <w:tcW w:w="960" w:type="pct"/>
            <w:tcBorders>
              <w:top w:val="single" w:sz="4" w:space="0" w:color="auto"/>
              <w:left w:val="single" w:sz="4" w:space="0" w:color="auto"/>
              <w:bottom w:val="single" w:sz="4" w:space="0" w:color="auto"/>
              <w:right w:val="single" w:sz="4" w:space="0" w:color="auto"/>
            </w:tcBorders>
          </w:tcPr>
          <w:p w14:paraId="006A37EF" w14:textId="77777777" w:rsidR="00B7190B" w:rsidRDefault="00B7190B" w:rsidP="00B47F85">
            <w:pPr>
              <w:jc w:val="center"/>
            </w:pPr>
            <w:r>
              <w:t>1.377E-05</w:t>
            </w:r>
          </w:p>
        </w:tc>
      </w:tr>
      <w:tr w:rsidR="00B7190B" w:rsidRPr="00414093" w14:paraId="6702F7D5" w14:textId="77777777" w:rsidTr="00BA33F6">
        <w:trPr>
          <w:trHeight w:val="293"/>
        </w:trPr>
        <w:tc>
          <w:tcPr>
            <w:tcW w:w="2837" w:type="pct"/>
            <w:tcBorders>
              <w:top w:val="single" w:sz="4" w:space="0" w:color="auto"/>
              <w:left w:val="single" w:sz="4" w:space="0" w:color="auto"/>
              <w:bottom w:val="single" w:sz="4" w:space="0" w:color="auto"/>
              <w:right w:val="single" w:sz="4" w:space="0" w:color="auto"/>
            </w:tcBorders>
          </w:tcPr>
          <w:p w14:paraId="7445562E" w14:textId="3F399BD4" w:rsidR="00B7190B" w:rsidRPr="003F11A7" w:rsidRDefault="00B7190B" w:rsidP="00B47F85">
            <w:pPr>
              <w:rPr>
                <w:b/>
                <w:bCs/>
              </w:rPr>
            </w:pPr>
            <w:r w:rsidRPr="003F11A7">
              <w:rPr>
                <w:b/>
                <w:bCs/>
              </w:rPr>
              <w:t xml:space="preserve">YW </w:t>
            </w:r>
            <w:r w:rsidR="00BA33F6">
              <w:rPr>
                <w:b/>
                <w:bCs/>
              </w:rPr>
              <w:t>U.S. Foothills Ecoregion</w:t>
            </w:r>
          </w:p>
        </w:tc>
        <w:tc>
          <w:tcPr>
            <w:tcW w:w="1203" w:type="pct"/>
            <w:tcBorders>
              <w:top w:val="single" w:sz="4" w:space="0" w:color="auto"/>
              <w:left w:val="single" w:sz="4" w:space="0" w:color="auto"/>
              <w:bottom w:val="single" w:sz="4" w:space="0" w:color="auto"/>
              <w:right w:val="single" w:sz="4" w:space="0" w:color="auto"/>
            </w:tcBorders>
          </w:tcPr>
          <w:p w14:paraId="23081CBB" w14:textId="77777777" w:rsidR="00B7190B" w:rsidRDefault="00B7190B" w:rsidP="00B47F85">
            <w:pPr>
              <w:jc w:val="center"/>
            </w:pPr>
            <w:r>
              <w:t>1.016</w:t>
            </w:r>
          </w:p>
        </w:tc>
        <w:tc>
          <w:tcPr>
            <w:tcW w:w="960" w:type="pct"/>
            <w:tcBorders>
              <w:top w:val="single" w:sz="4" w:space="0" w:color="auto"/>
              <w:left w:val="single" w:sz="4" w:space="0" w:color="auto"/>
              <w:bottom w:val="single" w:sz="4" w:space="0" w:color="auto"/>
              <w:right w:val="single" w:sz="4" w:space="0" w:color="auto"/>
            </w:tcBorders>
          </w:tcPr>
          <w:p w14:paraId="0942E976" w14:textId="77777777" w:rsidR="00B7190B" w:rsidRDefault="00B7190B" w:rsidP="00B47F85">
            <w:pPr>
              <w:jc w:val="center"/>
            </w:pPr>
            <w:r>
              <w:t>7.849E-05</w:t>
            </w:r>
          </w:p>
        </w:tc>
      </w:tr>
      <w:tr w:rsidR="00B7190B" w:rsidRPr="00414093" w14:paraId="6CB94FF9" w14:textId="77777777" w:rsidTr="00BA33F6">
        <w:trPr>
          <w:trHeight w:val="293"/>
        </w:trPr>
        <w:tc>
          <w:tcPr>
            <w:tcW w:w="2837" w:type="pct"/>
            <w:tcBorders>
              <w:top w:val="single" w:sz="4" w:space="0" w:color="auto"/>
              <w:left w:val="single" w:sz="4" w:space="0" w:color="auto"/>
              <w:bottom w:val="single" w:sz="4" w:space="0" w:color="auto"/>
              <w:right w:val="single" w:sz="4" w:space="0" w:color="auto"/>
            </w:tcBorders>
          </w:tcPr>
          <w:p w14:paraId="77EA8768" w14:textId="22F20916" w:rsidR="00B7190B" w:rsidRPr="003F11A7" w:rsidRDefault="00B7190B" w:rsidP="00B47F85">
            <w:pPr>
              <w:rPr>
                <w:b/>
                <w:bCs/>
              </w:rPr>
            </w:pPr>
            <w:r w:rsidRPr="003F11A7">
              <w:rPr>
                <w:b/>
                <w:bCs/>
              </w:rPr>
              <w:t xml:space="preserve">YW </w:t>
            </w:r>
            <w:r w:rsidR="00BA33F6">
              <w:rPr>
                <w:b/>
                <w:bCs/>
              </w:rPr>
              <w:t>U.S. Forested Mountains Ecoregion</w:t>
            </w:r>
          </w:p>
        </w:tc>
        <w:tc>
          <w:tcPr>
            <w:tcW w:w="1203" w:type="pct"/>
            <w:tcBorders>
              <w:top w:val="single" w:sz="4" w:space="0" w:color="auto"/>
              <w:left w:val="single" w:sz="4" w:space="0" w:color="auto"/>
              <w:bottom w:val="single" w:sz="4" w:space="0" w:color="auto"/>
              <w:right w:val="single" w:sz="4" w:space="0" w:color="auto"/>
            </w:tcBorders>
          </w:tcPr>
          <w:p w14:paraId="7B59A999" w14:textId="77777777" w:rsidR="00B7190B" w:rsidRDefault="00B7190B" w:rsidP="00B47F85">
            <w:pPr>
              <w:jc w:val="center"/>
            </w:pPr>
            <w:r>
              <w:t>1.003</w:t>
            </w:r>
          </w:p>
        </w:tc>
        <w:tc>
          <w:tcPr>
            <w:tcW w:w="960" w:type="pct"/>
            <w:tcBorders>
              <w:top w:val="single" w:sz="4" w:space="0" w:color="auto"/>
              <w:left w:val="single" w:sz="4" w:space="0" w:color="auto"/>
              <w:bottom w:val="single" w:sz="4" w:space="0" w:color="auto"/>
              <w:right w:val="single" w:sz="4" w:space="0" w:color="auto"/>
            </w:tcBorders>
          </w:tcPr>
          <w:p w14:paraId="39CC467F" w14:textId="77777777" w:rsidR="00B7190B" w:rsidRDefault="00B7190B" w:rsidP="00B47F85">
            <w:pPr>
              <w:jc w:val="center"/>
            </w:pPr>
            <w:r>
              <w:t>1.128E-05</w:t>
            </w:r>
          </w:p>
        </w:tc>
      </w:tr>
      <w:tr w:rsidR="00B7190B" w:rsidRPr="00414093" w14:paraId="3B990395" w14:textId="77777777" w:rsidTr="00BA33F6">
        <w:trPr>
          <w:trHeight w:val="293"/>
        </w:trPr>
        <w:tc>
          <w:tcPr>
            <w:tcW w:w="2837" w:type="pct"/>
            <w:tcBorders>
              <w:top w:val="single" w:sz="4" w:space="0" w:color="auto"/>
              <w:left w:val="single" w:sz="4" w:space="0" w:color="auto"/>
              <w:bottom w:val="single" w:sz="4" w:space="0" w:color="auto"/>
              <w:right w:val="single" w:sz="4" w:space="0" w:color="auto"/>
            </w:tcBorders>
          </w:tcPr>
          <w:p w14:paraId="1C3DFB7F" w14:textId="502D33CF" w:rsidR="00B7190B" w:rsidRPr="003F11A7" w:rsidRDefault="00B7190B" w:rsidP="00B47F85">
            <w:pPr>
              <w:rPr>
                <w:b/>
                <w:bCs/>
              </w:rPr>
            </w:pPr>
            <w:r w:rsidRPr="003F11A7">
              <w:rPr>
                <w:b/>
                <w:bCs/>
              </w:rPr>
              <w:t xml:space="preserve">YW </w:t>
            </w:r>
            <w:r w:rsidR="00BA33F6">
              <w:rPr>
                <w:b/>
                <w:bCs/>
              </w:rPr>
              <w:t>U.S. Fescue Belt Ecoregion</w:t>
            </w:r>
          </w:p>
        </w:tc>
        <w:tc>
          <w:tcPr>
            <w:tcW w:w="1203" w:type="pct"/>
            <w:tcBorders>
              <w:top w:val="single" w:sz="4" w:space="0" w:color="auto"/>
              <w:left w:val="single" w:sz="4" w:space="0" w:color="auto"/>
              <w:bottom w:val="single" w:sz="4" w:space="0" w:color="auto"/>
              <w:right w:val="single" w:sz="4" w:space="0" w:color="auto"/>
            </w:tcBorders>
          </w:tcPr>
          <w:p w14:paraId="10E5EA51" w14:textId="77777777" w:rsidR="00B7190B" w:rsidRDefault="00B7190B" w:rsidP="00B47F85">
            <w:pPr>
              <w:jc w:val="center"/>
            </w:pPr>
            <w:r>
              <w:t>1.022</w:t>
            </w:r>
          </w:p>
        </w:tc>
        <w:tc>
          <w:tcPr>
            <w:tcW w:w="960" w:type="pct"/>
            <w:tcBorders>
              <w:top w:val="single" w:sz="4" w:space="0" w:color="auto"/>
              <w:left w:val="single" w:sz="4" w:space="0" w:color="auto"/>
              <w:bottom w:val="single" w:sz="4" w:space="0" w:color="auto"/>
              <w:right w:val="single" w:sz="4" w:space="0" w:color="auto"/>
            </w:tcBorders>
          </w:tcPr>
          <w:p w14:paraId="5F5ADB39" w14:textId="77777777" w:rsidR="00B7190B" w:rsidRDefault="00B7190B" w:rsidP="00B47F85">
            <w:pPr>
              <w:jc w:val="center"/>
            </w:pPr>
            <w:r>
              <w:t>1.145E-05</w:t>
            </w:r>
          </w:p>
        </w:tc>
      </w:tr>
      <w:tr w:rsidR="00B7190B" w:rsidRPr="00414093" w14:paraId="342760D5" w14:textId="77777777" w:rsidTr="00BA33F6">
        <w:trPr>
          <w:trHeight w:val="293"/>
        </w:trPr>
        <w:tc>
          <w:tcPr>
            <w:tcW w:w="2837" w:type="pct"/>
            <w:tcBorders>
              <w:top w:val="single" w:sz="4" w:space="0" w:color="auto"/>
              <w:left w:val="single" w:sz="4" w:space="0" w:color="auto"/>
              <w:bottom w:val="single" w:sz="4" w:space="0" w:color="auto"/>
              <w:right w:val="single" w:sz="4" w:space="0" w:color="auto"/>
            </w:tcBorders>
          </w:tcPr>
          <w:p w14:paraId="782B37DA" w14:textId="20E698A5" w:rsidR="00B7190B" w:rsidRPr="003F11A7" w:rsidRDefault="00B7190B" w:rsidP="00B47F85">
            <w:pPr>
              <w:rPr>
                <w:b/>
                <w:bCs/>
              </w:rPr>
            </w:pPr>
            <w:r w:rsidRPr="003F11A7">
              <w:rPr>
                <w:b/>
                <w:bCs/>
              </w:rPr>
              <w:t xml:space="preserve">YW </w:t>
            </w:r>
            <w:r w:rsidR="00BA33F6">
              <w:rPr>
                <w:b/>
                <w:bCs/>
              </w:rPr>
              <w:t>U.S. Upper Midwest and Northeast Ecoregion</w:t>
            </w:r>
          </w:p>
        </w:tc>
        <w:tc>
          <w:tcPr>
            <w:tcW w:w="1203" w:type="pct"/>
            <w:tcBorders>
              <w:top w:val="single" w:sz="4" w:space="0" w:color="auto"/>
              <w:left w:val="single" w:sz="4" w:space="0" w:color="auto"/>
              <w:bottom w:val="single" w:sz="4" w:space="0" w:color="auto"/>
              <w:right w:val="single" w:sz="4" w:space="0" w:color="auto"/>
            </w:tcBorders>
          </w:tcPr>
          <w:p w14:paraId="2D0AA666" w14:textId="77777777" w:rsidR="00B7190B" w:rsidRDefault="00B7190B" w:rsidP="00B47F85">
            <w:pPr>
              <w:jc w:val="center"/>
            </w:pPr>
            <w:r>
              <w:t>1.022</w:t>
            </w:r>
          </w:p>
        </w:tc>
        <w:tc>
          <w:tcPr>
            <w:tcW w:w="960" w:type="pct"/>
            <w:tcBorders>
              <w:top w:val="single" w:sz="4" w:space="0" w:color="auto"/>
              <w:left w:val="single" w:sz="4" w:space="0" w:color="auto"/>
              <w:bottom w:val="single" w:sz="4" w:space="0" w:color="auto"/>
              <w:right w:val="single" w:sz="4" w:space="0" w:color="auto"/>
            </w:tcBorders>
          </w:tcPr>
          <w:p w14:paraId="0C9E68CE" w14:textId="77777777" w:rsidR="00B7190B" w:rsidRDefault="00B7190B" w:rsidP="00B47F85">
            <w:pPr>
              <w:jc w:val="center"/>
            </w:pPr>
            <w:r>
              <w:t>1.316E-05</w:t>
            </w:r>
          </w:p>
        </w:tc>
      </w:tr>
    </w:tbl>
    <w:p w14:paraId="3A120AE7" w14:textId="77777777" w:rsidR="00B7190B" w:rsidRPr="00E13A86" w:rsidRDefault="00B7190B" w:rsidP="00267B98">
      <w:pPr>
        <w:spacing w:after="0" w:line="240" w:lineRule="auto"/>
        <w:contextualSpacing/>
      </w:pPr>
    </w:p>
    <w:p w14:paraId="5A42B074" w14:textId="1EE39607" w:rsidR="001B22CD" w:rsidRDefault="001B22CD" w:rsidP="00267B98">
      <w:pPr>
        <w:spacing w:after="0" w:line="240" w:lineRule="auto"/>
        <w:contextualSpacing/>
        <w:rPr>
          <w:rFonts w:ascii="Times New Roman" w:hAnsi="Times New Roman" w:cs="Times New Roman"/>
        </w:rPr>
      </w:pPr>
      <w:r w:rsidRPr="00B361C9">
        <w:rPr>
          <w:rFonts w:ascii="Times New Roman" w:hAnsi="Times New Roman" w:cs="Times New Roman"/>
          <w:b/>
        </w:rPr>
        <w:t xml:space="preserve">Table </w:t>
      </w:r>
      <w:r w:rsidR="0013515C">
        <w:rPr>
          <w:rFonts w:ascii="Times New Roman" w:hAnsi="Times New Roman" w:cs="Times New Roman"/>
          <w:b/>
        </w:rPr>
        <w:t>S</w:t>
      </w:r>
      <w:r w:rsidR="00B7190B">
        <w:rPr>
          <w:rFonts w:ascii="Times New Roman" w:hAnsi="Times New Roman" w:cs="Times New Roman"/>
          <w:b/>
        </w:rPr>
        <w:t>8</w:t>
      </w:r>
      <w:r w:rsidRPr="00B361C9">
        <w:rPr>
          <w:rFonts w:ascii="Times New Roman" w:hAnsi="Times New Roman" w:cs="Times New Roman"/>
          <w:b/>
        </w:rPr>
        <w:t xml:space="preserve">. </w:t>
      </w:r>
      <w:r w:rsidRPr="00B361C9">
        <w:rPr>
          <w:rFonts w:ascii="Times New Roman" w:hAnsi="Times New Roman" w:cs="Times New Roman"/>
        </w:rPr>
        <w:t>Summary of</w:t>
      </w:r>
      <w:r w:rsidRPr="00B361C9">
        <w:rPr>
          <w:rFonts w:ascii="Times New Roman" w:hAnsi="Times New Roman" w:cs="Times New Roman"/>
          <w:b/>
        </w:rPr>
        <w:t xml:space="preserve"> </w:t>
      </w:r>
      <w:r w:rsidRPr="00B361C9">
        <w:rPr>
          <w:rFonts w:ascii="Times New Roman" w:hAnsi="Times New Roman" w:cs="Times New Roman"/>
        </w:rPr>
        <w:t xml:space="preserve">GxE </w:t>
      </w:r>
      <w:r w:rsidR="001C2F4F">
        <w:rPr>
          <w:rFonts w:ascii="Times New Roman" w:hAnsi="Times New Roman" w:cs="Times New Roman"/>
        </w:rPr>
        <w:t>interactions</w:t>
      </w:r>
      <w:r w:rsidRPr="00B361C9">
        <w:rPr>
          <w:rFonts w:ascii="Times New Roman" w:hAnsi="Times New Roman" w:cs="Times New Roman"/>
        </w:rPr>
        <w:t xml:space="preserve"> </w:t>
      </w:r>
      <w:r w:rsidR="00F85CC8">
        <w:rPr>
          <w:rFonts w:ascii="Times New Roman" w:hAnsi="Times New Roman" w:cs="Times New Roman"/>
        </w:rPr>
        <w:t>with 2 to 4 supporting SNPs</w:t>
      </w:r>
      <w:r w:rsidR="00F85CC8" w:rsidRPr="00B361C9">
        <w:rPr>
          <w:rFonts w:ascii="Times New Roman" w:hAnsi="Times New Roman" w:cs="Times New Roman"/>
        </w:rPr>
        <w:t xml:space="preserve"> </w:t>
      </w:r>
      <w:r w:rsidRPr="00B361C9">
        <w:rPr>
          <w:rFonts w:ascii="Times New Roman" w:hAnsi="Times New Roman" w:cs="Times New Roman"/>
        </w:rPr>
        <w:t xml:space="preserve">detected for </w:t>
      </w:r>
      <w:r w:rsidR="00DD1300">
        <w:rPr>
          <w:rFonts w:ascii="Times New Roman" w:hAnsi="Times New Roman" w:cs="Times New Roman"/>
        </w:rPr>
        <w:t>weaning weight</w:t>
      </w:r>
      <w:r w:rsidRPr="00B361C9">
        <w:rPr>
          <w:rFonts w:ascii="Times New Roman" w:hAnsi="Times New Roman" w:cs="Times New Roman"/>
        </w:rPr>
        <w:t xml:space="preserve"> in U.S. </w:t>
      </w:r>
      <w:r>
        <w:rPr>
          <w:rFonts w:ascii="Times New Roman" w:hAnsi="Times New Roman" w:cs="Times New Roman"/>
        </w:rPr>
        <w:t xml:space="preserve">Red Angus </w:t>
      </w:r>
      <w:r w:rsidRPr="00B361C9">
        <w:rPr>
          <w:rFonts w:ascii="Times New Roman" w:hAnsi="Times New Roman" w:cs="Times New Roman"/>
        </w:rPr>
        <w:t>cattle.</w:t>
      </w:r>
    </w:p>
    <w:tbl>
      <w:tblPr>
        <w:tblW w:w="50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704"/>
        <w:gridCol w:w="1056"/>
        <w:gridCol w:w="626"/>
        <w:gridCol w:w="1087"/>
        <w:gridCol w:w="1426"/>
        <w:gridCol w:w="990"/>
        <w:gridCol w:w="2700"/>
      </w:tblGrid>
      <w:tr w:rsidR="00DD24FA" w14:paraId="0AFF7BFA"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4B783DE3"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proofErr w:type="spellStart"/>
            <w:r w:rsidRPr="00DD24FA">
              <w:rPr>
                <w:rFonts w:ascii="Times New Roman" w:hAnsi="Times New Roman" w:cs="Times New Roman"/>
                <w:b/>
                <w:sz w:val="18"/>
                <w:szCs w:val="18"/>
              </w:rPr>
              <w:t>Chr_Mb</w:t>
            </w:r>
            <w:proofErr w:type="spellEnd"/>
          </w:p>
        </w:tc>
        <w:tc>
          <w:tcPr>
            <w:tcW w:w="369" w:type="pct"/>
            <w:tcBorders>
              <w:top w:val="single" w:sz="4" w:space="0" w:color="auto"/>
              <w:left w:val="single" w:sz="4" w:space="0" w:color="auto"/>
              <w:bottom w:val="single" w:sz="4" w:space="0" w:color="auto"/>
              <w:right w:val="single" w:sz="4" w:space="0" w:color="auto"/>
            </w:tcBorders>
            <w:hideMark/>
          </w:tcPr>
          <w:p w14:paraId="5EEB0EF2"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-log</w:t>
            </w:r>
            <w:r w:rsidRPr="00DD24FA">
              <w:rPr>
                <w:rFonts w:ascii="Times New Roman" w:hAnsi="Times New Roman" w:cs="Times New Roman"/>
                <w:b/>
                <w:sz w:val="18"/>
                <w:szCs w:val="18"/>
                <w:vertAlign w:val="subscript"/>
              </w:rPr>
              <w:t>10</w:t>
            </w:r>
          </w:p>
          <w:p w14:paraId="7AA93FD0"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P-value</w:t>
            </w:r>
          </w:p>
        </w:tc>
        <w:tc>
          <w:tcPr>
            <w:tcW w:w="554" w:type="pct"/>
            <w:tcBorders>
              <w:top w:val="single" w:sz="4" w:space="0" w:color="auto"/>
              <w:left w:val="single" w:sz="4" w:space="0" w:color="auto"/>
              <w:bottom w:val="single" w:sz="4" w:space="0" w:color="auto"/>
              <w:right w:val="single" w:sz="4" w:space="0" w:color="auto"/>
            </w:tcBorders>
            <w:hideMark/>
          </w:tcPr>
          <w:p w14:paraId="4A020FF7"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Regression</w:t>
            </w:r>
          </w:p>
          <w:p w14:paraId="4C2B44E1"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Beta</w:t>
            </w:r>
          </w:p>
        </w:tc>
        <w:tc>
          <w:tcPr>
            <w:tcW w:w="328" w:type="pct"/>
            <w:tcBorders>
              <w:top w:val="single" w:sz="4" w:space="0" w:color="auto"/>
              <w:left w:val="single" w:sz="4" w:space="0" w:color="auto"/>
              <w:bottom w:val="single" w:sz="4" w:space="0" w:color="auto"/>
              <w:right w:val="single" w:sz="4" w:space="0" w:color="auto"/>
            </w:tcBorders>
            <w:hideMark/>
          </w:tcPr>
          <w:p w14:paraId="32FE56E3"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MAF</w:t>
            </w:r>
          </w:p>
        </w:tc>
        <w:tc>
          <w:tcPr>
            <w:tcW w:w="570" w:type="pct"/>
            <w:tcBorders>
              <w:top w:val="single" w:sz="4" w:space="0" w:color="auto"/>
              <w:left w:val="single" w:sz="4" w:space="0" w:color="auto"/>
              <w:bottom w:val="single" w:sz="4" w:space="0" w:color="auto"/>
              <w:right w:val="single" w:sz="4" w:space="0" w:color="auto"/>
            </w:tcBorders>
            <w:hideMark/>
          </w:tcPr>
          <w:p w14:paraId="62581290"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Supporting</w:t>
            </w:r>
          </w:p>
          <w:p w14:paraId="67CCFED1"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SNPs</w:t>
            </w:r>
          </w:p>
        </w:tc>
        <w:tc>
          <w:tcPr>
            <w:tcW w:w="748" w:type="pct"/>
            <w:tcBorders>
              <w:top w:val="single" w:sz="4" w:space="0" w:color="auto"/>
              <w:left w:val="single" w:sz="4" w:space="0" w:color="auto"/>
              <w:bottom w:val="single" w:sz="4" w:space="0" w:color="auto"/>
              <w:right w:val="single" w:sz="4" w:space="0" w:color="auto"/>
            </w:tcBorders>
            <w:hideMark/>
          </w:tcPr>
          <w:p w14:paraId="3E589655"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Positional</w:t>
            </w:r>
          </w:p>
          <w:p w14:paraId="678BFEC3"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Candidate</w:t>
            </w:r>
          </w:p>
          <w:p w14:paraId="00B96E6A"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Genes</w:t>
            </w:r>
          </w:p>
        </w:tc>
        <w:tc>
          <w:tcPr>
            <w:tcW w:w="519" w:type="pct"/>
            <w:tcBorders>
              <w:top w:val="single" w:sz="4" w:space="0" w:color="auto"/>
              <w:left w:val="single" w:sz="4" w:space="0" w:color="auto"/>
              <w:bottom w:val="single" w:sz="4" w:space="0" w:color="auto"/>
              <w:right w:val="single" w:sz="4" w:space="0" w:color="auto"/>
            </w:tcBorders>
            <w:hideMark/>
          </w:tcPr>
          <w:p w14:paraId="64CD7760"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Lead SNP</w:t>
            </w:r>
          </w:p>
          <w:p w14:paraId="396997C9"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Location</w:t>
            </w:r>
          </w:p>
        </w:tc>
        <w:tc>
          <w:tcPr>
            <w:tcW w:w="1416" w:type="pct"/>
            <w:tcBorders>
              <w:top w:val="single" w:sz="4" w:space="0" w:color="auto"/>
              <w:left w:val="single" w:sz="4" w:space="0" w:color="auto"/>
              <w:bottom w:val="single" w:sz="4" w:space="0" w:color="auto"/>
              <w:right w:val="single" w:sz="4" w:space="0" w:color="auto"/>
            </w:tcBorders>
            <w:hideMark/>
          </w:tcPr>
          <w:p w14:paraId="22F0CD44" w14:textId="77777777" w:rsidR="001B22CD" w:rsidRPr="00DD24FA" w:rsidRDefault="001B22CD"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Scientific Precedence [reference]; organism; trait</w:t>
            </w:r>
          </w:p>
        </w:tc>
      </w:tr>
      <w:tr w:rsidR="00DD24FA" w14:paraId="27E3AE70"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0643EA3C" w14:textId="77777777" w:rsidR="001B22CD" w:rsidRPr="00DD24FA" w:rsidRDefault="001B22CD" w:rsidP="00267B98">
            <w:pPr>
              <w:spacing w:after="0" w:line="240" w:lineRule="auto"/>
              <w:contextualSpacing/>
              <w:jc w:val="center"/>
              <w:rPr>
                <w:rFonts w:ascii="Times New Roman" w:hAnsi="Times New Roman" w:cs="Times New Roman"/>
                <w:i/>
                <w:sz w:val="18"/>
                <w:szCs w:val="18"/>
                <w:vertAlign w:val="superscript"/>
              </w:rPr>
            </w:pPr>
            <w:r w:rsidRPr="00DD24FA">
              <w:rPr>
                <w:rFonts w:ascii="Times New Roman" w:hAnsi="Times New Roman" w:cs="Times New Roman"/>
                <w:i/>
                <w:sz w:val="18"/>
                <w:szCs w:val="18"/>
              </w:rPr>
              <w:t>8_20</w:t>
            </w:r>
            <w:r w:rsidRPr="00DD24FA">
              <w:rPr>
                <w:rFonts w:ascii="Times New Roman" w:hAnsi="Times New Roman" w:cs="Times New Roman"/>
                <w:i/>
                <w:sz w:val="18"/>
                <w:szCs w:val="18"/>
                <w:vertAlign w:val="superscript"/>
              </w:rPr>
              <w:t>a</w:t>
            </w:r>
          </w:p>
        </w:tc>
        <w:tc>
          <w:tcPr>
            <w:tcW w:w="369" w:type="pct"/>
            <w:tcBorders>
              <w:top w:val="single" w:sz="4" w:space="0" w:color="auto"/>
              <w:left w:val="single" w:sz="4" w:space="0" w:color="auto"/>
              <w:bottom w:val="single" w:sz="4" w:space="0" w:color="auto"/>
              <w:right w:val="single" w:sz="4" w:space="0" w:color="auto"/>
            </w:tcBorders>
            <w:hideMark/>
          </w:tcPr>
          <w:p w14:paraId="767DAD0D"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8.443</w:t>
            </w:r>
          </w:p>
        </w:tc>
        <w:tc>
          <w:tcPr>
            <w:tcW w:w="554" w:type="pct"/>
            <w:tcBorders>
              <w:top w:val="single" w:sz="4" w:space="0" w:color="auto"/>
              <w:left w:val="single" w:sz="4" w:space="0" w:color="auto"/>
              <w:bottom w:val="single" w:sz="4" w:space="0" w:color="auto"/>
              <w:right w:val="single" w:sz="4" w:space="0" w:color="auto"/>
            </w:tcBorders>
            <w:hideMark/>
          </w:tcPr>
          <w:p w14:paraId="4E64C0D6"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-91.905</w:t>
            </w:r>
          </w:p>
        </w:tc>
        <w:tc>
          <w:tcPr>
            <w:tcW w:w="328" w:type="pct"/>
            <w:tcBorders>
              <w:top w:val="single" w:sz="4" w:space="0" w:color="auto"/>
              <w:left w:val="single" w:sz="4" w:space="0" w:color="auto"/>
              <w:bottom w:val="single" w:sz="4" w:space="0" w:color="auto"/>
              <w:right w:val="single" w:sz="4" w:space="0" w:color="auto"/>
            </w:tcBorders>
            <w:hideMark/>
          </w:tcPr>
          <w:p w14:paraId="0A46A7FD"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0.013</w:t>
            </w:r>
          </w:p>
        </w:tc>
        <w:tc>
          <w:tcPr>
            <w:tcW w:w="570" w:type="pct"/>
            <w:tcBorders>
              <w:top w:val="single" w:sz="4" w:space="0" w:color="auto"/>
              <w:left w:val="single" w:sz="4" w:space="0" w:color="auto"/>
              <w:bottom w:val="single" w:sz="4" w:space="0" w:color="auto"/>
              <w:right w:val="single" w:sz="4" w:space="0" w:color="auto"/>
            </w:tcBorders>
            <w:hideMark/>
          </w:tcPr>
          <w:p w14:paraId="53A74B02"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3</w:t>
            </w:r>
          </w:p>
        </w:tc>
        <w:tc>
          <w:tcPr>
            <w:tcW w:w="748" w:type="pct"/>
            <w:tcBorders>
              <w:top w:val="single" w:sz="4" w:space="0" w:color="auto"/>
              <w:left w:val="single" w:sz="4" w:space="0" w:color="auto"/>
              <w:bottom w:val="single" w:sz="4" w:space="0" w:color="auto"/>
              <w:right w:val="single" w:sz="4" w:space="0" w:color="auto"/>
            </w:tcBorders>
            <w:hideMark/>
          </w:tcPr>
          <w:p w14:paraId="53F56B1C" w14:textId="77777777" w:rsidR="001B22CD" w:rsidRPr="00DD24FA" w:rsidRDefault="001B22CD" w:rsidP="00267B98">
            <w:pPr>
              <w:spacing w:after="0" w:line="240" w:lineRule="auto"/>
              <w:contextualSpacing/>
              <w:jc w:val="center"/>
              <w:rPr>
                <w:rFonts w:ascii="Times New Roman" w:hAnsi="Times New Roman" w:cs="Times New Roman"/>
                <w:i/>
                <w:iCs/>
                <w:color w:val="000000"/>
                <w:sz w:val="18"/>
                <w:szCs w:val="18"/>
              </w:rPr>
            </w:pPr>
            <w:r w:rsidRPr="00DD24FA">
              <w:rPr>
                <w:rFonts w:ascii="Times New Roman" w:hAnsi="Times New Roman" w:cs="Times New Roman"/>
                <w:i/>
                <w:iCs/>
                <w:color w:val="000000"/>
                <w:sz w:val="18"/>
                <w:szCs w:val="18"/>
              </w:rPr>
              <w:t>LOC616508, ELAVL2</w:t>
            </w:r>
          </w:p>
        </w:tc>
        <w:tc>
          <w:tcPr>
            <w:tcW w:w="519" w:type="pct"/>
            <w:tcBorders>
              <w:top w:val="single" w:sz="4" w:space="0" w:color="auto"/>
              <w:left w:val="single" w:sz="4" w:space="0" w:color="auto"/>
              <w:bottom w:val="single" w:sz="4" w:space="0" w:color="auto"/>
              <w:right w:val="single" w:sz="4" w:space="0" w:color="auto"/>
            </w:tcBorders>
            <w:hideMark/>
          </w:tcPr>
          <w:p w14:paraId="091AF3C8"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Intergenic</w:t>
            </w:r>
          </w:p>
        </w:tc>
        <w:tc>
          <w:tcPr>
            <w:tcW w:w="1416" w:type="pct"/>
            <w:tcBorders>
              <w:top w:val="single" w:sz="4" w:space="0" w:color="auto"/>
              <w:left w:val="single" w:sz="4" w:space="0" w:color="auto"/>
              <w:bottom w:val="single" w:sz="4" w:space="0" w:color="auto"/>
              <w:right w:val="single" w:sz="4" w:space="0" w:color="auto"/>
            </w:tcBorders>
            <w:hideMark/>
          </w:tcPr>
          <w:p w14:paraId="6A06F4A1" w14:textId="62638B55"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3E225D" w:rsidRPr="00DD24FA">
              <w:rPr>
                <w:rFonts w:ascii="Times New Roman" w:hAnsi="Times New Roman" w:cs="Times New Roman"/>
                <w:sz w:val="18"/>
                <w:szCs w:val="18"/>
              </w:rPr>
              <w:instrText>ADDIN CSL_CITATION {"citationItems":[{"id":"ITEM-1","itemData":{"DOI":"10.1017/S096719940700456X","ISSN":"09671994","PMID":"18405437","abstract":"RNA-binding proteins (RBP) influence RNA editing, localization, stability and translation and may contribute to oocyte developmental competence by regulating the stability and turnover of oogenetic mRNAs. The expression of Staufen 1 and 2 and ELAVL1, ELAVL2 RNA-binding proteins during cow early development was characterized. Cumulusoocyte complexes were collected from slaughterhouse ovaries, matured, inseminated and subjected to embryo culture in vitro. Oocyte or preimplantation embryo pools were processed for RT-PCR and whole-mount immunofluorescence analysis of mRNA expression and protein distribution. STAU1 and STAU2 and ELAVL1 mRNAs and proteins were detected throughout cow preimplantation development from the germinal vesicle (GV) oocyte to the blastocyst stage. ELAVL2 mRNAs were detectable from the GV to the morula stage, whereas ELAVL2 protein was in all stages examined and localized to both cytoplasm and nuclei. The findings provide a foundation for investigating the role of RBPs during mammalian oocyte maturation and early embryogenesis. © 2008 Cambridge University Press.","author":[{"dropping-particle":"","family":"Calder","given":"M. D.","non-dropping-particle":"","parse-names":false,"suffix":""},{"dropping-particle":"","family":"Madan","given":"P.","non-dropping-particle":"","parse-names":false,"suffix":""},{"dropping-particle":"","family":"Watson","given":"A. J.","non-dropping-particle":"","parse-names":false,"suffix":""}],"container-title":"Zygote","id":"ITEM-1","issue":"2","issued":{"date-parts":[["2008","5"]]},"page":"161-168","publisher":"Zygote","title":"Bovine oocytes and early embryos express Staufen and ELAVL RNA-binding proteins","type":"article-journal","volume":"16"},"uris":["http://www.mendeley.com/documents/?uuid=c63305d2-441e-3e1d-beb8-3348cf2f87fb"]},{"id":"ITEM-2","itemData":{"DOI":"10.1186/s12864-019-5935-3","ISSN":"14712164","PMID":"31299913","abstract":"Background: Subfertility is one challenge facing the dairy industry as the average Holstein heifer conception rate (HCR), the proportion of heifers that conceive and maintain a pregnancy per breeding, is estimated at 55-60%. Of the loci associated with HCR, few have been validated in an independent cattle population, limiting their usefulness for selection or furthering our understanding of the mechanisms involved in successful pregnancy. Therefore, the objectives here were to identify loci associated with HCR: 1) to the first artificial insemination (AI) service (HCR1), 2) to repeated AI services required for a heifer to conceive (TBRD) and 3) to validate loci previously associated with fertility. Breeding and health records from 3359 Holstein heifers were obtained after heifers were bred by AI at observed estrus, with pregnancy determined at day 35 via palpation. Heifer DNA was genotyped using the Illumina BovineHD BeadChip, and genome-wide association analyses (GWAA) were performed with additive, dominant and recessive models using the Efficient Mixed Model Association eXpedited (EMMAX) method with a relationship matrix for two phenotypes. The HCR1 GWAA compared heifers that were pregnant after the first AI service (n = 497) to heifers that were open following the first AI service (n = 405), which included those that never conceived. The TBRD GWAA compared only those heifers which did conceive, across variable numbers of AI service (n = 712). Comparison of loci previously associated with fertility, HCR1 or TBRD were considered the same locus for validation when in linkage disequilibrium (D' &gt; 0.7). Results: The HCR1 GWAA identified 116, 187 and 28 loci associated (P &lt; 5 × 10- 8) in additive, dominant and recessive models, respectively. The TBRD GWAA identified 235, 362, and 69 QTL associated (P &lt; 5 × 10- 8) with additive, dominant and recessive models, respectively. Loci previously associated with fertility were in linkage disequilibrium with 22 loci shared with HCR1 and TBRD, 5 HCR1 and 19 TBRD loci. Conclusions: Loci associated with HCR1 and TBRD that have been identified and validated can be used to improve HCR through genomic selection, and to better understand possible mechanisms associated with subfertility.","author":[{"dropping-particle":"","family":"Kiser","given":"Jennifer N.","non-dropping-particle":"","parse-names":false,"suffix":""},{"dropping-particle":"","family":"Keuter","given":"Elizabeth M.","non-dropping-particle":"","parse-names":false,"suffix":""},{"dropping-particle":"","family":"Seabury","given":"Christopher M.","non-dropping-particle":"","parse-names":false,"suffix":""},{"dropping-particle":"","family":"Neupane","given":"Mahesh","non-dropping-particle":"","parse-names":false,"suffix":""},{"dropping-particle":"","family":"Moraes","given":"Joao G.N.","non-dropping-particle":"","parse-names":false,"suffix":""},{"dropping-particle":"","family":"Dalton","given":"Joseph","non-dropping-particle":"","parse-names":false,"suffix":""},{"dropping-particle":"","family":"Burns","given":"Gregory W.","non-dropping-particle":"","parse-names":false,"suffix":""},{"dropping-particle":"","family":"Spencer","given":"Thomas E.","non-dropping-particle":"","parse-names":false,"suffix":""},{"dropping-particle":"","family":"Neibergs","given":"Holly L.","non-dropping-particle":"","parse-names":false,"suffix":""}],"container-title":"BMC Genomics","id":"ITEM-2","issue":"1","issued":{"date-parts":[["2019","7","12"]]},"page":"576","publisher":"BioMed Central Ltd.","title":"Validation of 46 loci associated with female fertility traits in cattle","type":"article-journal","volume":"20"},"uris":["http://www.mendeley.com/documents/?uuid=89eb3da7-d86c-3efc-9759-112ebb7713bc"]},{"id":"ITEM-3","itemData":{"DOI":"10.1186/1471-2156-12-43","ISSN":"14712156","abstract":"Background: Identifying genomic regions, and preferably individual genes, responsible for genetic variation in milk fat composition of bovine milk will enhance the understanding of biological pathways involved in fatty acid synthesis and may point to opportunities for changing milk fat composition via selective breeding. An association study of 50,000 single nucleotide polymorphisms (SNPs) was performed for even-chain saturated fatty acids (C4:0-C18:0), even-chain monounsaturated fatty acids (C10:1-C18:1), and the polyunsaturated C18:2cis9,trans11 (CLA) to identify genomic regions associated with individual fatty acids in bovine milk.Results: The two-step single SNP association analysis found a total of 54 regions on 29 chromosomes that were significantly associated with one or more fatty acids. Bos taurus autosomes (BTA) 14, 19, and 26 showed highly significant associations with seven to ten traits, explaining a relatively large percentage of the total additive genetic variation. Many additional regions were significantly associated with the fatty acids. Some of the regions harbor genes that are known to be involved in fat synthesis or were previously identified as underlying quantitative trait loci for fat yield or content, such as ABCG2 and PPARGC1A on BTA 6; ACSS2 on BTA 13; DGAT1 on BTA 14; ACLY, SREBF1, STAT5A, GH, and FASN on BTA 19; SCD1 on BTA26; and AGPAT6 on BTA 27.Conclusions: Medium chain and unsaturated fatty acids are strongly influenced by polymorphisms in DGAT1 and SCD1. Other regions also showed significant associations with the fatty acids studied. These additional regions explain a relatively small percentage of the total additive genetic variance, but they are relevant to the total genetic merit of an individual and in unraveling the genetic background of milk fat composition. Regions identified in this study can be fine mapped to find causal mutations. The results also create opportunities for changing milk fat composition through breeding by selecting individuals based on their genetic merit for milk fat composition. © 2011 Bouwman et al; licensee BioMed Central Ltd.","author":[{"dropping-particle":"","family":"Bouwman","given":"Aniek C.","non-dropping-particle":"","parse-names":false,"suffix":""},{"dropping-particle":"","family":"Bovenhuis","given":"Henk","non-dropping-particle":"","parse-names":false,"suffix":""},{"dropping-particle":"","family":"Visker","given":"Marleen H.P.W.","non-dropping-particle":"","parse-names":false,"suffix":""},{"dropping-particle":"","family":"Arendonk","given":"Johan A.M.","non-dropping-particle":"van","parse-names":false,"suffix":""}],"container-title":"BMC Genetics","id":"ITEM-3","issue":"1","issued":{"date-parts":[["2011","5","11"]]},"page":"43","publisher":"BioMed Central","title":"Genome-wide association of milk fatty acids in Dutch dairy cattle","type":"article-journal","volume":"12"},"uris":["http://www.mendeley.com/documents/?uuid=0f15dbc4-c695-3a02-ad66-c60155b21f97"]},{"id":"ITEM-4","itemData":{"DOI":"10.1186/1471-2156-13-21","ISSN":"14712156","PMID":"22449276","abstract":"Background: Contemporary dairy breeding goals have broadened to include, along with milk production traits, a number of non-production-related traits in an effort to improve the overall functionality of the dairy cow. Increased indirect selection for resistance to mastitis, one of the most important production-related diseases in the dairy sector, via selection for reduced somatic cell count has been part of these broadened goals. A number of genome-wide association studies have identified genetic variants associated with milk production traits and mastitis resistance, however the majority of these studies have been based on animals which were predominantly kept in confinement and fed a concentrate-based diet (i.e. high-input production systems). This genome-wide association study aims to detect associations using genotypic and phenotypic data from Irish Holstein-Friesian cattle fed predominantly grazed grass in a pasture-based production system (low-input).Results: Significant associations were detected for milk yield, fat yield, protein yield, fat percentage, protein percentage and somatic cell score using separate single-locus, frequentist and multi-locus, Bayesian approaches. These associations were detected using two separate populations of Holstein-Friesian sires and cows. In total, 1,529 and 37 associations were detected in the sires using a single SNP regression and a Bayesian method, respectively. There were 103 associations in common between the sires and cows across all the traits. As well as detecting associations within known QTL regions, a number of novel associations were detected; the most notable of these was a region of chromosome 13 associated with milk yield in the population of Holstein-Friesian sires.Conclusions: A total of 276 of novel SNPs were detected in the sires using a single SNP regression approach. Although obvious candidate genes may not be initially forthcoming, this study provides a preliminary framework upon which to identify the causal mechanisms underlying the various milk production traits and somatic cell score. Consequently this will deepen our understanding of how these traits are expressed. © 2012 Meredith et al; licensee BioMed Central Ltd.","author":[{"dropping-particle":"","family":"Meredith","given":"Brian K.","non-dropping-particle":"","parse-names":false,"suffix":""},{"dropping-particle":"","family":"Kearney","given":"Francis J.","non-dropping-particle":"","parse-names":false,"suffix":""},{"dropping-particle":"","family":"Finlay","given":"Emma K.","non-dropping-particle":"","parse-names":false,"suffix":""},{"dropping-particle":"","family":"Bradley","given":"Daniel G.","non-dropping-particle":"","parse-names":false,"suffix":""},{"dropping-particle":"","family":"Fahey","given":"Alan G.","non-dropping-particle":"","parse-names":false,"suffix":""},{"dropping-particle":"","family":"Berry","given":"Donagh P.","non-dropping-particle":"","parse-names":false,"suffix":""},{"dropping-particle":"","family":"Lynn","given":"David J.","non-dropping-particle":"","parse-names":false,"suffix":""}],"container-title":"BMC Genetics","id":"ITEM-4","issue":"1","issued":{"date-parts":[["2012","3","26"]]},"page":"21","publisher":"BioMed Central","title":"Genome-wide associations for milk production and somatic cell score in Holstein-Friesian cattle in Ireland","type":"article-journal","volume":"13"},"uris":["http://www.mendeley.com/documents/?uuid=120c3a2d-4807-3f2e-b4ba-7fbf90b7964d"]},{"id":"ITEM-5","itemData":{"DOI":"10.1093/hmg/ddw110","ISSN":"14602083","PMID":"27260404","abstract":"The role of post-transcriptional gene regulation in human brain development and neurodevelopmental disorders remains mostly uncharacterized. ELAV-like RNA-binding proteins (RNAbps) are a family of proteins that regulate several aspects of neuronal function including neuronal excitability and synaptic transmission, both critical to the normal function of the brain in cognition and behavior. Here, we identify the downstream neuronal transcriptional and splicing networks of ELAVL2, an RNAbp with previously unknown function in the brain. Expression of ELAVL2 was reduced in human neurons and RNA-sequencing was utilized to identify networks of differentially expressed and alternatively spliced genes resulting from haploinsufficient levels of ELAVL2. These networks contain a number of autism-relevant genes as well as previously identified targets of other important RNAbps implicated in autism spectrum disorder (ASD) including RBFOX1 and FMRP. ELAVL2-regulated co-expression networks are also enriched for neurodevelopmental and synaptic genes, and include genes with human-specific patterns of expression in the frontal pole. Together, these data suggest that ELAVL2 regulation of transcript expression is critical for neuronal function and clinically relevant to ASD.","author":[{"dropping-particle":"","family":"Berto","given":"Stefano","non-dropping-particle":"","parse-names":false,"suffix":""},{"dropping-particle":"","family":"Usui","given":"Noriyoshi","non-dropping-particle":"","parse-names":false,"suffix":""},{"dropping-particle":"","family":"Konopka","given":"Genevieve","non-dropping-particle":"","parse-names":false,"suffix":""},{"dropping-particle":"","family":"Fogel","given":"Brent L.","non-dropping-particle":"","parse-names":false,"suffix":""}],"container-title":"Human molecular genetics","id":"ITEM-5","issue":"12","issued":{"date-parts":[["2016","6","15"]]},"page":"2451-2464","publisher":"Oxford University Press","title":"ELAVL2-regulated transcriptional and splicing networks in human neurons link neurodevelopment and autism","type":"article-journal","volume":"25"},"uris":["http://www.mendeley.com/documents/?uuid=a0e60ce7-4c32-39bb-b03c-9fa0dcf3566b"]}],"mendeley":{"formattedCitation":"[3, 7, 32–34]","plainTextFormattedCitation":"[3, 7, 32–34]","previouslyFormattedCitation":"[3, 7, 32–34]"},"properties":{"noteIndex":0},"schema":"https://github.com/citation-style-language/schema/raw/master/csl-citation.json"}</w:instrText>
            </w:r>
            <w:r w:rsidRPr="00DD24FA">
              <w:rPr>
                <w:rFonts w:ascii="Times New Roman" w:hAnsi="Times New Roman" w:cs="Times New Roman"/>
                <w:sz w:val="18"/>
                <w:szCs w:val="18"/>
              </w:rPr>
              <w:fldChar w:fldCharType="separate"/>
            </w:r>
            <w:r w:rsidR="003E225D" w:rsidRPr="00DD24FA">
              <w:rPr>
                <w:rFonts w:ascii="Times New Roman" w:hAnsi="Times New Roman" w:cs="Times New Roman"/>
                <w:noProof/>
                <w:sz w:val="18"/>
                <w:szCs w:val="18"/>
              </w:rPr>
              <w:t>[3, 7, 32–34]</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human; Early development, conception rate, milk fatty acids, milk fat and protein yield, daughter stillbirth, neuronal development and function, translational repressor during oocyte growth</w:t>
            </w:r>
          </w:p>
        </w:tc>
      </w:tr>
      <w:tr w:rsidR="00DD24FA" w14:paraId="2C793DE8"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64A7D261" w14:textId="77777777" w:rsidR="001B22CD" w:rsidRPr="00DD24FA" w:rsidRDefault="001B22CD" w:rsidP="00267B98">
            <w:pPr>
              <w:spacing w:after="0" w:line="240" w:lineRule="auto"/>
              <w:contextualSpacing/>
              <w:jc w:val="center"/>
              <w:rPr>
                <w:rFonts w:ascii="Times New Roman" w:hAnsi="Times New Roman" w:cs="Times New Roman"/>
                <w:i/>
                <w:sz w:val="18"/>
                <w:szCs w:val="18"/>
                <w:vertAlign w:val="superscript"/>
              </w:rPr>
            </w:pPr>
            <w:r w:rsidRPr="00DD24FA">
              <w:rPr>
                <w:rFonts w:ascii="Times New Roman" w:hAnsi="Times New Roman" w:cs="Times New Roman"/>
                <w:i/>
                <w:sz w:val="18"/>
                <w:szCs w:val="18"/>
              </w:rPr>
              <w:t>15_24</w:t>
            </w:r>
            <w:r w:rsidRPr="00DD24FA">
              <w:rPr>
                <w:rFonts w:ascii="Times New Roman" w:hAnsi="Times New Roman" w:cs="Times New Roman"/>
                <w:i/>
                <w:sz w:val="18"/>
                <w:szCs w:val="18"/>
                <w:vertAlign w:val="superscript"/>
              </w:rPr>
              <w:t>a</w:t>
            </w:r>
          </w:p>
        </w:tc>
        <w:tc>
          <w:tcPr>
            <w:tcW w:w="369" w:type="pct"/>
            <w:tcBorders>
              <w:top w:val="single" w:sz="4" w:space="0" w:color="auto"/>
              <w:left w:val="single" w:sz="4" w:space="0" w:color="auto"/>
              <w:bottom w:val="single" w:sz="4" w:space="0" w:color="auto"/>
              <w:right w:val="single" w:sz="4" w:space="0" w:color="auto"/>
            </w:tcBorders>
            <w:hideMark/>
          </w:tcPr>
          <w:p w14:paraId="153ECF53"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6.588</w:t>
            </w:r>
          </w:p>
        </w:tc>
        <w:tc>
          <w:tcPr>
            <w:tcW w:w="554" w:type="pct"/>
            <w:tcBorders>
              <w:top w:val="single" w:sz="4" w:space="0" w:color="auto"/>
              <w:left w:val="single" w:sz="4" w:space="0" w:color="auto"/>
              <w:bottom w:val="single" w:sz="4" w:space="0" w:color="auto"/>
              <w:right w:val="single" w:sz="4" w:space="0" w:color="auto"/>
            </w:tcBorders>
            <w:hideMark/>
          </w:tcPr>
          <w:p w14:paraId="25A44ED6"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-74.087</w:t>
            </w:r>
          </w:p>
        </w:tc>
        <w:tc>
          <w:tcPr>
            <w:tcW w:w="328" w:type="pct"/>
            <w:tcBorders>
              <w:top w:val="single" w:sz="4" w:space="0" w:color="auto"/>
              <w:left w:val="single" w:sz="4" w:space="0" w:color="auto"/>
              <w:bottom w:val="single" w:sz="4" w:space="0" w:color="auto"/>
              <w:right w:val="single" w:sz="4" w:space="0" w:color="auto"/>
            </w:tcBorders>
            <w:hideMark/>
          </w:tcPr>
          <w:p w14:paraId="2B713D9D"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0.012</w:t>
            </w:r>
          </w:p>
        </w:tc>
        <w:tc>
          <w:tcPr>
            <w:tcW w:w="570" w:type="pct"/>
            <w:tcBorders>
              <w:top w:val="single" w:sz="4" w:space="0" w:color="auto"/>
              <w:left w:val="single" w:sz="4" w:space="0" w:color="auto"/>
              <w:bottom w:val="single" w:sz="4" w:space="0" w:color="auto"/>
              <w:right w:val="single" w:sz="4" w:space="0" w:color="auto"/>
            </w:tcBorders>
            <w:hideMark/>
          </w:tcPr>
          <w:p w14:paraId="325569A8"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w:t>
            </w:r>
          </w:p>
        </w:tc>
        <w:tc>
          <w:tcPr>
            <w:tcW w:w="748" w:type="pct"/>
            <w:tcBorders>
              <w:top w:val="single" w:sz="4" w:space="0" w:color="auto"/>
              <w:left w:val="single" w:sz="4" w:space="0" w:color="auto"/>
              <w:bottom w:val="single" w:sz="4" w:space="0" w:color="auto"/>
              <w:right w:val="single" w:sz="4" w:space="0" w:color="auto"/>
            </w:tcBorders>
            <w:hideMark/>
          </w:tcPr>
          <w:p w14:paraId="11C31FA9" w14:textId="77777777" w:rsidR="001B22CD" w:rsidRPr="00DD24FA" w:rsidRDefault="001B22CD" w:rsidP="00267B98">
            <w:pPr>
              <w:spacing w:after="0" w:line="240" w:lineRule="auto"/>
              <w:contextualSpacing/>
              <w:jc w:val="center"/>
              <w:rPr>
                <w:rFonts w:ascii="Times New Roman" w:hAnsi="Times New Roman" w:cs="Times New Roman"/>
                <w:i/>
                <w:iCs/>
                <w:color w:val="000000"/>
                <w:sz w:val="18"/>
                <w:szCs w:val="18"/>
              </w:rPr>
            </w:pPr>
            <w:r w:rsidRPr="00DD24FA">
              <w:rPr>
                <w:rFonts w:ascii="Times New Roman" w:hAnsi="Times New Roman" w:cs="Times New Roman"/>
                <w:i/>
                <w:iCs/>
                <w:color w:val="000000"/>
                <w:sz w:val="18"/>
                <w:szCs w:val="18"/>
              </w:rPr>
              <w:t>ANKK1</w:t>
            </w:r>
          </w:p>
        </w:tc>
        <w:tc>
          <w:tcPr>
            <w:tcW w:w="519" w:type="pct"/>
            <w:tcBorders>
              <w:top w:val="single" w:sz="4" w:space="0" w:color="auto"/>
              <w:left w:val="single" w:sz="4" w:space="0" w:color="auto"/>
              <w:bottom w:val="single" w:sz="4" w:space="0" w:color="auto"/>
              <w:right w:val="single" w:sz="4" w:space="0" w:color="auto"/>
            </w:tcBorders>
            <w:hideMark/>
          </w:tcPr>
          <w:p w14:paraId="05A250C4" w14:textId="299DB7D3" w:rsidR="001B22CD" w:rsidRPr="00DD24FA" w:rsidRDefault="00E13A86" w:rsidP="00267B98">
            <w:pPr>
              <w:spacing w:after="0" w:line="240" w:lineRule="auto"/>
              <w:contextualSpacing/>
              <w:jc w:val="center"/>
              <w:rPr>
                <w:rFonts w:ascii="Times New Roman" w:hAnsi="Times New Roman" w:cs="Times New Roman"/>
                <w:color w:val="000000"/>
                <w:sz w:val="18"/>
                <w:szCs w:val="18"/>
                <w:vertAlign w:val="superscript"/>
              </w:rPr>
            </w:pPr>
            <w:proofErr w:type="spellStart"/>
            <w:r w:rsidRPr="00DD24FA">
              <w:rPr>
                <w:rFonts w:ascii="Times New Roman" w:hAnsi="Times New Roman" w:cs="Times New Roman"/>
                <w:color w:val="000000"/>
                <w:sz w:val="18"/>
                <w:szCs w:val="18"/>
              </w:rPr>
              <w:t>Exon</w:t>
            </w:r>
            <w:r w:rsidRPr="00DD24FA">
              <w:rPr>
                <w:rFonts w:ascii="Times New Roman" w:hAnsi="Times New Roman" w:cs="Times New Roman"/>
                <w:color w:val="000000"/>
                <w:sz w:val="18"/>
                <w:szCs w:val="18"/>
                <w:vertAlign w:val="superscript"/>
              </w:rPr>
              <w:t>b</w:t>
            </w:r>
            <w:proofErr w:type="spellEnd"/>
          </w:p>
        </w:tc>
        <w:tc>
          <w:tcPr>
            <w:tcW w:w="1416" w:type="pct"/>
            <w:tcBorders>
              <w:top w:val="single" w:sz="4" w:space="0" w:color="auto"/>
              <w:left w:val="single" w:sz="4" w:space="0" w:color="auto"/>
              <w:bottom w:val="single" w:sz="4" w:space="0" w:color="auto"/>
              <w:right w:val="single" w:sz="4" w:space="0" w:color="auto"/>
            </w:tcBorders>
            <w:hideMark/>
          </w:tcPr>
          <w:p w14:paraId="3F0135C9" w14:textId="148AE8F0"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3E225D" w:rsidRPr="00DD24FA">
              <w:rPr>
                <w:rFonts w:ascii="Times New Roman" w:hAnsi="Times New Roman" w:cs="Times New Roman"/>
                <w:sz w:val="18"/>
                <w:szCs w:val="18"/>
              </w:rPr>
              <w:instrText>ADDIN CSL_CITATION {"citationItems":[{"id":"ITEM-1","itemData":{"DOI":"10.1007/s00125-016-4095-0","ISSN":"14320428","PMID":"27600277","abstract":"Aims/hypothesis: Variations in FTO are the strongest common genetic determinants of adiposity, and may partly act by influencing dopaminergic signalling in the brain leading to altered reward processing that promotes increased food intake. Therefore, we investigated the impact of such an interaction on body composition, and peripheral and brain insulin sensitivity. Methods: Participants from the Tübingen Family study (n = 2245) and the Malmö Diet and Cancer study (n = 2921) were genotyped for FTO SNP rs8050136 and ANKK1 SNP rs1800497. Insulin sensitivity in the caudate nucleus, an important reward area in the brain, was assessed by fMRI in 45 participants combined with intranasal insulin administration. Results: We found evidence of an interaction between variations in FTO and an ANKK1 polymorphism that associates with dopamine (D2) receptor density. In cases of reduced D2 receptor availability, as indicated by the ANKK1 polymorphism, FTO variation was associated with increased body fat and waist circumference and reduced peripheral insulin sensitivity. Similarly, altered central insulin sensitivity was observed in the caudate nucleus in individuals with the FTO obesity-risk allele and diminished D2 receptors. Conclusions/interpretation: The effects of variations in FTO are dependent on dopamine D2 receptor density (determined by the ANKK1 polymorphism). Carriers of both risk alleles might, therefore, be at increased risk of obesity and diabetes.","author":[{"dropping-particle":"","family":"Heni","given":"Martin","non-dropping-particle":"","parse-names":false,"suffix":""},{"dropping-particle":"","family":"Kullmann","given":"Stephanie","non-dropping-particle":"","parse-names":false,"suffix":""},{"dropping-particle":"","family":"Ahlqvist","given":"Emma","non-dropping-particle":"","parse-names":false,"suffix":""},{"dropping-particle":"","family":"Wagner","given":"Robert","non-dropping-particle":"","parse-names":false,"suffix":""},{"dropping-particle":"","family":"Machicao","given":"Fausto","non-dropping-particle":"","parse-names":false,"suffix":""},{"dropping-particle":"","family":"Staiger","given":"Harald","non-dropping-particle":"","parse-names":false,"suffix":""},{"dropping-particle":"","family":"Häring","given":"Hans Ulrich","non-dropping-particle":"","parse-names":false,"suffix":""},{"dropping-particle":"","family":"Almgren","given":"Peter","non-dropping-particle":"","parse-names":false,"suffix":""},{"dropping-particle":"","family":"Groop","given":"Leif C.","non-dropping-particle":"","parse-names":false,"suffix":""},{"dropping-particle":"","family":"Small","given":"Dana M.","non-dropping-particle":"","parse-names":false,"suffix":""},{"dropping-particle":"","family":"Fritsche","given":"Andreas","non-dropping-particle":"","parse-names":false,"suffix":""},{"dropping-particle":"","family":"Preissl","given":"Hubert","non-dropping-particle":"","parse-names":false,"suffix":""}],"container-title":"Diabetologia","id":"ITEM-1","issue":"12","issued":{"date-parts":[["2016","12","1"]]},"page":"2622-2631","publisher":"Springer Verlag","title":"Interaction between the obesity-risk gene FTO and the dopamine D2 receptor gene ANKK1/TaqIA on insulin sensitivity","type":"article-journal","volume":"59"},"uris":["http://www.mendeley.com/documents/?uuid=71f15443-0544-3e35-8191-15185ebf3b26"]},{"id":"ITEM-2","itemData":{"DOI":"10.1371/journal.pone.0197254","ISSN":"19326203","PMID":"29758057","abstract":"Ankyrin repeat and kinase domain containing 1 (ANKK1) gene has been widely related to neuropsychiatry disorders. The localization of ANKK1 in neural progenitors and its correlation with the cell cycle has suggested its participation in development. However, ANKK1 functions still need to be identified. Here, we have further characterized the ANKK1 localization in vivo and in vitro, by using immunolabeling, quantitative real-time PCR and Western blot in the myogenic lineage. Histologic investigations in mice and humans revealed that ANKK1 is expressed in precursors of embryonic and adult muscles. In mice embryos, ANKK1 was found in migrating myotubes where it shows a polarized cytoplasmic distribution, while proliferative myoblasts and satellite cells show different isoforms in their nuclei and cytoplasm. In vitro studies of ANKK1 protein isoforms along the myogenic progression showed the decline of nuclear ANKK1-kinase until its total exclusion in myotubes. In adult mice, ANKK1 was expressed exclusively in the Fast-Twitch muscles fibers subtype. The induction of glycolytic metabolism in C2C12 cells with high glucose concentration or treatment with berberine caused a significant increase in the ANKK1 mRNA. Similarly, C2C12 cells under hypoxic conditions caused the increase of nuclear ANKK1. These results altogether show a relationship between ANKK1 gene regulation and the metabolism of muscles during development and in adulthood. Finally, we found ANKK1 expression in regenerative fibers of muscles from dystrophic patients. Future studies in ANKK1 biology and the pathological response of muscles will reveal whether this protein is a novel muscle disease biomarker.","author":[{"dropping-particle":"","family":"Rubio-Solsona","given":"Estrella","non-dropping-particle":"","parse-names":false,"suffix":""},{"dropping-particle":"","family":"Marti","given":"Salvador","non-dropping-particle":"","parse-names":false,"suffix":""},{"dropping-particle":"","family":"Vílchez","given":"Juan J.","non-dropping-particle":"","parse-names":false,"suffix":""},{"dropping-particle":"","family":"Palau","given":"Francesc","non-dropping-particle":"","parse-names":false,"suffix":""},{"dropping-particle":"","family":"Hoenicka","given":"Janet","non-dropping-particle":"","parse-names":false,"suffix":""}],"container-title":"PLoS ONE","id":"ITEM-2","issue":"5","issued":{"date-parts":[["2018","5","1"]]},"publisher":"Public Library of Science","title":"ANKK1 is found in myogenic precursors and muscle fibers subtypes with glycolytic metabolism","type":"article-journal","volume":"13"},"uris":["http://www.mendeley.com/documents/?uuid=e3fad529-f74a-32ee-9fdb-3f0d0c292b8e"]},{"id":"ITEM-3","itemData":{"DOI":"10.1186/1471-2156-13-21","ISSN":"14712156","PMID":"22449276","abstract":"Background: Contemporary dairy breeding goals have broadened to include, along with milk production traits, a number of non-production-related traits in an effort to improve the overall functionality of the dairy cow. Increased indirect selection for resistance to mastitis, one of the most important production-related diseases in the dairy sector, via selection for reduced somatic cell count has been part of these broadened goals. A number of genome-wide association studies have identified genetic variants associated with milk production traits and mastitis resistance, however the majority of these studies have been based on animals which were predominantly kept in confinement and fed a concentrate-based diet (i.e. high-input production systems). This genome-wide association study aims to detect associations using genotypic and phenotypic data from Irish Holstein-Friesian cattle fed predominantly grazed grass in a pasture-based production system (low-input).Results: Significant associations were detected for milk yield, fat yield, protein yield, fat percentage, protein percentage and somatic cell score using separate single-locus, frequentist and multi-locus, Bayesian approaches. These associations were detected using two separate populations of Holstein-Friesian sires and cows. In total, 1,529 and 37 associations were detected in the sires using a single SNP regression and a Bayesian method, respectively. There were 103 associations in common between the sires and cows across all the traits. As well as detecting associations within known QTL regions, a number of novel associations were detected; the most notable of these was a region of chromosome 13 associated with milk yield in the population of Holstein-Friesian sires.Conclusions: A total of 276 of novel SNPs were detected in the sires using a single SNP regression approach. Although obvious candidate genes may not be initially forthcoming, this study provides a preliminary framework upon which to identify the causal mechanisms underlying the various milk production traits and somatic cell score. Consequently this will deepen our understanding of how these traits are expressed. © 2012 Meredith et al; licensee BioMed Central Ltd.","author":[{"dropping-particle":"","family":"Meredith","given":"Brian K.","non-dropping-particle":"","parse-names":false,"suffix":""},{"dropping-particle":"","family":"Kearney","given":"Francis J.","non-dropping-particle":"","parse-names":false,"suffix":""},{"dropping-particle":"","family":"Finlay","given":"Emma K.","non-dropping-particle":"","parse-names":false,"suffix":""},{"dropping-particle":"","family":"Bradley","given":"Daniel G.","non-dropping-particle":"","parse-names":false,"suffix":""},{"dropping-particle":"","family":"Fahey","given":"Alan G.","non-dropping-particle":"","parse-names":false,"suffix":""},{"dropping-particle":"","family":"Berry","given":"Donagh P.","non-dropping-particle":"","parse-names":false,"suffix":""},{"dropping-particle":"","family":"Lynn","given":"David J.","non-dropping-particle":"","parse-names":false,"suffix":""}],"container-title":"BMC Genetics","id":"ITEM-3","issue":"1","issued":{"date-parts":[["2012","3","26"]]},"page":"21","publisher":"BioMed Central","title":"Genome-wide associations for milk production and somatic cell score in Holstein-Friesian cattle in Ireland","type":"article-journal","volume":"13"},"uris":["http://www.mendeley.com/documents/?uuid=120c3a2d-4807-3f2e-b4ba-7fbf90b7964d"]},{"id":"ITEM-4","itemData":{"DOI":"10.1186/s12864-019-5935-3","ISSN":"14712164","PMID":"31299913","abstract":"Background: Subfertility is one challenge facing the dairy industry as the average Holstein heifer conception rate (HCR), the proportion of heifers that conceive and maintain a pregnancy per breeding, is estimated at 55-60%. Of the loci associated with HCR, few have been validated in an independent cattle population, limiting their usefulness for selection or furthering our understanding of the mechanisms involved in successful pregnancy. Therefore, the objectives here were to identify loci associated with HCR: 1) to the first artificial insemination (AI) service (HCR1), 2) to repeated AI services required for a heifer to conceive (TBRD) and 3) to validate loci previously associated with fertility. Breeding and health records from 3359 Holstein heifers were obtained after heifers were bred by AI at observed estrus, with pregnancy determined at day 35 via palpation. Heifer DNA was genotyped using the Illumina BovineHD BeadChip, and genome-wide association analyses (GWAA) were performed with additive, dominant and recessive models using the Efficient Mixed Model Association eXpedited (EMMAX) method with a relationship matrix for two phenotypes. The HCR1 GWAA compared heifers that were pregnant after the first AI service (n = 497) to heifers that were open following the first AI service (n = 405), which included those that never conceived. The TBRD GWAA compared only those heifers which did conceive, across variable numbers of AI service (n = 712). Comparison of loci previously associated with fertility, HCR1 or TBRD were considered the same locus for validation when in linkage disequilibrium (D' &gt; 0.7). Results: The HCR1 GWAA identified 116, 187 and 28 loci associated (P &lt; 5 × 10- 8) in additive, dominant and recessive models, respectively. The TBRD GWAA identified 235, 362, and 69 QTL associated (P &lt; 5 × 10- 8) with additive, dominant and recessive models, respectively. Loci previously associated with fertility were in linkage disequilibrium with 22 loci shared with HCR1 and TBRD, 5 HCR1 and 19 TBRD loci. Conclusions: Loci associated with HCR1 and TBRD that have been identified and validated can be used to improve HCR through genomic selection, and to better understand possible mechanisms associated with subfertility.","author":[{"dropping-particle":"","family":"Kiser","given":"Jennifer N.","non-dropping-particle":"","parse-names":false,"suffix":""},{"dropping-particle":"","family":"Keuter","given":"Elizabeth M.","non-dropping-particle":"","parse-names":false,"suffix":""},{"dropping-particle":"","family":"Seabury","given":"Christopher M.","non-dropping-particle":"","parse-names":false,"suffix":""},{"dropping-particle":"","family":"Neupane","given":"Mahesh","non-dropping-particle":"","parse-names":false,"suffix":""},{"dropping-particle":"","family":"Moraes","given":"Joao G.N.","non-dropping-particle":"","parse-names":false,"suffix":""},{"dropping-particle":"","family":"Dalton","given":"Joseph","non-dropping-particle":"","parse-names":false,"suffix":""},{"dropping-particle":"","family":"Burns","given":"Gregory W.","non-dropping-particle":"","parse-names":false,"suffix":""},{"dropping-particle":"","family":"Spencer","given":"Thomas E.","non-dropping-particle":"","parse-names":false,"suffix":""},{"dropping-particle":"","family":"Neibergs","given":"Holly L.","non-dropping-particle":"","parse-names":false,"suffix":""}],"container-title":"BMC Genomics","id":"ITEM-4","issue":"1","issued":{"date-parts":[["2019","7","12"]]},"page":"576","publisher":"BioMed Central Ltd.","title":"Validation of 46 loci associated with female fertility traits in cattle","type":"article-journal","volume":"20"},"uris":["http://www.mendeley.com/documents/?uuid=89eb3da7-d86c-3efc-9759-112ebb7713bc"]}],"mendeley":{"formattedCitation":"[3, 7, 35, 36]","plainTextFormattedCitation":"[3, 7, 35, 36]","previouslyFormattedCitation":"[3, 7, 35, 36]"},"properties":{"noteIndex":0},"schema":"https://github.com/citation-style-language/schema/raw/master/csl-citation.json"}</w:instrText>
            </w:r>
            <w:r w:rsidRPr="00DD24FA">
              <w:rPr>
                <w:rFonts w:ascii="Times New Roman" w:hAnsi="Times New Roman" w:cs="Times New Roman"/>
                <w:sz w:val="18"/>
                <w:szCs w:val="18"/>
              </w:rPr>
              <w:fldChar w:fldCharType="separate"/>
            </w:r>
            <w:r w:rsidR="003E225D" w:rsidRPr="00DD24FA">
              <w:rPr>
                <w:rFonts w:ascii="Times New Roman" w:hAnsi="Times New Roman" w:cs="Times New Roman"/>
                <w:noProof/>
                <w:sz w:val="18"/>
                <w:szCs w:val="18"/>
              </w:rPr>
              <w:t>[3, 7, 35, 36]</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Human, mouse, cattle; Neurogenesis, insulin sensitivity and obesity risk, embryonic myogenesis and muscle regeneration,</w:t>
            </w:r>
            <w:r w:rsidR="003E225D" w:rsidRPr="00DD24FA">
              <w:rPr>
                <w:rFonts w:ascii="Times New Roman" w:hAnsi="Times New Roman" w:cs="Times New Roman"/>
                <w:sz w:val="18"/>
                <w:szCs w:val="18"/>
              </w:rPr>
              <w:t xml:space="preserve"> milk yield,</w:t>
            </w:r>
            <w:r w:rsidRPr="00DD24FA">
              <w:rPr>
                <w:rFonts w:ascii="Times New Roman" w:hAnsi="Times New Roman" w:cs="Times New Roman"/>
                <w:sz w:val="18"/>
                <w:szCs w:val="18"/>
              </w:rPr>
              <w:t xml:space="preserve"> conception rate</w:t>
            </w:r>
          </w:p>
        </w:tc>
      </w:tr>
      <w:tr w:rsidR="00DD24FA" w14:paraId="7329E4D7"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6D84A1C0" w14:textId="77777777" w:rsidR="001B22CD" w:rsidRPr="00DD24FA" w:rsidRDefault="001B22CD" w:rsidP="00267B98">
            <w:pPr>
              <w:spacing w:after="0" w:line="240" w:lineRule="auto"/>
              <w:contextualSpacing/>
              <w:jc w:val="center"/>
              <w:rPr>
                <w:rFonts w:ascii="Times New Roman" w:hAnsi="Times New Roman" w:cs="Times New Roman"/>
                <w:i/>
                <w:sz w:val="18"/>
                <w:szCs w:val="18"/>
                <w:vertAlign w:val="superscript"/>
              </w:rPr>
            </w:pPr>
            <w:r w:rsidRPr="00DD24FA">
              <w:rPr>
                <w:rFonts w:ascii="Times New Roman" w:hAnsi="Times New Roman" w:cs="Times New Roman"/>
                <w:i/>
                <w:sz w:val="18"/>
                <w:szCs w:val="18"/>
              </w:rPr>
              <w:t>10_73</w:t>
            </w:r>
            <w:r w:rsidRPr="00DD24FA">
              <w:rPr>
                <w:rFonts w:ascii="Times New Roman" w:hAnsi="Times New Roman" w:cs="Times New Roman"/>
                <w:i/>
                <w:sz w:val="18"/>
                <w:szCs w:val="18"/>
                <w:vertAlign w:val="superscript"/>
              </w:rPr>
              <w:t>a</w:t>
            </w:r>
          </w:p>
        </w:tc>
        <w:tc>
          <w:tcPr>
            <w:tcW w:w="369" w:type="pct"/>
            <w:tcBorders>
              <w:top w:val="single" w:sz="4" w:space="0" w:color="auto"/>
              <w:left w:val="single" w:sz="4" w:space="0" w:color="auto"/>
              <w:bottom w:val="single" w:sz="4" w:space="0" w:color="auto"/>
              <w:right w:val="single" w:sz="4" w:space="0" w:color="auto"/>
            </w:tcBorders>
            <w:hideMark/>
          </w:tcPr>
          <w:p w14:paraId="143E21E9"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5.707</w:t>
            </w:r>
          </w:p>
        </w:tc>
        <w:tc>
          <w:tcPr>
            <w:tcW w:w="554" w:type="pct"/>
            <w:tcBorders>
              <w:top w:val="single" w:sz="4" w:space="0" w:color="auto"/>
              <w:left w:val="single" w:sz="4" w:space="0" w:color="auto"/>
              <w:bottom w:val="single" w:sz="4" w:space="0" w:color="auto"/>
              <w:right w:val="single" w:sz="4" w:space="0" w:color="auto"/>
            </w:tcBorders>
            <w:hideMark/>
          </w:tcPr>
          <w:p w14:paraId="2EA7B57F"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-36.843</w:t>
            </w:r>
          </w:p>
        </w:tc>
        <w:tc>
          <w:tcPr>
            <w:tcW w:w="328" w:type="pct"/>
            <w:tcBorders>
              <w:top w:val="single" w:sz="4" w:space="0" w:color="auto"/>
              <w:left w:val="single" w:sz="4" w:space="0" w:color="auto"/>
              <w:bottom w:val="single" w:sz="4" w:space="0" w:color="auto"/>
              <w:right w:val="single" w:sz="4" w:space="0" w:color="auto"/>
            </w:tcBorders>
            <w:hideMark/>
          </w:tcPr>
          <w:p w14:paraId="72EA9868" w14:textId="77777777" w:rsidR="001B22CD" w:rsidRPr="00DD24FA" w:rsidRDefault="001B22CD" w:rsidP="00267B98">
            <w:pPr>
              <w:spacing w:after="0" w:line="240" w:lineRule="auto"/>
              <w:contextualSpacing/>
              <w:rPr>
                <w:rFonts w:ascii="Times New Roman" w:hAnsi="Times New Roman" w:cs="Times New Roman"/>
                <w:color w:val="000000"/>
                <w:sz w:val="18"/>
                <w:szCs w:val="18"/>
              </w:rPr>
            </w:pPr>
            <w:r w:rsidRPr="00DD24FA">
              <w:rPr>
                <w:rFonts w:ascii="Times New Roman" w:hAnsi="Times New Roman" w:cs="Times New Roman"/>
                <w:color w:val="000000"/>
                <w:sz w:val="18"/>
                <w:szCs w:val="18"/>
              </w:rPr>
              <w:t>0.049</w:t>
            </w:r>
          </w:p>
        </w:tc>
        <w:tc>
          <w:tcPr>
            <w:tcW w:w="570" w:type="pct"/>
            <w:tcBorders>
              <w:top w:val="single" w:sz="4" w:space="0" w:color="auto"/>
              <w:left w:val="single" w:sz="4" w:space="0" w:color="auto"/>
              <w:bottom w:val="single" w:sz="4" w:space="0" w:color="auto"/>
              <w:right w:val="single" w:sz="4" w:space="0" w:color="auto"/>
            </w:tcBorders>
            <w:hideMark/>
          </w:tcPr>
          <w:p w14:paraId="2CE5D4BB"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w:t>
            </w:r>
          </w:p>
        </w:tc>
        <w:tc>
          <w:tcPr>
            <w:tcW w:w="748" w:type="pct"/>
            <w:tcBorders>
              <w:top w:val="single" w:sz="4" w:space="0" w:color="auto"/>
              <w:left w:val="single" w:sz="4" w:space="0" w:color="auto"/>
              <w:bottom w:val="single" w:sz="4" w:space="0" w:color="auto"/>
              <w:right w:val="single" w:sz="4" w:space="0" w:color="auto"/>
            </w:tcBorders>
            <w:hideMark/>
          </w:tcPr>
          <w:p w14:paraId="081EC2A8" w14:textId="77777777" w:rsidR="001B22CD" w:rsidRPr="00DD24FA" w:rsidRDefault="001B22CD" w:rsidP="00267B98">
            <w:pPr>
              <w:spacing w:after="0" w:line="240" w:lineRule="auto"/>
              <w:contextualSpacing/>
              <w:jc w:val="center"/>
              <w:rPr>
                <w:rFonts w:ascii="Times New Roman" w:hAnsi="Times New Roman" w:cs="Times New Roman"/>
                <w:i/>
                <w:iCs/>
                <w:color w:val="000000"/>
                <w:sz w:val="18"/>
                <w:szCs w:val="18"/>
              </w:rPr>
            </w:pPr>
            <w:r w:rsidRPr="00DD24FA">
              <w:rPr>
                <w:rFonts w:ascii="Times New Roman" w:hAnsi="Times New Roman" w:cs="Times New Roman"/>
                <w:i/>
                <w:iCs/>
                <w:color w:val="000000"/>
                <w:sz w:val="18"/>
                <w:szCs w:val="18"/>
              </w:rPr>
              <w:t>LOC112448663, LOC515823</w:t>
            </w:r>
          </w:p>
        </w:tc>
        <w:tc>
          <w:tcPr>
            <w:tcW w:w="519" w:type="pct"/>
            <w:tcBorders>
              <w:top w:val="single" w:sz="4" w:space="0" w:color="auto"/>
              <w:left w:val="single" w:sz="4" w:space="0" w:color="auto"/>
              <w:bottom w:val="single" w:sz="4" w:space="0" w:color="auto"/>
              <w:right w:val="single" w:sz="4" w:space="0" w:color="auto"/>
            </w:tcBorders>
            <w:hideMark/>
          </w:tcPr>
          <w:p w14:paraId="1F1E6DC4"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Intergenic</w:t>
            </w:r>
          </w:p>
        </w:tc>
        <w:tc>
          <w:tcPr>
            <w:tcW w:w="1416" w:type="pct"/>
            <w:tcBorders>
              <w:top w:val="single" w:sz="4" w:space="0" w:color="auto"/>
              <w:left w:val="single" w:sz="4" w:space="0" w:color="auto"/>
              <w:bottom w:val="single" w:sz="4" w:space="0" w:color="auto"/>
              <w:right w:val="single" w:sz="4" w:space="0" w:color="auto"/>
            </w:tcBorders>
            <w:hideMark/>
          </w:tcPr>
          <w:p w14:paraId="6D65BDA9" w14:textId="378BD9E9"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3E225D" w:rsidRPr="00DD24FA">
              <w:rPr>
                <w:rFonts w:ascii="Times New Roman" w:hAnsi="Times New Roman" w:cs="Times New Roman"/>
                <w:sz w:val="18"/>
                <w:szCs w:val="18"/>
              </w:rPr>
              <w:instrText>ADDIN CSL_CITATION {"citationItems":[{"id":"ITEM-1","itemData":{"DOI":"10.1038/s41588-018-0056-5","ISSN":"15461718","PMID":"29459679","abstract":"Stature is affected by many polymorphisms of small effect in humans 1 . In contrast, variation in dogs, even within breeds, has been suggested to be largely due to variants in a small number of genes 2,3 . Here we use data from cattle to compare the genetic architecture of stature to those in humans and dogs. We conducted a meta-analysis for stature using 58,265 cattle from 17 populations with 25.4 million imputed whole-genome sequence variants. Results showed that the genetic architecture of stature in cattle is similar to that in humans, as the lead variants in 163 significantly associated genomic regions (P &lt; 5 × 10 -8 ) explained at most 13.8% of the phenotypic variance. Most of these variants were noncoding, including variants that were also expression quantitative trait loci (eQTLs) and in ChIP-seq peaks. There was significant overlap in loci for stature with humans and dogs, suggesting that a set of common genes regulates body size in mammals.","author":[{"dropping-particle":"","family":"Bouwman","given":"Aniek C.","non-dropping-particle":"","parse-names":false,"suffix":""},{"dropping-particle":"","family":"Daetwyler","given":"Hans D.","non-dropping-particle":"","parse-names":false,"suffix":""},{"dropping-particle":"","family":"Chamberlain","given":"Amanda J.","non-dropping-particle":"","parse-names":false,"suffix":""},{"dropping-particle":"","family":"Ponce","given":"Carla Hurtado","non-dropping-particle":"","parse-names":false,"suffix":""},{"dropping-particle":"","family":"Sargolzaei","given":"Mehdi","non-dropping-particle":"","parse-names":false,"suffix":""},{"dropping-particle":"","family":"Schenkel","given":"Flavio S.","non-dropping-particle":"","parse-names":false,"suffix":""},{"dropping-particle":"","family":"Sahana","given":"Goutam","non-dropping-particle":"","parse-names":false,"suffix":""},{"dropping-particle":"","family":"Govignon-Gion","given":"Armelle","non-dropping-particle":"","parse-names":false,"suffix":""},{"dropping-particle":"","family":"Boitard","given":"Simon","non-dropping-particle":"","parse-names":false,"suffix":""},{"dropping-particle":"","family":"Dolezal","given":"Marlies","non-dropping-particle":"","parse-names":false,"suffix":""},{"dropping-particle":"","family":"Pausch","given":"Hubert","non-dropping-particle":"","parse-names":false,"suffix":""},{"dropping-particle":"","family":"Brøndum","given":"Rasmus F.","non-dropping-particle":"","parse-names":false,"suffix":""},{"dropping-particle":"","family":"Bowman","given":"Phil J.","non-dropping-particle":"","parse-names":false,"suffix":""},{"dropping-particle":"","family":"Thomsen","given":"Bo","non-dropping-particle":"","parse-names":false,"suffix":""},{"dropping-particle":"","family":"Guldbrandtsen","given":"Bernt","non-dropping-particle":"","parse-names":false,"suffix":""},{"dropping-particle":"","family":"Lund","given":"Mogens S.","non-dropping-particle":"","parse-names":false,"suffix":""},{"dropping-particle":"","family":"Servin","given":"Bertrand","non-dropping-particle":"","parse-names":false,"suffix":""},{"dropping-particle":"","family":"Garrick","given":"Dorian J.","non-dropping-particle":"","parse-names":false,"suffix":""},{"dropping-particle":"","family":"Reecy","given":"James","non-dropping-particle":"","parse-names":false,"suffix":""},{"dropping-particle":"","family":"Vilkki","given":"Johanna","non-dropping-particle":"","parse-names":false,"suffix":""},{"dropping-particle":"","family":"Bagnato","given":"Alessandro","non-dropping-particle":"","parse-names":false,"suffix":""},{"dropping-particle":"","family":"Wang","given":"Min","non-dropping-particle":"","parse-names":false,"suffix":""},{"dropping-particle":"","family":"Hoff","given":"Jesse L.","non-dropping-particle":"","parse-names":false,"suffix":""},{"dropping-particle":"","family":"Schnabel","given":"Robert D.","non-dropping-particle":"","parse-names":false,"suffix":""},{"dropping-particle":"","family":"Taylor","given":"Jeremy F.","non-dropping-particle":"","parse-names":false,"suffix":""},{"dropping-particle":"","family":"Vinkhuyzen","given":"Anna A.E.","non-dropping-particle":"","parse-names":false,"suffix":""},{"dropping-particle":"","family":"Panitz","given":"Frank","non-dropping-particle":"","parse-names":false,"suffix":""},{"dropping-particle":"","family":"Bendixen","given":"Christian","non-dropping-particle":"","parse-names":false,"suffix":""},{"dropping-particle":"","family":"Holm","given":"Lars Erik","non-dropping-particle":"","parse-names":false,"suffix":""},{"dropping-particle":"","family":"Gredler","given":"Birgit","non-dropping-particle":"","parse-names":false,"suffix":""},{"dropping-particle":"","family":"Hozé","given":"Chris","non-dropping-particle":"","parse-names":false,"suffix":""},{"dropping-particle":"","family":"Boussaha","given":"Mekki","non-dropping-particle":"","parse-names":false,"suffix":""},{"dropping-particle":"","family":"Sanchez","given":"Marie Pierre","non-dropping-particle":"","parse-names":false,"suffix":""},{"dropping-particle":"","family":"Rocha","given":"Dominique","non-dropping-particle":"","parse-names":false,"suffix":""},{"dropping-particle":"","family":"Capitan","given":"Aurelien","non-dropping-particle":"","parse-names":false,"suffix":""},{"dropping-particle":"","family":"Tribout","given":"Thierry","non-dropping-particle":"","parse-names":false,"suffix":""},{"dropping-particle":"","family":"Barbat","given":"Anne","non-dropping-particle":"","parse-names":false,"suffix":""},{"dropping-particle":"","family":"Croiseau","given":"Pascal","non-dropping-particle":"","parse-names":false,"suffix":""},{"dropping-particle":"","family":"Drögemüller","given":"Cord","non-dropping-particle":"","parse-names":false,"suffix":""},{"dropping-particle":"","family":"Jagannathan","given":"Vidhya","non-dropping-particle":"","parse-names":false,"suffix":""},{"dropping-particle":"","family":"Jagt","given":"Christy","non-dropping-particle":"Vander","parse-names":false,"suffix":""},{"dropping-particle":"","family":"Crowley","given":"John J.","non-dropping-particle":"","parse-names":false,"suffix":""},{"dropping-particle":"","family":"Bieber","given":"Anna","non-dropping-particle":"","parse-names":false,"suffix":""},{"dropping-particle":"","family":"Purfield","given":"Deirdre C.","non-dropping-particle":"","parse-names":false,"suffix":""},{"dropping-particle":"","family":"Berry","given":"Donagh P.","non-dropping-particle":"","parse-names":false,"suffix":""},{"dropping-particle":"","family":"Emmerling","given":"Reiner","non-dropping-particle":"","parse-names":false,"suffix":""},{"dropping-particle":"","family":"Götz","given":"Kay Uwe","non-dropping-particle":"","parse-names":false,"suffix":""},{"dropping-particle":"","family":"Frischknecht","given":"Mirjam","non-dropping-particle":"","parse-names":false,"suffix":""},{"dropping-particle":"","family":"Russ","given":"Ingolf","non-dropping-particle":"","parse-names":false,"suffix":""},{"dropping-particle":"","family":"Sölkner","given":"Johann","non-dropping-particle":"","parse-names":false,"suffix":""},{"dropping-particle":"","family":"Tassell","given":"Curtis P.","non-dropping-particle":"Van","parse-names":false,"suffix":""},{"dropping-particle":"","family":"Fries","given":"Ruedi","non-dropping-particle":"","parse-names":false,"suffix":""},{"dropping-particle":"","family":"Stothard","given":"Paul","non-dropping-particle":"","parse-names":false,"suffix":""},{"dropping-particle":"","family":"Veerkamp","given":"Roel F.","non-dropping-particle":"","parse-names":false,"suffix":""},{"dropping-particle":"","family":"Boichard","given":"Didier","non-dropping-particle":"","parse-names":false,"suffix":""},{"dropping-particle":"","family":"Goddard","given":"Mike E.","non-dropping-particle":"","parse-names":false,"suffix":""},{"dropping-particle":"","family":"Hayes","given":"Ben J.","non-dropping-particle":"","parse-names":false,"suffix":""}],"container-title":"Nature Genetics","id":"ITEM-1","issue":"3","issued":{"date-parts":[["2018","3","1"]]},"page":"362-367","publisher":"Nature Publishing Group","title":"Meta-analysis of genome-wide association studies for cattle stature identifies common genes that regulate body size in mammals","type":"article-journal","volume":"50"},"uris":["http://www.mendeley.com/documents/?uuid=276d5bd1-20c6-3165-bfe1-b3c4f799cebe"]},{"id":"ITEM-2","itemData":{"DOI":"10.1186/1471-2164-15-442","ISSN":"14712164","abstract":"Background: The availability of high-density SNP assays including the BovineSNP50 (50 K) enables the identification of novel quantitative trait loci (QTL) and improvement of the resolution of the locations of previously mapped QTL. We performed a series of genome-wide association studies (GWAS) using 50 K genotypes scored in 18,274 animals from 10 US beef cattle breeds with observations for twelve body weights, calving ease and carcass traits.Results: A total of 159 large-effects QTL (defined as 1-Mb genome windows explaining more than 1% of additive genetic variance) were identified. In general, more QTL were identified in analyses with bigger sample sizes. Four large-effect pleiotropic or closely linked QTLs located on BTA6 at 37-42 Mb (primarily at 38 Mb), on BTA7 at 93 Mb, on BTA14 at 23-26 Mb (primarily at 25 Mb) and on BTA20 at 4 Mb were identified in more than one breed. Several breed-specific large-effect pleiotropic or closely linked QTL were also identified. Some identified QTL regions harbor genes known to have large effects on a variety of traits in cattle such as PLAG1 and MSTN and others harbor promising candidate genes including NCAPG, ARRDC3, ERGIC1, SH3PXD2B, HMGA2, MSRB3, LEMD3, TIGAR, SEPT7, and KIRREL3. Gene ontology analysis revealed that genes involved in ossification and in adipose tissue development were over-represented in the identified pleiotropic QTL. Also, the MAPK signaling pathway was identified as a common pathway affected by the genes located near the pleiotropic QTL.Conclusions: This largest GWAS ever performed in beef cattle, led us to discover several novel across-breed and breed-specific large-effect pleiotropic QTL that cumulatively account for a significant percentage of additive genetic variance (e.g. more than a third of additive genetic variance of birth and mature weights; and calving ease direct in Hereford). These results will improve our understanding of the biology of growth and body composition in cattle. © 2014 Saatchi et al.; licensee BioMed Central Ltd.","author":[{"dropping-particle":"","family":"Saatchi","given":"Mahdi","non-dropping-particle":"","parse-names":false,"suffix":""},{"dropping-particle":"","family":"Schnabel","given":"Robert D.","non-dropping-particle":"","parse-names":false,"suffix":""},{"dropping-particle":"","family":"Taylor","given":"Jeremy F.","non-dropping-particle":"","parse-names":false,"suffix":""},{"dropping-particle":"","family":"Garrick","given":"Dorian J.","non-dropping-particle":"","parse-names":false,"suffix":""}],"container-title":"BMC Genomics","id":"ITEM-2","issue":"1","issued":{"date-parts":[["2014","6","6"]]},"publisher":"BioMed Central Ltd.","title":"Large-effect pleiotropic or closely linked QTL segregate within and across ten US cattle breeds","type":"article-journal","volume":"15"},"uris":["http://www.mendeley.com/documents/?uuid=56d0e91b-25fa-3cba-8839-4943cef581f2"]},{"id":"ITEM-3","itemData":{"DOI":"10.1111/age.12865","PMID":"31633203","abstract":"GWAS has been proven to be a powerful tool for detecting genetic variants associated with economically important traits such as production, 1,2 body conformation 3,4 and reproduction traits, 5 and diseases. 6 The objective of this study was to identify SNPs with significant association effects on body conformation traits in Chinese Holstein through the GWAS approach. The experimental population consisted of 445 Chinese Holstein cows, with parity no. 2, raised at four farms in Shandong province of China. Hair follicle samples were collected individually within four days in the same season. In total, 29 body conformation traits were analyzed by GWAS. There were 23 phenotypes measured individually on 1-9 scores, which were body height, height at front end, body depth, chest width, stature, angularity, rump angle (RA), pin width, loin strength, foot angle, heel depth, bone quality, rear legs-side view, rear legs-rear view, udder depth, udder texture, median suspensory, fore udder attachment, front teat placement, attachment height, attachment width (AW), rear teat placement and teat length. The remaining six functional body conforma-tion traits, measured on 1-100 scores, were stature score, rump system score, feet and legs score, udder system score, mammary system score and conformation final score (FS). The definitions of these conformation traits for cattle are available on the website of Canadian Dairy Network (https://www.cdn.ca/articles.php). The summary statistics of these phenotypes are listed in Table S1. Each experimental animal was genotyped by the GGP BovineLD V3 SNP chip, containing 26 151 public SNPs. Because all of the animals in these study populations were female, the SNPs from the X chromosome were also counted. The data quality control procedure excluded individuals with more than 10% missing genotypes and SNPs with a call rate of less than 90%, MAF less than 3% or P-value of the Hardy-Weinberg Equilibrium test less than 1.0E À 6. Finally, 421 animals with 20 632 SNP genotypes were retained for the subsequent GWAS analysis. Physical map length, the number of SNPs and SNP density on each chromosome based on reference genome UMD3.1, before and after the data cleaning procedure, are shown in Table S2. Results of pair-wise LD analysis of the 421 animals from four different farms showed high similarity of LD patterns among the whole population, indicating that similar breeding histories were shared by the four subpopulations (data not provided)…","author":[{"dropping-particle":"","family":"Yan","given":"Zhengui","non-dropping-particle":"","parse-names":false,"suffix":""},{"dropping-particle":"","family":"Wang","given":"Zhonghua","non-dropping-particle":"","parse-names":false,"suffix":""},{"dropping-particle":"","family":"Zhang","given":"Qin","non-dropping-particle":"","parse-names":false,"suffix":""},{"dropping-particle":"","family":"Yue","given":"Shujian","non-dropping-particle":"","parse-names":false,"suffix":""},{"dropping-particle":"","family":"Yin","given":"Bin","non-dropping-particle":"","parse-names":false,"suffix":""},{"dropping-particle":"","family":"Jiang","given":"Yunliang","non-dropping-particle":"","parse-names":false,"suffix":""},{"dropping-particle":"","family":"Shi","given":"Kerong","non-dropping-particle":"","parse-names":false,"suffix":""}],"container-title":"Animal Genetics","id":"ITEM-3","issue":"1","issued":{"date-parts":[["2020","2"]]},"page":"141-146","publisher":"Blackwell Publishing Ltd","title":"Identification of whole‐genome significant single nucleotide polymorphisms in candidate genes associated with body conformation traits in Chinese Holstein cattle","type":"article-journal","volume":"51"},"uris":["http://www.mendeley.com/documents/?uuid=6e36cd72-40aa-472f-a897-f04b9aca38d6"]},{"id":"ITEM-4","itemData":{"DOI":"10.3168/jds.2019-16451","ISSN":"15253198","PMID":"31301836","abstract":"We performed genome-wide association analyses for milk, fat, and protein yields and somatic cell score based on lactation stages in the first 3 parities of Canadian Ayrshire, Holstein, and Jersey cattle. The genome-wide association analyses were performed considering 3 different lactation stages for each trait and parity: from 5 to 95, from 96 to 215, and from 216 to 305 d in milk. Effects of single nucleotide polymorphisms (SNP) for each lactation stage, trait, parity, and breed were estimated by back-solving the direct breeding values estimated using the genomic best linear unbiased predictor and single-trait random regression test-day models containing only the fixed population average curve and the random genomic curves. To identify important genomic regions related to the analyzed lactation stages, traits, parities and breeds, moving windows (SNP-by-SNP) of 20 adjacent SNP explaining more than 0.30% of total genetic variance were selected for further analyses of candidate genes. A lower number of genomic windows with a relatively higher proportion of the explained genetic variance was found in the Holstein breed compared with the Ayrshire and Jersey breeds. Genomic regions associated with the analyzed traits were located on 12, 8, and 15 chromosomes for the Ayrshire, Holstein, and Jersey breeds, respectively. Especially for the Holstein breed, many of the identified candidate genes supported previous reports in the literature. However, well-known genes with major effects on milk production traits (e.g., diacylglycerol O-acyltransferase 1) showed contrasting results among lactation stages, traits, and parities of different breeds. Therefore, our results suggest evidence of differential sets of candidate genes underlying the phenotypic expression of the analyzed traits across breeds, parities, and lactation stages. Further functional studies are needed to validate our findings in independent populations.","author":[{"dropping-particle":"","family":"Oliveira","given":"H. R.","non-dropping-particle":"","parse-names":false,"suffix":""},{"dropping-particle":"","family":"Cant","given":"J. P.","non-dropping-particle":"","parse-names":false,"suffix":""},{"dropping-particle":"","family":"Brito","given":"L. F.","non-dropping-particle":"","parse-names":false,"suffix":""},{"dropping-particle":"","family":"Feitosa","given":"F. L.B.","non-dropping-particle":"","parse-names":false,"suffix":""},{"dropping-particle":"","family":"Chud","given":"T. C.S.","non-dropping-particle":"","parse-names":false,"suffix":""},{"dropping-particle":"","family":"Fonseca","given":"P. A.S.","non-dropping-particle":"","parse-names":false,"suffix":""},{"dropping-particle":"","family":"Jamrozik","given":"J.","non-dropping-particle":"","parse-names":false,"suffix":""},{"dropping-particle":"","family":"Silva","given":"F. F.","non-dropping-particle":"","parse-names":false,"suffix":""},{"dropping-particle":"","family":"Lourenco","given":"D. A.L.","non-dropping-particle":"","parse-names":false,"suffix":""},{"dropping-particle":"","family":"Schenkel","given":"F. S.","non-dropping-particle":"","parse-names":false,"suffix":""}],"container-title":"Journal of Dairy Science","id":"ITEM-4","issue":"9","issued":{"date-parts":[["2019","9","1"]]},"page":"8159-8174","publisher":"Elsevier Inc.","title":"Genome-wide association for milk production traits and somatic cell score in different lactation stages of Ayrshire, Holstein, and Jersey dairy cattle","type":"article-journal","volume":"102"},"uris":["http://www.mendeley.com/documents/?uuid=8e2e5ec2-1bf7-4f7c-87df-3666295b54e3"]},{"id":"ITEM-5","itemData":{"DOI":"10.1186/1471-2156-15-8","ISSN":"14712156","PMID":"24428918","abstract":"Background: The results obtained from genome-wide association studies (GWAS) often show pronounced disagreements. Validation of association studies is therefore desired before marker information is incorporated in selection decisions. A reliable way to confirm a discovered association between genetic markers and phenotypes is to validate the results in different populations. Therefore, the objective of this study was to validate single nucleotide polymorphism (SNP) marker associations to female fertility traits identified in the Nordic Holstein (NH) cattle population in the Nordic Red (NR) and Jersey (JER) cattle breeds. In the present study, we used data from 3,475 NH sires which were genotyped with the BovineSNP50 Beadchip to discover associations between SNP markers and eight female fertility-related traits. The significant SNP markers were then tested in NR and JER cattle.Results: A total of 4,474 significant associations between SNP markers and eight female fertility traits were detected in NH cattle. These significant associations were then validated in the NR (4,998 sires) and JER (1,225 sires) dairy cattle populations. We were able to validate 836 of the SNPs discovered in NH cattle in the NR population, as well as 686 SNPs in the JER population. 152 SNPs could be confirmed in both the NR and JER populations.Conclusions: The present study presents strong evidence for association of SNPs with fertility traits across three cattle breeds. We provide strong evidence that SNPs for many fertility traits are concentrated at certain areas on the genome (BTA1, BTA4, BTA7, BTA9, BTA11 and BTA13), and these areas would be highly suitable for further study in order to identify candidate genes for female fertility traits in dairy cattle. © 2014 Höglund et al.; licensee BioMed Central Ltd.","author":[{"dropping-particle":"","family":"Höglund","given":"Johanna K.","non-dropping-particle":"","parse-names":false,"suffix":""},{"dropping-particle":"","family":"Sahana","given":"Goutam","non-dropping-particle":"","parse-names":false,"suffix":""},{"dropping-particle":"","family":"Guldbrandtsen","given":"Bernt","non-dropping-particle":"","parse-names":false,"suffix":""},{"dropping-particle":"","family":"Lund","given":"Mogens S.","non-dropping-particle":"","parse-names":false,"suffix":""}],"container-title":"BMC Genetics","id":"ITEM-5","issue":"1","issued":{"date-parts":[["2014","1","15"]]},"page":"8","publisher":"BioMed Central","title":"Validation of associations for female fertility traits in Nordic Holstein, Nordic Red and Jersey dairy cattle","type":"article-journal","volume":"15"},"uris":["http://www.mendeley.com/documents/?uuid=b03582bd-0a46-3dc0-a6b9-ad51099c37b4"]}],"mendeley":{"formattedCitation":"[1, 37–40]","plainTextFormattedCitation":"[1, 37–40]","previouslyFormattedCitation":"[1, 37–40]"},"properties":{"noteIndex":0},"schema":"https://github.com/citation-style-language/schema/raw/master/csl-citation.json"}</w:instrText>
            </w:r>
            <w:r w:rsidRPr="00DD24FA">
              <w:rPr>
                <w:rFonts w:ascii="Times New Roman" w:hAnsi="Times New Roman" w:cs="Times New Roman"/>
                <w:sz w:val="18"/>
                <w:szCs w:val="18"/>
              </w:rPr>
              <w:fldChar w:fldCharType="separate"/>
            </w:r>
            <w:r w:rsidR="003E225D" w:rsidRPr="00DD24FA">
              <w:rPr>
                <w:rFonts w:ascii="Times New Roman" w:hAnsi="Times New Roman" w:cs="Times New Roman"/>
                <w:noProof/>
                <w:sz w:val="18"/>
                <w:szCs w:val="18"/>
              </w:rPr>
              <w:t>[1, 37–40]</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Stature, calving ease, rump angle, ketosis, milk fat yield</w:t>
            </w:r>
            <w:r w:rsidR="003E225D" w:rsidRPr="00DD24FA">
              <w:rPr>
                <w:rFonts w:ascii="Times New Roman" w:hAnsi="Times New Roman" w:cs="Times New Roman"/>
                <w:sz w:val="18"/>
                <w:szCs w:val="18"/>
              </w:rPr>
              <w:t xml:space="preserve">, </w:t>
            </w:r>
            <w:r w:rsidRPr="00DD24FA">
              <w:rPr>
                <w:rFonts w:ascii="Times New Roman" w:hAnsi="Times New Roman" w:cs="Times New Roman"/>
                <w:sz w:val="18"/>
                <w:szCs w:val="18"/>
              </w:rPr>
              <w:t>conception rate</w:t>
            </w:r>
          </w:p>
        </w:tc>
      </w:tr>
      <w:tr w:rsidR="00DD24FA" w14:paraId="329F1278"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293D1467" w14:textId="2099654E" w:rsidR="001B22CD" w:rsidRPr="00DD24FA" w:rsidRDefault="001B22CD"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5_60</w:t>
            </w:r>
            <w:r w:rsidR="00E13A86" w:rsidRPr="00DD24FA">
              <w:rPr>
                <w:rFonts w:ascii="Times New Roman" w:hAnsi="Times New Roman" w:cs="Times New Roman"/>
                <w:i/>
                <w:sz w:val="18"/>
                <w:szCs w:val="18"/>
                <w:vertAlign w:val="superscript"/>
              </w:rPr>
              <w:t>c</w:t>
            </w:r>
          </w:p>
        </w:tc>
        <w:tc>
          <w:tcPr>
            <w:tcW w:w="369" w:type="pct"/>
            <w:tcBorders>
              <w:top w:val="single" w:sz="4" w:space="0" w:color="auto"/>
              <w:left w:val="single" w:sz="4" w:space="0" w:color="auto"/>
              <w:bottom w:val="single" w:sz="4" w:space="0" w:color="auto"/>
              <w:right w:val="single" w:sz="4" w:space="0" w:color="auto"/>
            </w:tcBorders>
            <w:hideMark/>
          </w:tcPr>
          <w:p w14:paraId="2744767B"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5.592</w:t>
            </w:r>
          </w:p>
        </w:tc>
        <w:tc>
          <w:tcPr>
            <w:tcW w:w="554" w:type="pct"/>
            <w:tcBorders>
              <w:top w:val="single" w:sz="4" w:space="0" w:color="auto"/>
              <w:left w:val="single" w:sz="4" w:space="0" w:color="auto"/>
              <w:bottom w:val="single" w:sz="4" w:space="0" w:color="auto"/>
              <w:right w:val="single" w:sz="4" w:space="0" w:color="auto"/>
            </w:tcBorders>
            <w:hideMark/>
          </w:tcPr>
          <w:p w14:paraId="088215F8"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118.728</w:t>
            </w:r>
          </w:p>
        </w:tc>
        <w:tc>
          <w:tcPr>
            <w:tcW w:w="328" w:type="pct"/>
            <w:tcBorders>
              <w:top w:val="single" w:sz="4" w:space="0" w:color="auto"/>
              <w:left w:val="single" w:sz="4" w:space="0" w:color="auto"/>
              <w:bottom w:val="single" w:sz="4" w:space="0" w:color="auto"/>
              <w:right w:val="single" w:sz="4" w:space="0" w:color="auto"/>
            </w:tcBorders>
            <w:hideMark/>
          </w:tcPr>
          <w:p w14:paraId="019170F0"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0.024</w:t>
            </w:r>
          </w:p>
        </w:tc>
        <w:tc>
          <w:tcPr>
            <w:tcW w:w="570" w:type="pct"/>
            <w:tcBorders>
              <w:top w:val="single" w:sz="4" w:space="0" w:color="auto"/>
              <w:left w:val="single" w:sz="4" w:space="0" w:color="auto"/>
              <w:bottom w:val="single" w:sz="4" w:space="0" w:color="auto"/>
              <w:right w:val="single" w:sz="4" w:space="0" w:color="auto"/>
            </w:tcBorders>
            <w:hideMark/>
          </w:tcPr>
          <w:p w14:paraId="43A65040"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3</w:t>
            </w:r>
          </w:p>
        </w:tc>
        <w:tc>
          <w:tcPr>
            <w:tcW w:w="748" w:type="pct"/>
            <w:tcBorders>
              <w:top w:val="single" w:sz="4" w:space="0" w:color="auto"/>
              <w:left w:val="single" w:sz="4" w:space="0" w:color="auto"/>
              <w:bottom w:val="single" w:sz="4" w:space="0" w:color="auto"/>
              <w:right w:val="single" w:sz="4" w:space="0" w:color="auto"/>
            </w:tcBorders>
            <w:hideMark/>
          </w:tcPr>
          <w:p w14:paraId="5E616F68" w14:textId="77777777" w:rsidR="001B22CD" w:rsidRPr="00DD24FA" w:rsidRDefault="001B22CD" w:rsidP="00267B98">
            <w:pPr>
              <w:spacing w:after="0" w:line="240" w:lineRule="auto"/>
              <w:contextualSpacing/>
              <w:jc w:val="center"/>
              <w:rPr>
                <w:rFonts w:ascii="Times New Roman" w:hAnsi="Times New Roman" w:cs="Times New Roman"/>
                <w:i/>
                <w:iCs/>
                <w:color w:val="000000"/>
                <w:sz w:val="18"/>
                <w:szCs w:val="18"/>
              </w:rPr>
            </w:pPr>
            <w:r w:rsidRPr="00DD24FA">
              <w:rPr>
                <w:rFonts w:ascii="Times New Roman" w:hAnsi="Times New Roman" w:cs="Times New Roman"/>
                <w:i/>
                <w:color w:val="000000"/>
                <w:sz w:val="18"/>
                <w:szCs w:val="18"/>
              </w:rPr>
              <w:t>TMTC1</w:t>
            </w:r>
          </w:p>
        </w:tc>
        <w:tc>
          <w:tcPr>
            <w:tcW w:w="519" w:type="pct"/>
            <w:tcBorders>
              <w:top w:val="single" w:sz="4" w:space="0" w:color="auto"/>
              <w:left w:val="single" w:sz="4" w:space="0" w:color="auto"/>
              <w:bottom w:val="single" w:sz="4" w:space="0" w:color="auto"/>
              <w:right w:val="single" w:sz="4" w:space="0" w:color="auto"/>
            </w:tcBorders>
            <w:hideMark/>
          </w:tcPr>
          <w:p w14:paraId="5AFBCB03"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Intron</w:t>
            </w:r>
          </w:p>
        </w:tc>
        <w:tc>
          <w:tcPr>
            <w:tcW w:w="1416" w:type="pct"/>
            <w:tcBorders>
              <w:top w:val="single" w:sz="4" w:space="0" w:color="auto"/>
              <w:left w:val="single" w:sz="4" w:space="0" w:color="auto"/>
              <w:bottom w:val="single" w:sz="4" w:space="0" w:color="auto"/>
              <w:right w:val="single" w:sz="4" w:space="0" w:color="auto"/>
            </w:tcBorders>
            <w:hideMark/>
          </w:tcPr>
          <w:p w14:paraId="08A810F4" w14:textId="03C252FE"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3E225D" w:rsidRPr="00DD24FA">
              <w:rPr>
                <w:rFonts w:ascii="Times New Roman" w:hAnsi="Times New Roman" w:cs="Times New Roman"/>
                <w:sz w:val="18"/>
                <w:szCs w:val="18"/>
              </w:rPr>
              <w:instrText>ADDIN CSL_CITATION {"citationItems":[{"id":"ITEM-1","itemData":{"DOI":"10.1016/j.tem.2016.09.002","ISSN":"18793061","PMID":"27670636","abstract":"Metabolic diseases are associated with nutrient excess and metabolic inflexibility. Mitochondria and endoplasmic reticulum are important organelles and nutrient sensors, and their dysfunction has been extensively and independently implicated in metabolic diseases. Both organelles interact at sites known as mitochondria-associated membranes (MAMs), in order to exchange metabolites and calcium. Recent evidence indicates that MAM could be a hub of hepatic insulin signaling and nutrient sensing. In this review, we discuss the roles organelle function and communication play in the cell's adaptation to nutrient availability, in both physiology and metabolic diseases. We highlight how dynamic regulation of MAM affects mitochondria physiology and adaptation of cellular metabolism to nutrient availability, and how chronic MAM disruption participates in the metabolic inflexibility associated with metabolic disorders.","author":[{"dropping-particle":"","family":"Theurey","given":"Pierre","non-dropping-particle":"","parse-names":false,"suffix":""},{"dropping-particle":"","family":"Rieusset","given":"Jennifer","non-dropping-particle":"","parse-names":false,"suffix":""}],"container-title":"Trends in Endocrinology and Metabolism","id":"ITEM-1","issue":"1","issued":{"date-parts":[["2017","1","1"]]},"page":"32-45","publisher":"Elsevier Inc.","title":"Mitochondria-Associated Membranes Response to Nutrient Availability and Role in Metabolic Diseases","type":"article","volume":"28"},"uris":["http://www.mendeley.com/documents/?uuid=1311dd98-c7e6-3e64-aa27-1d19c0bf9367"]},{"id":"ITEM-2","itemData":{"DOI":"10.1038/s41419-018-0416-1","ISSN":"20414889","PMID":"29523782","abstract":"The contact sites that the endoplasmic reticulum (ER) forms with mitochondria, called mitochondria-associated membranes (MAMs), are a hot topic in biological research, and both their molecular determinants and their numerous roles in several signaling pathways are is continuously evolving. MAMs allow the exchange between both organelles of lipids, calcium (Ca2+), and likely reactive oxygen species, allowing adaptations of both cellular bioenergetics and cell fate depending of cellular needs or stresses. Therefore, it is not surprising that MAMs affect cellular metabolism. Nevertheless, recent arguments suggest that MAMs could also act as key hub of hormonal and/or nutrient signaling in several insulin-sensitive tissues, pointing a specific role of MAMs in the control of glucose homeostasis. Here, I provide a brief review and update on current key signaling roles of the MAMs in the control of glucose homeostasis in both health and metabolic diseases. Particularly, the relevance of ER-mitochondria miscommunication in the disruption of glucose homeostasis is analyzed in details in the liver, skeletal muscle, adipose tissue, and beta cells of the pancreas.","author":[{"dropping-particle":"","family":"Rieusset","given":"Jennifer","non-dropping-particle":"","parse-names":false,"suffix":""}],"container-title":"Cell Death and Disease","id":"ITEM-2","issue":"3","issued":{"date-parts":[["2018","3","1"]]},"page":"1-12","publisher":"Nature Publishing Group","title":"The role of endoplasmic reticulum-mitochondria contact sites in the control of glucose homeostasis: An update","type":"article-journal","volume":"9"},"uris":["http://www.mendeley.com/documents/?uuid=9d3afaff-ed10-3c7d-97ac-9d3bfb92fdfa"]}],"mendeley":{"formattedCitation":"[41, 42]","plainTextFormattedCitation":"[41, 42]","previouslyFormattedCitation":"[41, 42]"},"properties":{"noteIndex":0},"schema":"https://github.com/citation-style-language/schema/raw/master/csl-citation.json"}</w:instrText>
            </w:r>
            <w:r w:rsidRPr="00DD24FA">
              <w:rPr>
                <w:rFonts w:ascii="Times New Roman" w:hAnsi="Times New Roman" w:cs="Times New Roman"/>
                <w:sz w:val="18"/>
                <w:szCs w:val="18"/>
              </w:rPr>
              <w:fldChar w:fldCharType="separate"/>
            </w:r>
            <w:r w:rsidR="003E225D" w:rsidRPr="00DD24FA">
              <w:rPr>
                <w:rFonts w:ascii="Times New Roman" w:hAnsi="Times New Roman" w:cs="Times New Roman"/>
                <w:noProof/>
                <w:sz w:val="18"/>
                <w:szCs w:val="18"/>
              </w:rPr>
              <w:t>[41, 42]</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xml:space="preserve">; Human; </w:t>
            </w:r>
            <w:r w:rsidR="004D1A12" w:rsidRPr="00DD24FA">
              <w:rPr>
                <w:rFonts w:ascii="Times New Roman" w:hAnsi="Times New Roman" w:cs="Times New Roman"/>
                <w:sz w:val="18"/>
                <w:szCs w:val="18"/>
              </w:rPr>
              <w:t>C</w:t>
            </w:r>
            <w:r w:rsidRPr="00DD24FA">
              <w:rPr>
                <w:rFonts w:ascii="Times New Roman" w:hAnsi="Times New Roman" w:cs="Times New Roman"/>
                <w:sz w:val="18"/>
                <w:szCs w:val="18"/>
              </w:rPr>
              <w:t>ontrolling cellular metabolism, proliferation, and differentiation, regulation of glucose homeostasis</w:t>
            </w:r>
          </w:p>
        </w:tc>
      </w:tr>
      <w:tr w:rsidR="00DD24FA" w14:paraId="66A364DE"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1B94576B" w14:textId="451FDCB5" w:rsidR="001B22CD" w:rsidRPr="00DD24FA" w:rsidRDefault="001B22CD"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10_63</w:t>
            </w:r>
            <w:r w:rsidR="00E13A86" w:rsidRPr="00DD24FA">
              <w:rPr>
                <w:rFonts w:ascii="Times New Roman" w:hAnsi="Times New Roman" w:cs="Times New Roman"/>
                <w:i/>
                <w:sz w:val="18"/>
                <w:szCs w:val="18"/>
                <w:vertAlign w:val="superscript"/>
              </w:rPr>
              <w:t>d</w:t>
            </w:r>
          </w:p>
        </w:tc>
        <w:tc>
          <w:tcPr>
            <w:tcW w:w="369" w:type="pct"/>
            <w:tcBorders>
              <w:top w:val="single" w:sz="4" w:space="0" w:color="auto"/>
              <w:left w:val="single" w:sz="4" w:space="0" w:color="auto"/>
              <w:bottom w:val="single" w:sz="4" w:space="0" w:color="auto"/>
              <w:right w:val="single" w:sz="4" w:space="0" w:color="auto"/>
            </w:tcBorders>
            <w:hideMark/>
          </w:tcPr>
          <w:p w14:paraId="24EA64D6"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5.584</w:t>
            </w:r>
          </w:p>
        </w:tc>
        <w:tc>
          <w:tcPr>
            <w:tcW w:w="554" w:type="pct"/>
            <w:tcBorders>
              <w:top w:val="single" w:sz="4" w:space="0" w:color="auto"/>
              <w:left w:val="single" w:sz="4" w:space="0" w:color="auto"/>
              <w:bottom w:val="single" w:sz="4" w:space="0" w:color="auto"/>
              <w:right w:val="single" w:sz="4" w:space="0" w:color="auto"/>
            </w:tcBorders>
            <w:hideMark/>
          </w:tcPr>
          <w:p w14:paraId="4F2B2BBA"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-6.643</w:t>
            </w:r>
          </w:p>
        </w:tc>
        <w:tc>
          <w:tcPr>
            <w:tcW w:w="328" w:type="pct"/>
            <w:tcBorders>
              <w:top w:val="single" w:sz="4" w:space="0" w:color="auto"/>
              <w:left w:val="single" w:sz="4" w:space="0" w:color="auto"/>
              <w:bottom w:val="single" w:sz="4" w:space="0" w:color="auto"/>
              <w:right w:val="single" w:sz="4" w:space="0" w:color="auto"/>
            </w:tcBorders>
            <w:hideMark/>
          </w:tcPr>
          <w:p w14:paraId="46394B12"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0.235</w:t>
            </w:r>
          </w:p>
        </w:tc>
        <w:tc>
          <w:tcPr>
            <w:tcW w:w="570" w:type="pct"/>
            <w:tcBorders>
              <w:top w:val="single" w:sz="4" w:space="0" w:color="auto"/>
              <w:left w:val="single" w:sz="4" w:space="0" w:color="auto"/>
              <w:bottom w:val="single" w:sz="4" w:space="0" w:color="auto"/>
              <w:right w:val="single" w:sz="4" w:space="0" w:color="auto"/>
            </w:tcBorders>
            <w:hideMark/>
          </w:tcPr>
          <w:p w14:paraId="1F01DCD7"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3</w:t>
            </w:r>
          </w:p>
        </w:tc>
        <w:tc>
          <w:tcPr>
            <w:tcW w:w="748" w:type="pct"/>
            <w:tcBorders>
              <w:top w:val="single" w:sz="4" w:space="0" w:color="auto"/>
              <w:left w:val="single" w:sz="4" w:space="0" w:color="auto"/>
              <w:bottom w:val="single" w:sz="4" w:space="0" w:color="auto"/>
              <w:right w:val="single" w:sz="4" w:space="0" w:color="auto"/>
            </w:tcBorders>
            <w:hideMark/>
          </w:tcPr>
          <w:p w14:paraId="2581DBC7" w14:textId="77777777" w:rsidR="001B22CD" w:rsidRPr="00DD24FA" w:rsidRDefault="001B22CD" w:rsidP="00267B98">
            <w:pPr>
              <w:spacing w:after="0" w:line="240" w:lineRule="auto"/>
              <w:contextualSpacing/>
              <w:jc w:val="center"/>
              <w:rPr>
                <w:rFonts w:ascii="Times New Roman" w:hAnsi="Times New Roman" w:cs="Times New Roman"/>
                <w:i/>
                <w:iCs/>
                <w:color w:val="000000"/>
                <w:sz w:val="18"/>
                <w:szCs w:val="18"/>
              </w:rPr>
            </w:pPr>
            <w:r w:rsidRPr="00DD24FA">
              <w:rPr>
                <w:rFonts w:ascii="Times New Roman" w:hAnsi="Times New Roman" w:cs="Times New Roman"/>
                <w:i/>
                <w:color w:val="000000"/>
                <w:sz w:val="18"/>
                <w:szCs w:val="18"/>
              </w:rPr>
              <w:t>LOC112448561, LOC782100</w:t>
            </w:r>
          </w:p>
        </w:tc>
        <w:tc>
          <w:tcPr>
            <w:tcW w:w="519" w:type="pct"/>
            <w:tcBorders>
              <w:top w:val="single" w:sz="4" w:space="0" w:color="auto"/>
              <w:left w:val="single" w:sz="4" w:space="0" w:color="auto"/>
              <w:bottom w:val="single" w:sz="4" w:space="0" w:color="auto"/>
              <w:right w:val="single" w:sz="4" w:space="0" w:color="auto"/>
            </w:tcBorders>
            <w:hideMark/>
          </w:tcPr>
          <w:p w14:paraId="01D93990"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Intergenic</w:t>
            </w:r>
          </w:p>
        </w:tc>
        <w:tc>
          <w:tcPr>
            <w:tcW w:w="1416" w:type="pct"/>
            <w:tcBorders>
              <w:top w:val="single" w:sz="4" w:space="0" w:color="auto"/>
              <w:left w:val="single" w:sz="4" w:space="0" w:color="auto"/>
              <w:bottom w:val="single" w:sz="4" w:space="0" w:color="auto"/>
              <w:right w:val="single" w:sz="4" w:space="0" w:color="auto"/>
            </w:tcBorders>
            <w:hideMark/>
          </w:tcPr>
          <w:p w14:paraId="0581FBBE" w14:textId="33FAC7D7"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3E225D" w:rsidRPr="00DD24FA">
              <w:rPr>
                <w:rFonts w:ascii="Times New Roman" w:hAnsi="Times New Roman" w:cs="Times New Roman"/>
                <w:sz w:val="18"/>
                <w:szCs w:val="18"/>
              </w:rPr>
              <w:instrText>ADDIN CSL_CITATION {"citationItems":[{"id":"ITEM-1","itemData":{"DOI":"10.3390/genes11070767","ISSN":"2073-4425","abstract":"&lt;p&gt;Heifer conception rate (HCR) is defined as the percentage of inseminated heifers that become pregnant at each service. The genome-wide association analyses in this study focused on identifying the loci associated with Holstein heifer (n = 2013) conception rate at first service (HCR1) and the number of times bred (TBRD) to achieve a pregnancy. There were 348 unique loci associated (p &amp;lt; 5 × 10−8) with HCR1 and 615 unique loci associated (p &amp;lt; 5 × 10−8) with TBRD. The two phenotypes shared 302 loci, and 56 loci were validated in independent cattle populations. There were 52 transcription factor binding sites (TFBS) and 552 positional candidate genes identified in the HCR1- and TBRD-associated loci. The positional candidate genes and the TFBS associated with HCR1 and TBRD were used in the ingenuity pathway analysis (IPA). In the IPA, 11 pathways, 207 master regulators and 11 upstream regulators were associated (p &amp;lt; 1.23 × 10−5) with HCR1 and TBRD. The validated loci associated with both HCR1 and TBRD make good candidates for genomic selection and further investigations to elucidate the mechanisms associated with subfertility and infertility.&lt;/p&gt;","author":[{"dropping-particle":"","family":"Galliou","given":"Justine M.","non-dropping-particle":"","parse-names":false,"suffix":""},{"dropping-particle":"","family":"Kiser","given":"Jennifer N.","non-dropping-particle":"","parse-names":false,"suffix":""},{"dropping-particle":"","family":"Oliver","given":"Kayleen F.","non-dropping-particle":"","parse-names":false,"suffix":""},{"dropping-particle":"","family":"Seabury","given":"Christopher M.","non-dropping-particle":"","parse-names":false,"suffix":""},{"dropping-particle":"","family":"Moraes","given":"Joao G. N.","non-dropping-particle":"","parse-names":false,"suffix":""},{"dropping-particle":"","family":"Burns","given":"Gregory W.","non-dropping-particle":"","parse-names":false,"suffix":""},{"dropping-particle":"","family":"Spencer","given":"Thomas E.","non-dropping-particle":"","parse-names":false,"suffix":""},{"dropping-particle":"","family":"Dalton","given":"Joseph","non-dropping-particle":"","parse-names":false,"suffix":""},{"dropping-particle":"","family":"Neibergs","given":"Holly L.","non-dropping-particle":"","parse-names":false,"suffix":""}],"container-title":"Genes","id":"ITEM-1","issue":"7","issued":{"date-parts":[["2020","7","8"]]},"page":"767","publisher":"MDPI AG","title":"Identification of Loci and Pathways Associated with Heifer Conception Rate in U.S. Holsteins","type":"article-journal","volume":"11"},"uris":["http://www.mendeley.com/documents/?uuid=3eab597e-823a-3e79-93bb-dd7d1f36ef1d"]},{"id":"ITEM-2","itemData":{"DOI":"10.1186/s12864-019-5935-3","ISSN":"14712164","PMID":"31299913","abstract":"Background: Subfertility is one challenge facing the dairy industry as the average Holstein heifer conception rate (HCR), the proportion of heifers that conceive and maintain a pregnancy per breeding, is estimated at 55-60%. Of the loci associated with HCR, few have been validated in an independent cattle population, limiting their usefulness for selection or furthering our understanding of the mechanisms involved in successful pregnancy. Therefore, the objectives here were to identify loci associated with HCR: 1) to the first artificial insemination (AI) service (HCR1), 2) to repeated AI services required for a heifer to conceive (TBRD) and 3) to validate loci previously associated with fertility. Breeding and health records from 3359 Holstein heifers were obtained after heifers were bred by AI at observed estrus, with pregnancy determined at day 35 via palpation. Heifer DNA was genotyped using the Illumina BovineHD BeadChip, and genome-wide association analyses (GWAA) were performed with additive, dominant and recessive models using the Efficient Mixed Model Association eXpedited (EMMAX) method with a relationship matrix for two phenotypes. The HCR1 GWAA compared heifers that were pregnant after the first AI service (n = 497) to heifers that were open following the first AI service (n = 405), which included those that never conceived. The TBRD GWAA compared only those heifers which did conceive, across variable numbers of AI service (n = 712). Comparison of loci previously associated with fertility, HCR1 or TBRD were considered the same locus for validation when in linkage disequilibrium (D' &gt; 0.7). Results: The HCR1 GWAA identified 116, 187 and 28 loci associated (P &lt; 5 × 10- 8) in additive, dominant and recessive models, respectively. The TBRD GWAA identified 235, 362, and 69 QTL associated (P &lt; 5 × 10- 8) with additive, dominant and recessive models, respectively. Loci previously associated with fertility were in linkage disequilibrium with 22 loci shared with HCR1 and TBRD, 5 HCR1 and 19 TBRD loci. Conclusions: Loci associated with HCR1 and TBRD that have been identified and validated can be used to improve HCR through genomic selection, and to better understand possible mechanisms associated with subfertility.","author":[{"dropping-particle":"","family":"Kiser","given":"Jennifer N.","non-dropping-particle":"","parse-names":false,"suffix":""},{"dropping-particle":"","family":"Keuter","given":"Elizabeth M.","non-dropping-particle":"","parse-names":false,"suffix":""},{"dropping-particle":"","family":"Seabury","given":"Christopher M.","non-dropping-particle":"","parse-names":false,"suffix":""},{"dropping-particle":"","family":"Neupane","given":"Mahesh","non-dropping-particle":"","parse-names":false,"suffix":""},{"dropping-particle":"","family":"Moraes","given":"Joao G.N.","non-dropping-particle":"","parse-names":false,"suffix":""},{"dropping-particle":"","family":"Dalton","given":"Joseph","non-dropping-particle":"","parse-names":false,"suffix":""},{"dropping-particle":"","family":"Burns","given":"Gregory W.","non-dropping-particle":"","parse-names":false,"suffix":""},{"dropping-particle":"","family":"Spencer","given":"Thomas E.","non-dropping-particle":"","parse-names":false,"suffix":""},{"dropping-particle":"","family":"Neibergs","given":"Holly L.","non-dropping-particle":"","parse-names":false,"suffix":""}],"container-title":"BMC Genomics","id":"ITEM-2","issue":"1","issued":{"date-parts":[["2019","7","12"]]},"page":"576","publisher":"BioMed Central Ltd.","title":"Validation of 46 loci associated with female fertility traits in cattle","type":"article-journal","volume":"20"},"uris":["http://www.mendeley.com/documents/?uuid=89eb3da7-d86c-3efc-9759-112ebb7713bc"]},{"id":"ITEM-3","itemData":{"DOI":"10.1111/age.12865","PMID":"31633203","abstract":"GWAS has been proven to be a powerful tool for detecting genetic variants associated with economically important traits such as production, 1,2 body conformation 3,4 and reproduction traits, 5 and diseases. 6 The objective of this study was to identify SNPs with significant association effects on body conformation traits in Chinese Holstein through the GWAS approach. The experimental population consisted of 445 Chinese Holstein cows, with parity no. 2, raised at four farms in Shandong province of China. Hair follicle samples were collected individually within four days in the same season. In total, 29 body conformation traits were analyzed by GWAS. There were 23 phenotypes measured individually on 1-9 scores, which were body height, height at front end, body depth, chest width, stature, angularity, rump angle (RA), pin width, loin strength, foot angle, heel depth, bone quality, rear legs-side view, rear legs-rear view, udder depth, udder texture, median suspensory, fore udder attachment, front teat placement, attachment height, attachment width (AW), rear teat placement and teat length. The remaining six functional body conforma-tion traits, measured on 1-100 scores, were stature score, rump system score, feet and legs score, udder system score, mammary system score and conformation final score (FS). The definitions of these conformation traits for cattle are available on the website of Canadian Dairy Network (https://www.cdn.ca/articles.php). The summary statistics of these phenotypes are listed in Table S1. Each experimental animal was genotyped by the GGP BovineLD V3 SNP chip, containing 26 151 public SNPs. Because all of the animals in these study populations were female, the SNPs from the X chromosome were also counted. The data quality control procedure excluded individuals with more than 10% missing genotypes and SNPs with a call rate of less than 90%, MAF less than 3% or P-value of the Hardy-Weinberg Equilibrium test less than 1.0E À 6. Finally, 421 animals with 20 632 SNP genotypes were retained for the subsequent GWAS analysis. Physical map length, the number of SNPs and SNP density on each chromosome based on reference genome UMD3.1, before and after the data cleaning procedure, are shown in Table S2. Results of pair-wise LD analysis of the 421 animals from four different farms showed high similarity of LD patterns among the whole population, indicating that similar breeding histories were shared by the four subpopulations (data not provided)…","author":[{"dropping-particle":"","family":"Yan","given":"Zhengui","non-dropping-particle":"","parse-names":false,"suffix":""},{"dropping-particle":"","family":"Wang","given":"Zhonghua","non-dropping-particle":"","parse-names":false,"suffix":""},{"dropping-particle":"","family":"Zhang","given":"Qin","non-dropping-particle":"","parse-names":false,"suffix":""},{"dropping-particle":"","family":"Yue","given":"Shujian","non-dropping-particle":"","parse-names":false,"suffix":""},{"dropping-particle":"","family":"Yin","given":"Bin","non-dropping-particle":"","parse-names":false,"suffix":""},{"dropping-particle":"","family":"Jiang","given":"Yunliang","non-dropping-particle":"","parse-names":false,"suffix":""},{"dropping-particle":"","family":"Shi","given":"Kerong","non-dropping-particle":"","parse-names":false,"suffix":""}],"container-title":"Animal Genetics","id":"ITEM-3","issue":"1","issued":{"date-parts":[["2020","2"]]},"page":"141-146","publisher":"Blackwell Publishing Ltd","title":"Identification of whole‐genome significant single nucleotide polymorphisms in candidate genes associated with body conformation traits in Chinese Holstein cattle","type":"article-journal","volume":"51"},"uris":["http://www.mendeley.com/documents/?uuid=6e36cd72-40aa-472f-a897-f04b9aca38d6"]}],"mendeley":{"formattedCitation":"[3, 38, 43]","plainTextFormattedCitation":"[3, 38, 43]","previouslyFormattedCitation":"[3, 38, 43]"},"properties":{"noteIndex":0},"schema":"https://github.com/citation-style-language/schema/raw/master/csl-citation.json"}</w:instrText>
            </w:r>
            <w:r w:rsidRPr="00DD24FA">
              <w:rPr>
                <w:rFonts w:ascii="Times New Roman" w:hAnsi="Times New Roman" w:cs="Times New Roman"/>
                <w:sz w:val="18"/>
                <w:szCs w:val="18"/>
              </w:rPr>
              <w:fldChar w:fldCharType="separate"/>
            </w:r>
            <w:r w:rsidR="003E225D" w:rsidRPr="00DD24FA">
              <w:rPr>
                <w:rFonts w:ascii="Times New Roman" w:hAnsi="Times New Roman" w:cs="Times New Roman"/>
                <w:noProof/>
                <w:sz w:val="18"/>
                <w:szCs w:val="18"/>
              </w:rPr>
              <w:t>[3, 38, 43]</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Conception rate, rump angle</w:t>
            </w:r>
          </w:p>
        </w:tc>
      </w:tr>
      <w:tr w:rsidR="00DD24FA" w14:paraId="0F62390C"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2088AE53" w14:textId="585F1AC2" w:rsidR="001B22CD" w:rsidRPr="00DD24FA" w:rsidRDefault="001B22CD"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16_75</w:t>
            </w:r>
            <w:r w:rsidR="00E13A86" w:rsidRPr="00DD24FA">
              <w:rPr>
                <w:rFonts w:ascii="Times New Roman" w:hAnsi="Times New Roman" w:cs="Times New Roman"/>
                <w:i/>
                <w:sz w:val="18"/>
                <w:szCs w:val="18"/>
                <w:vertAlign w:val="superscript"/>
              </w:rPr>
              <w:t>c</w:t>
            </w:r>
          </w:p>
        </w:tc>
        <w:tc>
          <w:tcPr>
            <w:tcW w:w="369" w:type="pct"/>
            <w:tcBorders>
              <w:top w:val="single" w:sz="4" w:space="0" w:color="auto"/>
              <w:left w:val="single" w:sz="4" w:space="0" w:color="auto"/>
              <w:bottom w:val="single" w:sz="4" w:space="0" w:color="auto"/>
              <w:right w:val="single" w:sz="4" w:space="0" w:color="auto"/>
            </w:tcBorders>
            <w:hideMark/>
          </w:tcPr>
          <w:p w14:paraId="36946698"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5.543</w:t>
            </w:r>
          </w:p>
        </w:tc>
        <w:tc>
          <w:tcPr>
            <w:tcW w:w="554" w:type="pct"/>
            <w:tcBorders>
              <w:top w:val="single" w:sz="4" w:space="0" w:color="auto"/>
              <w:left w:val="single" w:sz="4" w:space="0" w:color="auto"/>
              <w:bottom w:val="single" w:sz="4" w:space="0" w:color="auto"/>
              <w:right w:val="single" w:sz="4" w:space="0" w:color="auto"/>
            </w:tcBorders>
            <w:hideMark/>
          </w:tcPr>
          <w:p w14:paraId="7630A7C9"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19.687</w:t>
            </w:r>
          </w:p>
        </w:tc>
        <w:tc>
          <w:tcPr>
            <w:tcW w:w="328" w:type="pct"/>
            <w:tcBorders>
              <w:top w:val="single" w:sz="4" w:space="0" w:color="auto"/>
              <w:left w:val="single" w:sz="4" w:space="0" w:color="auto"/>
              <w:bottom w:val="single" w:sz="4" w:space="0" w:color="auto"/>
              <w:right w:val="single" w:sz="4" w:space="0" w:color="auto"/>
            </w:tcBorders>
            <w:hideMark/>
          </w:tcPr>
          <w:p w14:paraId="43A1D0AA"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0.305</w:t>
            </w:r>
          </w:p>
        </w:tc>
        <w:tc>
          <w:tcPr>
            <w:tcW w:w="570" w:type="pct"/>
            <w:tcBorders>
              <w:top w:val="single" w:sz="4" w:space="0" w:color="auto"/>
              <w:left w:val="single" w:sz="4" w:space="0" w:color="auto"/>
              <w:bottom w:val="single" w:sz="4" w:space="0" w:color="auto"/>
              <w:right w:val="single" w:sz="4" w:space="0" w:color="auto"/>
            </w:tcBorders>
            <w:hideMark/>
          </w:tcPr>
          <w:p w14:paraId="31CEF355"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w:t>
            </w:r>
          </w:p>
        </w:tc>
        <w:tc>
          <w:tcPr>
            <w:tcW w:w="748" w:type="pct"/>
            <w:tcBorders>
              <w:top w:val="single" w:sz="4" w:space="0" w:color="auto"/>
              <w:left w:val="single" w:sz="4" w:space="0" w:color="auto"/>
              <w:bottom w:val="single" w:sz="4" w:space="0" w:color="auto"/>
              <w:right w:val="single" w:sz="4" w:space="0" w:color="auto"/>
            </w:tcBorders>
            <w:hideMark/>
          </w:tcPr>
          <w:p w14:paraId="6B59DB18" w14:textId="77777777" w:rsidR="001B22CD" w:rsidRPr="00DD24FA" w:rsidRDefault="001B22CD" w:rsidP="00267B98">
            <w:pPr>
              <w:spacing w:after="0" w:line="240" w:lineRule="auto"/>
              <w:contextualSpacing/>
              <w:jc w:val="center"/>
              <w:rPr>
                <w:rFonts w:ascii="Times New Roman" w:hAnsi="Times New Roman" w:cs="Times New Roman"/>
                <w:i/>
                <w:color w:val="000000"/>
                <w:sz w:val="18"/>
                <w:szCs w:val="18"/>
              </w:rPr>
            </w:pPr>
            <w:r w:rsidRPr="00DD24FA">
              <w:rPr>
                <w:rFonts w:ascii="Times New Roman" w:hAnsi="Times New Roman" w:cs="Times New Roman"/>
                <w:i/>
                <w:color w:val="000000"/>
                <w:sz w:val="18"/>
                <w:szCs w:val="18"/>
              </w:rPr>
              <w:t>LOC112441795, LOC112441796</w:t>
            </w:r>
          </w:p>
        </w:tc>
        <w:tc>
          <w:tcPr>
            <w:tcW w:w="519" w:type="pct"/>
            <w:tcBorders>
              <w:top w:val="single" w:sz="4" w:space="0" w:color="auto"/>
              <w:left w:val="single" w:sz="4" w:space="0" w:color="auto"/>
              <w:bottom w:val="single" w:sz="4" w:space="0" w:color="auto"/>
              <w:right w:val="single" w:sz="4" w:space="0" w:color="auto"/>
            </w:tcBorders>
            <w:hideMark/>
          </w:tcPr>
          <w:p w14:paraId="7137120A"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Intergenic</w:t>
            </w:r>
          </w:p>
        </w:tc>
        <w:tc>
          <w:tcPr>
            <w:tcW w:w="1416" w:type="pct"/>
            <w:tcBorders>
              <w:top w:val="single" w:sz="4" w:space="0" w:color="auto"/>
              <w:left w:val="single" w:sz="4" w:space="0" w:color="auto"/>
              <w:bottom w:val="single" w:sz="4" w:space="0" w:color="auto"/>
              <w:right w:val="single" w:sz="4" w:space="0" w:color="auto"/>
            </w:tcBorders>
            <w:hideMark/>
          </w:tcPr>
          <w:p w14:paraId="68BC003E" w14:textId="31E5C01C"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B77A3C" w:rsidRPr="00DD24FA">
              <w:rPr>
                <w:rFonts w:ascii="Times New Roman" w:hAnsi="Times New Roman" w:cs="Times New Roman"/>
                <w:sz w:val="18"/>
                <w:szCs w:val="18"/>
              </w:rPr>
              <w:instrText>ADDIN CSL_CITATION {"citationItems":[{"id":"ITEM-1","itemData":{"DOI":"10.1186/1471-2164-12-408","author":[{"dropping-particle":"","family":"Cole","given":"John B.","non-dropping-particle":"","parse-names":false,"suffix":""},{"dropping-particle":"","family":"Wiggans","given":"George R.","non-dropping-particle":"","parse-names":false,"suffix":""},{"dropping-particle":"","family":"Ma","given":"Li","non-dropping-particle":"","parse-names":false,"suffix":""},{"dropping-particle":"","family":"Sonstegard","given":"Tad S.","non-dropping-particle":"","parse-names":false,"suffix":""},{"dropping-particle":"","family":"Lawlor","given":"Thomas J.","non-dropping-particle":"","parse-names":false,"suffix":""},{"dropping-particle":"","family":"Crooker","given":"Brian A.","non-dropping-particle":"","parse-names":false,"suffix":""},{"dropping-particle":"","family":"Tassell","given":"Curtis P.","non-dropping-particle":"Van","parse-names":false,"suffix":""},{"dropping-particle":"","family":"Yang","given":"Jing","non-dropping-particle":"","parse-names":false,"suffix":""},{"dropping-particle":"","family":"Wang","given":"Shengwen","non-dropping-particle":"","parse-names":false,"suffix":""},{"dropping-particle":"","family":"Matukumalli","given":"Lakshmi K.","non-dropping-particle":"","parse-names":false,"suffix":""},{"dropping-particle":"","family":"Da","given":"Yang","non-dropping-particle":"","parse-names":false,"suffix":""}],"container-title":"BMC Genomics","id":"ITEM-1","issue":"1","issued":{"date-parts":[["2011","8","11"]]},"page":"408","publisher":"BioMed Central","title":"Genome-wide association analysis of thirty one production, health, reproduction and body conformation traits in contemporary U.S. Holstein cows","type":"article-journal","volume":"12"},"uris":["http://www.mendeley.com/documents/?uuid=b39c2e85-60d5-4133-916f-89443378a092"]},{"id":"ITEM-2","itemData":{"DOI":"10.1186/1471-2156-13-21","ISSN":"14712156","PMID":"22449276","abstract":"Background: Contemporary dairy breeding goals have broadened to include, along with milk production traits, a number of non-production-related traits in an effort to improve the overall functionality of the dairy cow. Increased indirect selection for resistance to mastitis, one of the most important production-related diseases in the dairy sector, via selection for reduced somatic cell count has been part of these broadened goals. A number of genome-wide association studies have identified genetic variants associated with milk production traits and mastitis resistance, however the majority of these studies have been based on animals which were predominantly kept in confinement and fed a concentrate-based diet (i.e. high-input production systems). This genome-wide association study aims to detect associations using genotypic and phenotypic data from Irish Holstein-Friesian cattle fed predominantly grazed grass in a pasture-based production system (low-input).Results: Significant associations were detected for milk yield, fat yield, protein yield, fat percentage, protein percentage and somatic cell score using separate single-locus, frequentist and multi-locus, Bayesian approaches. These associations were detected using two separate populations of Holstein-Friesian sires and cows. In total, 1,529 and 37 associations were detected in the sires using a single SNP regression and a Bayesian method, respectively. There were 103 associations in common between the sires and cows across all the traits. As well as detecting associations within known QTL regions, a number of novel associations were detected; the most notable of these was a region of chromosome 13 associated with milk yield in the population of Holstein-Friesian sires.Conclusions: A total of 276 of novel SNPs were detected in the sires using a single SNP regression approach. Although obvious candidate genes may not be initially forthcoming, this study provides a preliminary framework upon which to identify the causal mechanisms underlying the various milk production traits and somatic cell score. Consequently this will deepen our understanding of how these traits are expressed. © 2012 Meredith et al; licensee BioMed Central Ltd.","author":[{"dropping-particle":"","family":"Meredith","given":"Brian K.","non-dropping-particle":"","parse-names":false,"suffix":""},{"dropping-particle":"","family":"Kearney","given":"Francis J.","non-dropping-particle":"","parse-names":false,"suffix":""},{"dropping-particle":"","family":"Finlay","given":"Emma K.","non-dropping-particle":"","parse-names":false,"suffix":""},{"dropping-particle":"","family":"Bradley","given":"Daniel G.","non-dropping-particle":"","parse-names":false,"suffix":""},{"dropping-particle":"","family":"Fahey","given":"Alan G.","non-dropping-particle":"","parse-names":false,"suffix":""},{"dropping-particle":"","family":"Berry","given":"Donagh P.","non-dropping-particle":"","parse-names":false,"suffix":""},{"dropping-particle":"","family":"Lynn","given":"David J.","non-dropping-particle":"","parse-names":false,"suffix":""}],"container-title":"BMC Genetics","id":"ITEM-2","issue":"1","issued":{"date-parts":[["2012","3","26"]]},"page":"21","publisher":"BioMed Central","title":"Genome-wide associations for milk production and somatic cell score in Holstein-Friesian cattle in Ireland","type":"article-journal","volume":"13"},"uris":["http://www.mendeley.com/documents/?uuid=120c3a2d-4807-3f2e-b4ba-7fbf90b7964d"]},{"id":"ITEM-3","itemData":{"DOI":"10.1186/s12864-019-5935-3","ISSN":"14712164","PMID":"31299913","abstract":"Background: Subfertility is one challenge facing the dairy industry as the average Holstein heifer conception rate (HCR), the proportion of heifers that conceive and maintain a pregnancy per breeding, is estimated at 55-60%. Of the loci associated with HCR, few have been validated in an independent cattle population, limiting their usefulness for selection or furthering our understanding of the mechanisms involved in successful pregnancy. Therefore, the objectives here were to identify loci associated with HCR: 1) to the first artificial insemination (AI) service (HCR1), 2) to repeated AI services required for a heifer to conceive (TBRD) and 3) to validate loci previously associated with fertility. Breeding and health records from 3359 Holstein heifers were obtained after heifers were bred by AI at observed estrus, with pregnancy determined at day 35 via palpation. Heifer DNA was genotyped using the Illumina BovineHD BeadChip, and genome-wide association analyses (GWAA) were performed with additive, dominant and recessive models using the Efficient Mixed Model Association eXpedited (EMMAX) method with a relationship matrix for two phenotypes. The HCR1 GWAA compared heifers that were pregnant after the first AI service (n = 497) to heifers that were open following the first AI service (n = 405), which included those that never conceived. The TBRD GWAA compared only those heifers which did conceive, across variable numbers of AI service (n = 712). Comparison of loci previously associated with fertility, HCR1 or TBRD were considered the same locus for validation when in linkage disequilibrium (D' &gt; 0.7). Results: The HCR1 GWAA identified 116, 187 and 28 loci associated (P &lt; 5 × 10- 8) in additive, dominant and recessive models, respectively. The TBRD GWAA identified 235, 362, and 69 QTL associated (P &lt; 5 × 10- 8) with additive, dominant and recessive models, respectively. Loci previously associated with fertility were in linkage disequilibrium with 22 loci shared with HCR1 and TBRD, 5 HCR1 and 19 TBRD loci. Conclusions: Loci associated with HCR1 and TBRD that have been identified and validated can be used to improve HCR through genomic selection, and to better understand possible mechanisms associated with subfertility.","author":[{"dropping-particle":"","family":"Kiser","given":"Jennifer N.","non-dropping-particle":"","parse-names":false,"suffix":""},{"dropping-particle":"","family":"Keuter","given":"Elizabeth M.","non-dropping-particle":"","parse-names":false,"suffix":""},{"dropping-particle":"","family":"Seabury","given":"Christopher M.","non-dropping-particle":"","parse-names":false,"suffix":""},{"dropping-particle":"","family":"Neupane","given":"Mahesh","non-dropping-particle":"","parse-names":false,"suffix":""},{"dropping-particle":"","family":"Moraes","given":"Joao G.N.","non-dropping-particle":"","parse-names":false,"suffix":""},{"dropping-particle":"","family":"Dalton","given":"Joseph","non-dropping-particle":"","parse-names":false,"suffix":""},{"dropping-particle":"","family":"Burns","given":"Gregory W.","non-dropping-particle":"","parse-names":false,"suffix":""},{"dropping-particle":"","family":"Spencer","given":"Thomas E.","non-dropping-particle":"","parse-names":false,"suffix":""},{"dropping-particle":"","family":"Neibergs","given":"Holly L.","non-dropping-particle":"","parse-names":false,"suffix":""}],"container-title":"BMC Genomics","id":"ITEM-3","issue":"1","issued":{"date-parts":[["2019","7","12"]]},"page":"576","publisher":"BioMed Central Ltd.","title":"Validation of 46 loci associated with female fertility traits in cattle","type":"article-journal","volume":"20"},"uris":["http://www.mendeley.com/documents/?uuid=89eb3da7-d86c-3efc-9759-112ebb7713bc"]},{"id":"ITEM-4","itemData":{"DOI":"10.1186/1471-2164-15-442","ISSN":"14712164","abstract":"Background: The availability of high-density SNP assays including the BovineSNP50 (50 K) enables the identification of novel quantitative trait loci (QTL) and improvement of the resolution of the locations of previously mapped QTL. We performed a series of genome-wide association studies (GWAS) using 50 K genotypes scored in 18,274 animals from 10 US beef cattle breeds with observations for twelve body weights, calving ease and carcass traits.Results: A total of 159 large-effects QTL (defined as 1-Mb genome windows explaining more than 1% of additive genetic variance) were identified. In general, more QTL were identified in analyses with bigger sample sizes. Four large-effect pleiotropic or closely linked QTLs located on BTA6 at 37-42 Mb (primarily at 38 Mb), on BTA7 at 93 Mb, on BTA14 at 23-26 Mb (primarily at 25 Mb) and on BTA20 at 4 Mb were identified in more than one breed. Several breed-specific large-effect pleiotropic or closely linked QTL were also identified. Some identified QTL regions harbor genes known to have large effects on a variety of traits in cattle such as PLAG1 and MSTN and others harbor promising candidate genes including NCAPG, ARRDC3, ERGIC1, SH3PXD2B, HMGA2, MSRB3, LEMD3, TIGAR, SEPT7, and KIRREL3. Gene ontology analysis revealed that genes involved in ossification and in adipose tissue development were over-represented in the identified pleiotropic QTL. Also, the MAPK signaling pathway was identified as a common pathway affected by the genes located near the pleiotropic QTL.Conclusions: This largest GWAS ever performed in beef cattle, led us to discover several novel across-breed and breed-specific large-effect pleiotropic QTL that cumulatively account for a significant percentage of additive genetic variance (e.g. more than a third of additive genetic variance of birth and mature weights; and calving ease direct in Hereford). These results will improve our understanding of the biology of growth and body composition in cattle. © 2014 Saatchi et al.; licensee BioMed Central Ltd.","author":[{"dropping-particle":"","family":"Saatchi","given":"Mahdi","non-dropping-particle":"","parse-names":false,"suffix":""},{"dropping-particle":"","family":"Schnabel","given":"Robert D.","non-dropping-particle":"","parse-names":false,"suffix":""},{"dropping-particle":"","family":"Taylor","given":"Jeremy F.","non-dropping-particle":"","parse-names":false,"suffix":""},{"dropping-particle":"","family":"Garrick","given":"Dorian J.","non-dropping-particle":"","parse-names":false,"suffix":""}],"container-title":"BMC Genomics","id":"ITEM-4","issue":"1","issued":{"date-parts":[["2014","6","6"]]},"publisher":"BioMed Central Ltd.","title":"Large-effect pleiotropic or closely linked QTL segregate within and across ten US cattle breeds","type":"article-journal","volume":"15"},"uris":["http://www.mendeley.com/documents/?uuid=56d0e91b-25fa-3cba-8839-4943cef581f2"]}],"mendeley":{"formattedCitation":"[1, 3, 7, 14]","plainTextFormattedCitation":"[1, 3, 7, 14]","previouslyFormattedCitation":"[1, 3, 7, 14]"},"properties":{"noteIndex":0},"schema":"https://github.com/citation-style-language/schema/raw/master/csl-citation.json"}</w:instrText>
            </w:r>
            <w:r w:rsidRPr="00DD24FA">
              <w:rPr>
                <w:rFonts w:ascii="Times New Roman" w:hAnsi="Times New Roman" w:cs="Times New Roman"/>
                <w:sz w:val="18"/>
                <w:szCs w:val="18"/>
              </w:rPr>
              <w:fldChar w:fldCharType="separate"/>
            </w:r>
            <w:r w:rsidR="003E225D" w:rsidRPr="00DD24FA">
              <w:rPr>
                <w:rFonts w:ascii="Times New Roman" w:hAnsi="Times New Roman" w:cs="Times New Roman"/>
                <w:noProof/>
                <w:sz w:val="18"/>
                <w:szCs w:val="18"/>
              </w:rPr>
              <w:t>[1, 3, 7, 14]</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Somatic cell score, milk protein yield, conception rate, ribeye area</w:t>
            </w:r>
          </w:p>
        </w:tc>
      </w:tr>
      <w:tr w:rsidR="00DD24FA" w14:paraId="2189F43A"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29FC71AE" w14:textId="77777777" w:rsidR="001B22CD" w:rsidRPr="00DD24FA" w:rsidRDefault="001B22CD" w:rsidP="00267B98">
            <w:pPr>
              <w:spacing w:after="0" w:line="240" w:lineRule="auto"/>
              <w:contextualSpacing/>
              <w:jc w:val="center"/>
              <w:rPr>
                <w:rFonts w:ascii="Times New Roman" w:hAnsi="Times New Roman" w:cs="Times New Roman"/>
                <w:i/>
                <w:sz w:val="18"/>
                <w:szCs w:val="18"/>
                <w:vertAlign w:val="superscript"/>
              </w:rPr>
            </w:pPr>
            <w:r w:rsidRPr="00DD24FA">
              <w:rPr>
                <w:rFonts w:ascii="Times New Roman" w:hAnsi="Times New Roman" w:cs="Times New Roman"/>
                <w:i/>
                <w:sz w:val="18"/>
                <w:szCs w:val="18"/>
              </w:rPr>
              <w:t>19_15</w:t>
            </w:r>
            <w:r w:rsidRPr="00DD24FA">
              <w:rPr>
                <w:rFonts w:ascii="Times New Roman" w:hAnsi="Times New Roman" w:cs="Times New Roman"/>
                <w:i/>
                <w:sz w:val="18"/>
                <w:szCs w:val="18"/>
                <w:vertAlign w:val="superscript"/>
              </w:rPr>
              <w:t>a</w:t>
            </w:r>
          </w:p>
        </w:tc>
        <w:tc>
          <w:tcPr>
            <w:tcW w:w="369" w:type="pct"/>
            <w:tcBorders>
              <w:top w:val="single" w:sz="4" w:space="0" w:color="auto"/>
              <w:left w:val="single" w:sz="4" w:space="0" w:color="auto"/>
              <w:bottom w:val="single" w:sz="4" w:space="0" w:color="auto"/>
              <w:right w:val="single" w:sz="4" w:space="0" w:color="auto"/>
            </w:tcBorders>
            <w:hideMark/>
          </w:tcPr>
          <w:p w14:paraId="54A1D75B"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5.526</w:t>
            </w:r>
          </w:p>
        </w:tc>
        <w:tc>
          <w:tcPr>
            <w:tcW w:w="554" w:type="pct"/>
            <w:tcBorders>
              <w:top w:val="single" w:sz="4" w:space="0" w:color="auto"/>
              <w:left w:val="single" w:sz="4" w:space="0" w:color="auto"/>
              <w:bottom w:val="single" w:sz="4" w:space="0" w:color="auto"/>
              <w:right w:val="single" w:sz="4" w:space="0" w:color="auto"/>
            </w:tcBorders>
            <w:hideMark/>
          </w:tcPr>
          <w:p w14:paraId="5FCFB245"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-60.631</w:t>
            </w:r>
          </w:p>
        </w:tc>
        <w:tc>
          <w:tcPr>
            <w:tcW w:w="328" w:type="pct"/>
            <w:tcBorders>
              <w:top w:val="single" w:sz="4" w:space="0" w:color="auto"/>
              <w:left w:val="single" w:sz="4" w:space="0" w:color="auto"/>
              <w:bottom w:val="single" w:sz="4" w:space="0" w:color="auto"/>
              <w:right w:val="single" w:sz="4" w:space="0" w:color="auto"/>
            </w:tcBorders>
            <w:hideMark/>
          </w:tcPr>
          <w:p w14:paraId="3DF6F6B4"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0.021</w:t>
            </w:r>
          </w:p>
        </w:tc>
        <w:tc>
          <w:tcPr>
            <w:tcW w:w="570" w:type="pct"/>
            <w:tcBorders>
              <w:top w:val="single" w:sz="4" w:space="0" w:color="auto"/>
              <w:left w:val="single" w:sz="4" w:space="0" w:color="auto"/>
              <w:bottom w:val="single" w:sz="4" w:space="0" w:color="auto"/>
              <w:right w:val="single" w:sz="4" w:space="0" w:color="auto"/>
            </w:tcBorders>
            <w:hideMark/>
          </w:tcPr>
          <w:p w14:paraId="466337F9"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w:t>
            </w:r>
          </w:p>
        </w:tc>
        <w:tc>
          <w:tcPr>
            <w:tcW w:w="748" w:type="pct"/>
            <w:tcBorders>
              <w:top w:val="single" w:sz="4" w:space="0" w:color="auto"/>
              <w:left w:val="single" w:sz="4" w:space="0" w:color="auto"/>
              <w:bottom w:val="single" w:sz="4" w:space="0" w:color="auto"/>
              <w:right w:val="single" w:sz="4" w:space="0" w:color="auto"/>
            </w:tcBorders>
            <w:hideMark/>
          </w:tcPr>
          <w:p w14:paraId="67672A77" w14:textId="77777777" w:rsidR="001B22CD" w:rsidRPr="00DD24FA" w:rsidRDefault="001B22CD" w:rsidP="00267B98">
            <w:pPr>
              <w:spacing w:after="0" w:line="240" w:lineRule="auto"/>
              <w:contextualSpacing/>
              <w:jc w:val="center"/>
              <w:rPr>
                <w:rFonts w:ascii="Times New Roman" w:hAnsi="Times New Roman" w:cs="Times New Roman"/>
                <w:i/>
                <w:iCs/>
                <w:color w:val="000000"/>
                <w:sz w:val="18"/>
                <w:szCs w:val="18"/>
              </w:rPr>
            </w:pPr>
            <w:r w:rsidRPr="00DD24FA">
              <w:rPr>
                <w:rFonts w:ascii="Times New Roman" w:hAnsi="Times New Roman" w:cs="Times New Roman"/>
                <w:i/>
                <w:iCs/>
                <w:color w:val="000000"/>
                <w:sz w:val="18"/>
                <w:szCs w:val="18"/>
              </w:rPr>
              <w:t>UNC45B</w:t>
            </w:r>
          </w:p>
        </w:tc>
        <w:tc>
          <w:tcPr>
            <w:tcW w:w="519" w:type="pct"/>
            <w:tcBorders>
              <w:top w:val="single" w:sz="4" w:space="0" w:color="auto"/>
              <w:left w:val="single" w:sz="4" w:space="0" w:color="auto"/>
              <w:bottom w:val="single" w:sz="4" w:space="0" w:color="auto"/>
              <w:right w:val="single" w:sz="4" w:space="0" w:color="auto"/>
            </w:tcBorders>
            <w:hideMark/>
          </w:tcPr>
          <w:p w14:paraId="7BD4FD5B"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Intron</w:t>
            </w:r>
          </w:p>
        </w:tc>
        <w:tc>
          <w:tcPr>
            <w:tcW w:w="1416" w:type="pct"/>
            <w:tcBorders>
              <w:top w:val="single" w:sz="4" w:space="0" w:color="auto"/>
              <w:left w:val="single" w:sz="4" w:space="0" w:color="auto"/>
              <w:bottom w:val="single" w:sz="4" w:space="0" w:color="auto"/>
              <w:right w:val="single" w:sz="4" w:space="0" w:color="auto"/>
            </w:tcBorders>
            <w:hideMark/>
          </w:tcPr>
          <w:p w14:paraId="35087C01" w14:textId="785F1BB9"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B77A3C" w:rsidRPr="00DD24FA">
              <w:rPr>
                <w:rFonts w:ascii="Times New Roman" w:hAnsi="Times New Roman" w:cs="Times New Roman"/>
                <w:sz w:val="18"/>
                <w:szCs w:val="18"/>
              </w:rPr>
              <w:instrText>ADDIN CSL_CITATION {"citationItems":[{"id":"ITEM-1","itemData":{"DOI":"10.1038/ejhg.2014.21","ISSN":"14765438","PMID":"24549050","abstract":"Genome-wide linkage analysis, followed by targeted deep sequencing, in a Danish multigeneration family with juvenile cataract revealed a region of chromosome 17 co-segregating with the disease trait. Affected individuals were heterozygous for two potentially protein-disrupting alleles in this region, in ACACA and UNC45B. As alterations of the UNC45B protein have been shown to affect eye development in model organisms, effort was focused on the heterozygous UNC45B missense mutation. UNC45B encodes a myosin-specific chaperone that, together with the general heat shock protein HSP90, is involved in myosin assembly. The mutation changes p. Arg805 to Trp in the UCS domain, an amino acid that is highly conserved from yeast to human. UNC45B is strongly expressed in the heart and skeletal muscle tissue, but here we show expression in human embryo eye and zebrafish lens. The zebrafish mutant steif, carrying an unc45b nonsense mutation, has smaller eyes than wild-type embryos and shows accumulation of nuclei in the lens. Injection of RNA encoding the human wild-type UNC45B protein into the steif homozygous embryo reduced the nuclei accumulation and injection of human mutant UNC45B cDNA in wild-type embryos resulted in development of a phenotype similar to the steif mutant. The p. Arg805Trp alteration in the mammalian UNC45B gene suggests that developmental cataract may be caused by a defect in non-muscle myosin assembly during maturation of the lens fiber cells.","author":[{"dropping-particle":"","family":"Hansen","given":"Lars","non-dropping-particle":"","parse-names":false,"suffix":""},{"dropping-particle":"","family":"Comyn","given":"Sophie","non-dropping-particle":"","parse-names":false,"suffix":""},{"dropping-particle":"","family":"Mang","given":"Yuan","non-dropping-particle":"","parse-names":false,"suffix":""},{"dropping-particle":"","family":"Lind-Thomsen","given":"Allan","non-dropping-particle":"","parse-names":false,"suffix":""},{"dropping-particle":"","family":"Myhre","given":"Layne","non-dropping-particle":"","parse-names":false,"suffix":""},{"dropping-particle":"","family":"Jean","given":"Francesca","non-dropping-particle":"","parse-names":false,"suffix":""},{"dropping-particle":"","family":"Eiberg","given":"Hans","non-dropping-particle":"","parse-names":false,"suffix":""},{"dropping-particle":"","family":"Tommerup","given":"Niels","non-dropping-particle":"","parse-names":false,"suffix":""},{"dropping-particle":"","family":"Rosenberg","given":"Thomas","non-dropping-particle":"","parse-names":false,"suffix":""},{"dropping-particle":"","family":"Pilgrim","given":"David","non-dropping-particle":"","parse-names":false,"suffix":""}],"container-title":"European Journal of Human Genetics","id":"ITEM-1","issue":"11","issued":{"date-parts":[["2014","2","19"]]},"page":"1290-1297","publisher":"Nature Publishing Group","title":"The myosin chaperone UNC45B is involved in lens development and autosomal dominant juvenile cataract","type":"article-journal","volume":"22"},"uris":["http://www.mendeley.com/documents/?uuid=41618150-5242-3e6d-8509-a1b3e341a8e5"]},{"id":"ITEM-2","itemData":{"DOI":"10.1186/1471-2156-13-21","ISSN":"14712156","PMID":"22449276","abstract":"Background: Contemporary dairy breeding goals have broadened to include, along with milk production traits, a number of non-production-related traits in an effort to improve the overall functionality of the dairy cow. Increased indirect selection for resistance to mastitis, one of the most important production-related diseases in the dairy sector, via selection for reduced somatic cell count has been part of these broadened goals. A number of genome-wide association studies have identified genetic variants associated with milk production traits and mastitis resistance, however the majority of these studies have been based on animals which were predominantly kept in confinement and fed a concentrate-based diet (i.e. high-input production systems). This genome-wide association study aims to detect associations using genotypic and phenotypic data from Irish Holstein-Friesian cattle fed predominantly grazed grass in a pasture-based production system (low-input).Results: Significant associations were detected for milk yield, fat yield, protein yield, fat percentage, protein percentage and somatic cell score using separate single-locus, frequentist and multi-locus, Bayesian approaches. These associations were detected using two separate populations of Holstein-Friesian sires and cows. In total, 1,529 and 37 associations were detected in the sires using a single SNP regression and a Bayesian method, respectively. There were 103 associations in common between the sires and cows across all the traits. As well as detecting associations within known QTL regions, a number of novel associations were detected; the most notable of these was a region of chromosome 13 associated with milk yield in the population of Holstein-Friesian sires.Conclusions: A total of 276 of novel SNPs were detected in the sires using a single SNP regression approach. Although obvious candidate genes may not be initially forthcoming, this study provides a preliminary framework upon which to identify the causal mechanisms underlying the various milk production traits and somatic cell score. Consequently this will deepen our understanding of how these traits are expressed. © 2012 Meredith et al; licensee BioMed Central Ltd.","author":[{"dropping-particle":"","family":"Meredith","given":"Brian K.","non-dropping-particle":"","parse-names":false,"suffix":""},{"dropping-particle":"","family":"Kearney","given":"Francis J.","non-dropping-particle":"","parse-names":false,"suffix":""},{"dropping-particle":"","family":"Finlay","given":"Emma K.","non-dropping-particle":"","parse-names":false,"suffix":""},{"dropping-particle":"","family":"Bradley","given":"Daniel G.","non-dropping-particle":"","parse-names":false,"suffix":""},{"dropping-particle":"","family":"Fahey","given":"Alan G.","non-dropping-particle":"","parse-names":false,"suffix":""},{"dropping-particle":"","family":"Berry","given":"Donagh P.","non-dropping-particle":"","parse-names":false,"suffix":""},{"dropping-particle":"","family":"Lynn","given":"David J.","non-dropping-particle":"","parse-names":false,"suffix":""}],"container-title":"BMC Genetics","id":"ITEM-2","issue":"1","issued":{"date-parts":[["2012","3","26"]]},"page":"21","publisher":"BioMed Central","title":"Genome-wide associations for milk production and somatic cell score in Holstein-Friesian cattle in Ireland","type":"article-journal","volume":"13"},"uris":["http://www.mendeley.com/documents/?uuid=120c3a2d-4807-3f2e-b4ba-7fbf90b7964d"]},{"id":"ITEM-3","itemData":{"DOI":"10.1186/1471-2156-15-8","ISSN":"14712156","PMID":"24428918","abstract":"Background: The results obtained from genome-wide association studies (GWAS) often show pronounced disagreements. Validation of association studies is therefore desired before marker information is incorporated in selection decisions. A reliable way to confirm a discovered association between genetic markers and phenotypes is to validate the results in different populations. Therefore, the objective of this study was to validate single nucleotide polymorphism (SNP) marker associations to female fertility traits identified in the Nordic Holstein (NH) cattle population in the Nordic Red (NR) and Jersey (JER) cattle breeds. In the present study, we used data from 3,475 NH sires which were genotyped with the BovineSNP50 Beadchip to discover associations between SNP markers and eight female fertility-related traits. The significant SNP markers were then tested in NR and JER cattle.Results: A total of 4,474 significant associations between SNP markers and eight female fertility traits were detected in NH cattle. These significant associations were then validated in the NR (4,998 sires) and JER (1,225 sires) dairy cattle populations. We were able to validate 836 of the SNPs discovered in NH cattle in the NR population, as well as 686 SNPs in the JER population. 152 SNPs could be confirmed in both the NR and JER populations.Conclusions: The present study presents strong evidence for association of SNPs with fertility traits across three cattle breeds. We provide strong evidence that SNPs for many fertility traits are concentrated at certain areas on the genome (BTA1, BTA4, BTA7, BTA9, BTA11 and BTA13), and these areas would be highly suitable for further study in order to identify candidate genes for female fertility traits in dairy cattle. © 2014 Höglund et al.; licensee BioMed Central Ltd.","author":[{"dropping-particle":"","family":"Höglund","given":"Johanna K.","non-dropping-particle":"","parse-names":false,"suffix":""},{"dropping-particle":"","family":"Sahana","given":"Goutam","non-dropping-particle":"","parse-names":false,"suffix":""},{"dropping-particle":"","family":"Guldbrandtsen","given":"Bernt","non-dropping-particle":"","parse-names":false,"suffix":""},{"dropping-particle":"","family":"Lund","given":"Mogens S.","non-dropping-particle":"","parse-names":false,"suffix":""}],"container-title":"BMC Genetics","id":"ITEM-3","issue":"1","issued":{"date-parts":[["2014","1","15"]]},"page":"8","publisher":"BioMed Central","title":"Validation of associations for female fertility traits in Nordic Holstein, Nordic Red and Jersey dairy cattle","type":"article-journal","volume":"15"},"uris":["http://www.mendeley.com/documents/?uuid=b03582bd-0a46-3dc0-a6b9-ad51099c37b4"]}],"mendeley":{"formattedCitation":"[7, 40, 44]","plainTextFormattedCitation":"[7, 40, 44]","previouslyFormattedCitation":"[7, 40, 44]"},"properties":{"noteIndex":0},"schema":"https://github.com/citation-style-language/schema/raw/master/csl-citation.json"}</w:instrText>
            </w:r>
            <w:r w:rsidRPr="00DD24FA">
              <w:rPr>
                <w:rFonts w:ascii="Times New Roman" w:hAnsi="Times New Roman" w:cs="Times New Roman"/>
                <w:sz w:val="18"/>
                <w:szCs w:val="18"/>
              </w:rPr>
              <w:fldChar w:fldCharType="separate"/>
            </w:r>
            <w:r w:rsidR="003E225D" w:rsidRPr="00DD24FA">
              <w:rPr>
                <w:rFonts w:ascii="Times New Roman" w:hAnsi="Times New Roman" w:cs="Times New Roman"/>
                <w:noProof/>
                <w:sz w:val="18"/>
                <w:szCs w:val="18"/>
              </w:rPr>
              <w:t>[7, 40, 44]</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xml:space="preserve">; </w:t>
            </w:r>
            <w:r w:rsidR="00F228EE" w:rsidRPr="00DD24FA">
              <w:rPr>
                <w:rFonts w:ascii="Times New Roman" w:hAnsi="Times New Roman" w:cs="Times New Roman"/>
                <w:sz w:val="18"/>
                <w:szCs w:val="18"/>
              </w:rPr>
              <w:t>H</w:t>
            </w:r>
            <w:r w:rsidRPr="00DD24FA">
              <w:rPr>
                <w:rFonts w:ascii="Times New Roman" w:hAnsi="Times New Roman" w:cs="Times New Roman"/>
                <w:sz w:val="18"/>
                <w:szCs w:val="18"/>
              </w:rPr>
              <w:t xml:space="preserve">uman, cattle; </w:t>
            </w:r>
            <w:r w:rsidR="00F228EE" w:rsidRPr="00DD24FA">
              <w:rPr>
                <w:rFonts w:ascii="Times New Roman" w:hAnsi="Times New Roman" w:cs="Times New Roman"/>
                <w:sz w:val="18"/>
                <w:szCs w:val="18"/>
              </w:rPr>
              <w:t>S</w:t>
            </w:r>
            <w:r w:rsidRPr="00DD24FA">
              <w:rPr>
                <w:rFonts w:ascii="Times New Roman" w:hAnsi="Times New Roman" w:cs="Times New Roman"/>
                <w:sz w:val="18"/>
                <w:szCs w:val="18"/>
              </w:rPr>
              <w:t>triated muscle formation, eye development, milk fat yield, conception rate</w:t>
            </w:r>
          </w:p>
        </w:tc>
      </w:tr>
      <w:tr w:rsidR="00DD24FA" w14:paraId="7151280A"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12886634" w14:textId="77777777" w:rsidR="001B22CD" w:rsidRPr="00DD24FA" w:rsidRDefault="001B22CD" w:rsidP="00267B98">
            <w:pPr>
              <w:spacing w:after="0" w:line="240" w:lineRule="auto"/>
              <w:contextualSpacing/>
              <w:jc w:val="center"/>
              <w:rPr>
                <w:rFonts w:ascii="Times New Roman" w:hAnsi="Times New Roman" w:cs="Times New Roman"/>
                <w:i/>
                <w:sz w:val="18"/>
                <w:szCs w:val="18"/>
                <w:vertAlign w:val="superscript"/>
              </w:rPr>
            </w:pPr>
            <w:r w:rsidRPr="00DD24FA">
              <w:rPr>
                <w:rFonts w:ascii="Times New Roman" w:hAnsi="Times New Roman" w:cs="Times New Roman"/>
                <w:i/>
                <w:sz w:val="18"/>
                <w:szCs w:val="18"/>
              </w:rPr>
              <w:lastRenderedPageBreak/>
              <w:t>7_98</w:t>
            </w:r>
            <w:r w:rsidRPr="00DD24FA">
              <w:rPr>
                <w:rFonts w:ascii="Times New Roman" w:hAnsi="Times New Roman" w:cs="Times New Roman"/>
                <w:i/>
                <w:sz w:val="18"/>
                <w:szCs w:val="18"/>
                <w:vertAlign w:val="superscript"/>
              </w:rPr>
              <w:t>a</w:t>
            </w:r>
          </w:p>
        </w:tc>
        <w:tc>
          <w:tcPr>
            <w:tcW w:w="369" w:type="pct"/>
            <w:tcBorders>
              <w:top w:val="single" w:sz="4" w:space="0" w:color="auto"/>
              <w:left w:val="single" w:sz="4" w:space="0" w:color="auto"/>
              <w:bottom w:val="single" w:sz="4" w:space="0" w:color="auto"/>
              <w:right w:val="single" w:sz="4" w:space="0" w:color="auto"/>
            </w:tcBorders>
            <w:hideMark/>
          </w:tcPr>
          <w:p w14:paraId="15C58D6B"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5.474</w:t>
            </w:r>
          </w:p>
        </w:tc>
        <w:tc>
          <w:tcPr>
            <w:tcW w:w="554" w:type="pct"/>
            <w:tcBorders>
              <w:top w:val="single" w:sz="4" w:space="0" w:color="auto"/>
              <w:left w:val="single" w:sz="4" w:space="0" w:color="auto"/>
              <w:bottom w:val="single" w:sz="4" w:space="0" w:color="auto"/>
              <w:right w:val="single" w:sz="4" w:space="0" w:color="auto"/>
            </w:tcBorders>
            <w:hideMark/>
          </w:tcPr>
          <w:p w14:paraId="56CF0202"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17.984</w:t>
            </w:r>
          </w:p>
        </w:tc>
        <w:tc>
          <w:tcPr>
            <w:tcW w:w="328" w:type="pct"/>
            <w:tcBorders>
              <w:top w:val="single" w:sz="4" w:space="0" w:color="auto"/>
              <w:left w:val="single" w:sz="4" w:space="0" w:color="auto"/>
              <w:bottom w:val="single" w:sz="4" w:space="0" w:color="auto"/>
              <w:right w:val="single" w:sz="4" w:space="0" w:color="auto"/>
            </w:tcBorders>
            <w:hideMark/>
          </w:tcPr>
          <w:p w14:paraId="5E8CF325"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0.161</w:t>
            </w:r>
          </w:p>
        </w:tc>
        <w:tc>
          <w:tcPr>
            <w:tcW w:w="570" w:type="pct"/>
            <w:tcBorders>
              <w:top w:val="single" w:sz="4" w:space="0" w:color="auto"/>
              <w:left w:val="single" w:sz="4" w:space="0" w:color="auto"/>
              <w:bottom w:val="single" w:sz="4" w:space="0" w:color="auto"/>
              <w:right w:val="single" w:sz="4" w:space="0" w:color="auto"/>
            </w:tcBorders>
            <w:hideMark/>
          </w:tcPr>
          <w:p w14:paraId="6058CC46"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3</w:t>
            </w:r>
          </w:p>
        </w:tc>
        <w:tc>
          <w:tcPr>
            <w:tcW w:w="748" w:type="pct"/>
            <w:tcBorders>
              <w:top w:val="single" w:sz="4" w:space="0" w:color="auto"/>
              <w:left w:val="single" w:sz="4" w:space="0" w:color="auto"/>
              <w:bottom w:val="single" w:sz="4" w:space="0" w:color="auto"/>
              <w:right w:val="single" w:sz="4" w:space="0" w:color="auto"/>
            </w:tcBorders>
            <w:hideMark/>
          </w:tcPr>
          <w:p w14:paraId="49A1809B" w14:textId="77777777" w:rsidR="001B22CD" w:rsidRPr="00DD24FA" w:rsidRDefault="001B22CD" w:rsidP="00267B98">
            <w:pPr>
              <w:spacing w:after="0" w:line="240" w:lineRule="auto"/>
              <w:contextualSpacing/>
              <w:jc w:val="center"/>
              <w:rPr>
                <w:rFonts w:ascii="Times New Roman" w:hAnsi="Times New Roman" w:cs="Times New Roman"/>
                <w:i/>
                <w:iCs/>
                <w:color w:val="000000"/>
                <w:sz w:val="18"/>
                <w:szCs w:val="18"/>
              </w:rPr>
            </w:pPr>
            <w:r w:rsidRPr="00DD24FA">
              <w:rPr>
                <w:rFonts w:ascii="Times New Roman" w:hAnsi="Times New Roman" w:cs="Times New Roman"/>
                <w:i/>
                <w:iCs/>
                <w:color w:val="000000"/>
                <w:sz w:val="18"/>
                <w:szCs w:val="18"/>
              </w:rPr>
              <w:t>LOC104969002, LOC100847536</w:t>
            </w:r>
          </w:p>
        </w:tc>
        <w:tc>
          <w:tcPr>
            <w:tcW w:w="519" w:type="pct"/>
            <w:tcBorders>
              <w:top w:val="single" w:sz="4" w:space="0" w:color="auto"/>
              <w:left w:val="single" w:sz="4" w:space="0" w:color="auto"/>
              <w:bottom w:val="single" w:sz="4" w:space="0" w:color="auto"/>
              <w:right w:val="single" w:sz="4" w:space="0" w:color="auto"/>
            </w:tcBorders>
            <w:hideMark/>
          </w:tcPr>
          <w:p w14:paraId="53CF98B8"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Intergenic</w:t>
            </w:r>
          </w:p>
        </w:tc>
        <w:tc>
          <w:tcPr>
            <w:tcW w:w="1416" w:type="pct"/>
            <w:tcBorders>
              <w:top w:val="single" w:sz="4" w:space="0" w:color="auto"/>
              <w:left w:val="single" w:sz="4" w:space="0" w:color="auto"/>
              <w:bottom w:val="single" w:sz="4" w:space="0" w:color="auto"/>
              <w:right w:val="single" w:sz="4" w:space="0" w:color="auto"/>
            </w:tcBorders>
            <w:hideMark/>
          </w:tcPr>
          <w:p w14:paraId="5E229F96" w14:textId="3E6A81D3"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C3783D" w:rsidRPr="00DD24FA">
              <w:rPr>
                <w:rFonts w:ascii="Times New Roman" w:hAnsi="Times New Roman" w:cs="Times New Roman"/>
                <w:sz w:val="18"/>
                <w:szCs w:val="18"/>
              </w:rPr>
              <w:instrText>ADDIN CSL_CITATION {"citationItems":[{"id":"ITEM-1","itemData":{"DOI":"10.1111/j.1365-2052.2012.02323.x","ISSN":"0268-9146","abstract":"We performed a genome-wide association study for Warner-Bratzler shear force (WBSF), a measure of meat tenderness, by genotyping 3360 animals from five breeds with 54 790 BovineSNP50 and 96 putative single-nucleotide polymorphisms (SNPs) within μ-calpain [HUGO nomenclature calpain 1, (mu/I) large subunit; CAPN1] and calpastatin (CAST). Within- and across-breed analyses estimated SNP allele substitution effects (ASEs) by genomic best linear unbiased prediction (GBLUP) and variance components by restricted maximum likelihood under an animal model incorporating a genomic relationship matrix. GBLUP estimates of ASEs from the across-breed analysis were moderately correlated (0.31-0.66) with those from the individual within-breed analyses, indicating that prediction equations for molecular estimates of breeding value developed from across-breed analyses should be effective for genomic selection within breeds. We identified 79 genomic regions associated with WBSF in at least three breeds, but only eight were detected in all five breeds, suggesting that the within-breed analyses were underpowered, that different quantitative trait loci (QTL) underlie variation between breeds or that the BovineSNP50 SNP density is insufficient to detect common QTL among breeds. In the across-breed analysis, CAPN1 was followed by CAST as the most strongly associated WBSF QTL genome-wide, and associations with both were detected in all five breeds. We show that none of the four commercialized CAST and CAPN1 SNP diagnostics are causal for associations with WBSF, and we putatively fine-map the CAPN1 causal mutation to a 4581-bp region. We estimate that variation in CAST and CAPN1 explains 1.02 and 1.85% of the phenotypic variation in WBSF respectively. © 2012 The Authors, Animal Genetics © 2012 Stichting International Foundation for Animal Genetics.","author":[{"dropping-particle":"","family":"McClure","given":"M. C.","non-dropping-particle":"","parse-names":false,"suffix":""},{"dropping-particle":"","family":"Ramey","given":"H. R.","non-dropping-particle":"","parse-names":false,"suffix":""},{"dropping-particle":"","family":"Rolf","given":"M. M.","non-dropping-particle":"","parse-names":false,"suffix":""},{"dropping-particle":"","family":"McKay","given":"S. D.","non-dropping-particle":"","parse-names":false,"suffix":""},{"dropping-particle":"","family":"Decker","given":"J. E.","non-dropping-particle":"","parse-names":false,"suffix":""},{"dropping-particle":"","family":"Chapple","given":"R. H.","non-dropping-particle":"","parse-names":false,"suffix":""},{"dropping-particle":"","family":"Kim","given":"J. W.","non-dropping-particle":"","parse-names":false,"suffix":""},{"dropping-particle":"","family":"Taxis","given":"T. M.","non-dropping-particle":"","parse-names":false,"suffix":""},{"dropping-particle":"","family":"Weaber","given":"R. L.","non-dropping-particle":"","parse-names":false,"suffix":""},{"dropping-particle":"","family":"Schnabel","given":"R. D.","non-dropping-particle":"","parse-names":false,"suffix":""},{"dropping-particle":"","family":"Taylor","given":"J. F.","non-dropping-particle":"","parse-names":false,"suffix":""}],"container-title":"Animal Genetics","id":"ITEM-1","issue":"6","issued":{"date-parts":[["2012","12","27"]]},"page":"662-673","publisher":"John Wiley &amp; Sons, Ltd","title":"Genome‐wide association analysis for quantitative trait loci influencing Warner–Bratzler shear force in five taurine cattle breeds","type":"article-journal","volume":"43"},"uris":["http://www.mendeley.com/documents/?uuid=fd591167-602c-341e-be08-a37a781534e5"]},{"id":"ITEM-2","itemData":{"DOI":"10.3389/fgene.2017.00171","ISSN":"16648021","PMID":"29163638","abstract":"Improvements in eating satisfaction will benefit consumers and should increase beef demand which is of interest to the beef industry. Tenderness, juiciness, and flavor are major determinants of the palatability of beef and are often used to reflect eating satisfaction. Carcass qualities are used as indicator traits for meat quality, with higher quality grade carcasses expected to relate to more tender and palatable meat. However, meat quality is a complex concept determined by many component traits making interpretation of genome-wide association studies (GWAS) on any one component challenging to interpret. Recent approaches combining traditional GWAS with gene network interactions theory could be more efficient in dissecting the genetic architecture of complex traits. Phenotypic measures of 23 traits reflecting carcass characteristics, components of meat quality, along with mineral and peptide concentrations were used along with Illumina 54k bovine SNP genotypes to derive an annotated gene network associated with meat quality in 2,110 Angus beef cattle. The efficient mixed model association (EMMAX) approach in combination with a genomic relationship matrix was used to directly estimate the associations between 54k SNP genotypes and each of the 23 component traits. Genomic correlated regions were identified by partial correlations which were further used along with an information theory algorithm to derive gene network clusters. Correlated SNP across 23 component traits were subjected to network scoring and visualization software to identify significant SNP. Significant pathways implicated in the meat quality complex through GO term enrichment analysis included angiogenesis, inflammation, transmembrane transporter activity, and receptor activity. These results suggest that network analysis using partial correlations and annotation of significant SNP can reveal the genetic architecture of complex traits and provide novel information regarding biological mechanisms and genes that lead to complex phenotypes, like meat quality, and the nutritional and healthfulness value of beef. Improvements in genome annotation and knowledge of gene function will contribute to more comprehensive analyses that will advance our ability to dissect the complex architecture of complex traits.","author":[{"dropping-particle":"","family":"Mateescu","given":"Raluca G.","non-dropping-particle":"","parse-names":false,"suffix":""},{"dropping-particle":"","family":"Garrick","given":"Dorian J.","non-dropping-particle":"","parse-names":false,"suffix":""},{"dropping-particle":"","family":"Reecy","given":"James M.","non-dropping-particle":"","parse-names":false,"suffix":""}],"container-title":"Frontiers in Genetics","id":"ITEM-2","issue":"NOV","issued":{"date-parts":[["2017","11","6"]]},"publisher":"Frontiers Media S.A.","title":"Network analysis reveals putative genes affecting meat quality in Angus cattle","type":"article-journal","volume":"8"},"uris":["http://www.mendeley.com/documents/?uuid=744a2057-6ff7-30d5-92fa-e1c172410bd9"]},{"id":"ITEM-3","itemData":{"DOI":"10.1111/jbg.12176","ISSN":"09312668","abstract":"Dairy cows with increased rectal temperature experience lower milk yield and fertility. Rectal temperature during heat stress is heritable, so genetic selection for body temperature regulation could reduce effects of heat stress on production. One aim of the study was to validate the relationship between genotype and heat tolerance for single nucleotide polymorphisms (SNPs) previously associated with resistance to heat stress. A second aim was to identify new SNPs associated with heat stress resistance. Thermotolerance was assessed in lactating Holsteins during the summer by measuring rectal temperature (a direct measurement of body temperature regulation; n = 435), respiration rate (an indirect measurement of body temperature regulation, n = 450) and sweating rate (the major evaporative cooling mechanism in cattle, n = 455). The association between genotype and thermotolerance was evaluated for 19 SNPs previously associated with rectal temperature from a genomewide analysis study (GWAS), four SNPs previously associated with change in milk yield during heat stress from GWAS, 2 candidate gene SNPs previously associated with rectal temperature and respiration rate during heat stress (ATPA1A and HSP70A) and 66 SNPs in genes previously shown to be associated with reproduction, production or health traits in Holsteins. For SNPs previously associated with heat tolerance, regions of BTA4, BTA6 and BTA24 were associated with rectal temperature; regions of BTA6 and BTA24 were associated with respiration rate; and regions of BTA5, BTA26 and BTA29 were associated with sweating rate. New SNPs were identified for rectal temperature (n = 12), respiration rate (n = 8) and sweating rate (n = 3) from among those previously associated with production, reproduction or health traits. The SNP that explained the most variation were PGR and ASL for rectal temperature, ACAT2 and HSD17B7 for respiration rate, and ARL6IP1 and SERPINE2 for sweating rate. ARL6IP1 was associated with all three thermotolerance traits. In conclusion, specific genetic markers responsible for genetic variation in thermoregulation during heat stress in Holsteins were identified. These markers may prove useful in genetic selection for heat tolerance in Holstein cattle.","author":[{"dropping-particle":"","family":"Dikmen","given":"S.","non-dropping-particle":"","parse-names":false,"suffix":""},{"dropping-particle":"","family":"Wang","given":"X.-z.","non-dropping-particle":"","parse-names":false,"suffix":""},{"dropping-particle":"","family":"Ortega","given":"M.S.","non-dropping-particle":"","parse-names":false,"suffix":""},{"dropping-particle":"","family":"Cole","given":"J.B.","non-dropping-particle":"","parse-names":false,"suffix":""},{"dropping-particle":"","family":"Null","given":"D.J.","non-dropping-particle":"","parse-names":false,"suffix":""},{"dropping-particle":"","family":"Hansen","given":"P.J.","non-dropping-particle":"","parse-names":false,"suffix":""}],"container-title":"Journal of Animal Breeding and Genetics","id":"ITEM-3","issue":"6","issued":{"date-parts":[["2015","12","1"]]},"page":"409-419","publisher":"Blackwell Publishing Ltd","title":"Single nucleotide polymorphisms associated with thermoregulation in lactating dairy cows exposed to heat stress","type":"article-journal","volume":"132"},"uris":["http://www.mendeley.com/documents/?uuid=833f3b70-4351-3b91-b405-549cbdd6929e"]},{"id":"ITEM-4","itemData":{"DOI":"10.1111/age.12420","ISSN":"02689146","abstract":"We evaluated 69 SNPs in genes previously related to fertility and production traits for their relationship to daughter pregnancy rate (DPR), cow conception rate (CCR) and heifer conception rate (HCR) in a separate population of Holstein cows grouped according to their predicted transmitting ability (PTA) [≤-1 (n = 1287) and ≥1.5 (n = 1036)] for DPR. Genotyping was performed using Sequenom MassARRAY®. There were a total of 39 SNPs associated with the three fertility traits. The SNPs that explained the greater proportion of the genetic variation for DPR were COQ9 (3.2%), EPAS1 (1.0%), CAST (1.0%), C7H19orf60 (1.0%) and MRPL48 (1.0%); for CCR were GOLGA4 (2.4%), COQ9 (1.8%), EPAS1 (1.1%) and MRPL48 (0.8%); and for HCR were HSD17B7 (1.0%), AP3B1 (0.8%), HSD17B12 (0.7%) and CACNA1D (0.6%). Inclusion of 39 SNPs previously associated with DPR in the genetic evaluation system increased the reliability of PTA for DPR by 0.20%. Many of the genes represented by SNPs associated with fertility are involved in steroidogenesis or are regulated by steroids. A large proportion of SNPs previously associated with genetic merit for fertility in Holstein bulls maintained their association in a separate population of cows. The inclusion of these genes in genetic evaluation can improve reliabilities of genomic estimates for fertility.","author":[{"dropping-particle":"","family":"Ortega","given":"M. S.","non-dropping-particle":"","parse-names":false,"suffix":""},{"dropping-particle":"","family":"Denicol","given":"A. C.","non-dropping-particle":"","parse-names":false,"suffix":""},{"dropping-particle":"","family":"Cole","given":"J. B.","non-dropping-particle":"","parse-names":false,"suffix":""},{"dropping-particle":"","family":"Null","given":"D. J.","non-dropping-particle":"","parse-names":false,"suffix":""},{"dropping-particle":"","family":"Hansen","given":"P. J.","non-dropping-particle":"","parse-names":false,"suffix":""}],"container-title":"Animal Genetics","id":"ITEM-4","issue":"3","issued":{"date-parts":[["2016","6","1"]]},"page":"288-297","publisher":"Blackwell Publishing Ltd","title":"Use of single nucleotide polymorphisms in candidate genes associated with daughter pregnancy rate for prediction of genetic merit for reproduction in Holstein cows","type":"article-journal","volume":"47"},"uris":["http://www.mendeley.com/documents/?uuid=0a0b322c-c18f-3614-abea-a0b5e8aec49d"]},{"id":"ITEM-5","itemData":{"DOI":"10.1186/1471-2156-15-8","ISSN":"14712156","PMID":"24428918","abstract":"Background: The results obtained from genome-wide association studies (GWAS) often show pronounced disagreements. Validation of association studies is therefore desired before marker information is incorporated in selection decisions. A reliable way to confirm a discovered association between genetic markers and phenotypes is to validate the results in different populations. Therefore, the objective of this study was to validate single nucleotide polymorphism (SNP) marker associations to female fertility traits identified in the Nordic Holstein (NH) cattle population in the Nordic Red (NR) and Jersey (JER) cattle breeds. In the present study, we used data from 3,475 NH sires which were genotyped with the BovineSNP50 Beadchip to discover associations between SNP markers and eight female fertility-related traits. The significant SNP markers were then tested in NR and JER cattle.Results: A total of 4,474 significant associations between SNP markers and eight female fertility traits were detected in NH cattle. These significant associations were then validated in the NR (4,998 sires) and JER (1,225 sires) dairy cattle populations. We were able to validate 836 of the SNPs discovered in NH cattle in the NR population, as well as 686 SNPs in the JER population. 152 SNPs could be confirmed in both the NR and JER populations.Conclusions: The present study presents strong evidence for association of SNPs with fertility traits across three cattle breeds. We provide strong evidence that SNPs for many fertility traits are concentrated at certain areas on the genome (BTA1, BTA4, BTA7, BTA9, BTA11 and BTA13), and these areas would be highly suitable for further study in order to identify candidate genes for female fertility traits in dairy cattle. © 2014 Höglund et al.; licensee BioMed Central Ltd.","author":[{"dropping-particle":"","family":"Höglund","given":"Johanna K.","non-dropping-particle":"","parse-names":false,"suffix":""},{"dropping-particle":"","family":"Sahana","given":"Goutam","non-dropping-particle":"","parse-names":false,"suffix":""},{"dropping-particle":"","family":"Guldbrandtsen","given":"Bernt","non-dropping-particle":"","parse-names":false,"suffix":""},{"dropping-particle":"","family":"Lund","given":"Mogens S.","non-dropping-particle":"","parse-names":false,"suffix":""}],"container-title":"BMC Genetics","id":"ITEM-5","issue":"1","issued":{"date-parts":[["2014","1","15"]]},"page":"8","publisher":"BioMed Central","title":"Validation of associations for female fertility traits in Nordic Holstein, Nordic Red and Jersey dairy cattle","type":"article-journal","volume":"15"},"uris":["http://www.mendeley.com/documents/?uuid=b03582bd-0a46-3dc0-a6b9-ad51099c37b4"]},{"id":"ITEM-6","itemData":{"DOI":"10.1371/journal.pone.0029601","ISSN":"19326203","PMID":"22216329","abstract":"In genome wide association studies (GWAS), haplotype analyses of SNP data are neglected in favour of single point analysis of associations. In a recent GWAS, we found that none of the known candidate genes for intramuscular fat (IMF) had been identified. In this study, data from the GWAS for these candidate genes were re-analysed as haplotypes. First, we confirmed that the methodology would find evidence for association between haplotypes in candidate genes of the calpain-calpastatin complex and musculus longissimus lumborum peak force (LLPF), because these genes had been confirmed through single point analysis in the GWAS. Then, for intramuscular fat percent (IMF), we found significant partial haplotype substitution effects for the genes ADIPOQ and CXCR4, as well as suggestive associations to the genes CEBPA, FASN, and CAPN1. Haplotypes for these genes explained 80% more of the phenotypic variance compared to the best single SNP. For some genes the analyses suggested that there was more than one causative mutation in some genes, or confirmed that some causative mutations are limited to particular subgroups of a species. Fitting the SNPs and their interactions simultaneously explained a similar amount of the phenotypic variance compared to haplotype analyses. Haplotype analysis is a neglected part of the suite of tools used to analyse GWAS data, would be a useful method to extract more information from these data sets, and may contribute to reducing the missing heritability problem. © 2011 William Barendse.","author":[{"dropping-particle":"","family":"Barendse","given":"William","non-dropping-particle":"","parse-names":false,"suffix":""}],"container-title":"PLoS ONE","id":"ITEM-6","issue":"12","issued":{"date-parts":[["2011","12","28"]]},"publisher":"PLoS One","title":"Haplotype analysis improved evidence for candidate genes for intramuscular fat percentage from a genome wide association study of cattle","type":"article-journal","volume":"6"},"uris":["http://www.mendeley.com/documents/?uuid=d48e5e02-9ac2-3a38-9a55-a58b2a61ecb3"]},{"id":"ITEM-7","itemData":{"DOI":"10.2527/jas.2012-6170","ISSN":"0021-8812","abstract":"The candidate gene approach was used to identify genes associated with residual feed intake (RFI) in beef steers. The approach uses prior knowledge of gene functions to predict their biological role in the variation observed in a trait. It is suited to identify genes associated with complex traits where each gene has a relatively small effect. First, positional candidate genes were identified within the genomic positions of previously reported QTL associated with component traits related to RFI such as dry matter intake (DMI), growth, feed conversion ratio (FCR), average daily gain (ADG), and energy balance. Secondly, the positional candidate genes were prioritized into functional candidate genes according to their biological functions and their relationship with the biological processes associated with RFI including carbohydrate, fat and protein metabolism, thermoregulation, immunity and muscle activity. Single nucleotide polymorphisms (SNPs) located within the functional candidate genes were identified using mRNA sequences and prioritized into functional classes such as non-synonymous (nsSNP), synonymous (sSNP) or intronic SNP. A total of 117 nsSNP were considered as functional SNP and genotyped in steers at the University of Alberta ranch in Kinsella. Multiple marker association analysis in ASReml was performed using RFI data obtained from 531 beef steers. Twenty-five SNP were significantly associated with RFI (P &lt; 0.05) accounting for 19.7% of the phenotypic variation. Using SIFT program to predict the effect of the SNP on the function of the corresponding protein, 3 of the 25 SNP were predicted to cause a significant effect on protein function (P &lt; 0.05). One of the 3 SNP was located in the GHR gene and was also associated with a significant effect on the tertiary structure of the GHR protein (P &lt; 0.05) as modeled using SWISSModel software. Least square means for each genotype were estimated and an over-dominance effect was observed for the SNP located in the GHR, CAST, ACAD11 and UGT3A1 genes. In addition, 2 other SNP showed a dominance effect and 3 genes had an additive effect. Gene network analysis performed in Ingenuity pathway analysis (IPA) software (Ingenuity Systems, www.ingenuity.com) indicated that the significant genes were involved in biological pathways such as lipid, protein and energy metabolism, electron transport and membrane signaling. The genes in this study, if validated in other beef cattle populations, may be useful for marker…","author":[{"dropping-particle":"","family":"Karisa","given":"B. K.","non-dropping-particle":"","parse-names":false,"suffix":""},{"dropping-particle":"","family":"Thomson","given":"J.","non-dropping-particle":"","parse-names":false,"suffix":""},{"dropping-particle":"","family":"Wang","given":"Z.","non-dropping-particle":"","parse-names":false,"suffix":""},{"dropping-particle":"","family":"Stothard","given":"P.","non-dropping-particle":"","parse-names":false,"suffix":""},{"dropping-particle":"","family":"Moore","given":"S. S.","non-dropping-particle":"","parse-names":false,"suffix":""},{"dropping-particle":"","family":"Plastow","given":"G. S.","non-dropping-particle":"","parse-names":false,"suffix":""}],"container-title":"Journal of Animal Science","id":"ITEM-7","issue":"8","issued":{"date-parts":[["2013","8","1"]]},"page":"3502-3513","publisher":"Oxford Academic","title":"Candidate genes and single nucleotide polymorphisms associated with variation in residual feed intake in beef cattle","type":"article-journal","volume":"91"},"uris":["http://www.mendeley.com/documents/?uuid=b325c0fb-d663-3526-84a2-f321b28a70d0"]}],"mendeley":{"formattedCitation":"[40, 45–50]","plainTextFormattedCitation":"[40, 45–50]","previouslyFormattedCitation":"[40, 45–50]"},"properties":{"noteIndex":0},"schema":"https://github.com/citation-style-language/schema/raw/master/csl-citation.json"}</w:instrText>
            </w:r>
            <w:r w:rsidRPr="00DD24FA">
              <w:rPr>
                <w:rFonts w:ascii="Times New Roman" w:hAnsi="Times New Roman" w:cs="Times New Roman"/>
                <w:sz w:val="18"/>
                <w:szCs w:val="18"/>
              </w:rPr>
              <w:fldChar w:fldCharType="separate"/>
            </w:r>
            <w:r w:rsidR="00B77A3C" w:rsidRPr="00DD24FA">
              <w:rPr>
                <w:rFonts w:ascii="Times New Roman" w:hAnsi="Times New Roman" w:cs="Times New Roman"/>
                <w:noProof/>
                <w:sz w:val="18"/>
                <w:szCs w:val="18"/>
              </w:rPr>
              <w:t>[40, 45–50]</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Shear force, temperature associated thermotolerance, conception rate, intramuscular fat percentage, residual feed intake</w:t>
            </w:r>
          </w:p>
        </w:tc>
      </w:tr>
      <w:tr w:rsidR="00DD24FA" w14:paraId="241FD37E"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5179ECB6" w14:textId="33A5FF2A" w:rsidR="001B22CD" w:rsidRPr="00DD24FA" w:rsidRDefault="001B22CD"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1_61</w:t>
            </w:r>
            <w:r w:rsidR="00E13A86" w:rsidRPr="00DD24FA">
              <w:rPr>
                <w:rFonts w:ascii="Times New Roman" w:hAnsi="Times New Roman" w:cs="Times New Roman"/>
                <w:i/>
                <w:sz w:val="18"/>
                <w:szCs w:val="18"/>
                <w:vertAlign w:val="superscript"/>
              </w:rPr>
              <w:t>c</w:t>
            </w:r>
          </w:p>
        </w:tc>
        <w:tc>
          <w:tcPr>
            <w:tcW w:w="369" w:type="pct"/>
            <w:tcBorders>
              <w:top w:val="single" w:sz="4" w:space="0" w:color="auto"/>
              <w:left w:val="single" w:sz="4" w:space="0" w:color="auto"/>
              <w:bottom w:val="single" w:sz="4" w:space="0" w:color="auto"/>
              <w:right w:val="single" w:sz="4" w:space="0" w:color="auto"/>
            </w:tcBorders>
            <w:hideMark/>
          </w:tcPr>
          <w:p w14:paraId="4D7ADD4E"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5.304</w:t>
            </w:r>
          </w:p>
        </w:tc>
        <w:tc>
          <w:tcPr>
            <w:tcW w:w="554" w:type="pct"/>
            <w:tcBorders>
              <w:top w:val="single" w:sz="4" w:space="0" w:color="auto"/>
              <w:left w:val="single" w:sz="4" w:space="0" w:color="auto"/>
              <w:bottom w:val="single" w:sz="4" w:space="0" w:color="auto"/>
              <w:right w:val="single" w:sz="4" w:space="0" w:color="auto"/>
            </w:tcBorders>
            <w:hideMark/>
          </w:tcPr>
          <w:p w14:paraId="7D88D558"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-95.209</w:t>
            </w:r>
          </w:p>
        </w:tc>
        <w:tc>
          <w:tcPr>
            <w:tcW w:w="328" w:type="pct"/>
            <w:tcBorders>
              <w:top w:val="single" w:sz="4" w:space="0" w:color="auto"/>
              <w:left w:val="single" w:sz="4" w:space="0" w:color="auto"/>
              <w:bottom w:val="single" w:sz="4" w:space="0" w:color="auto"/>
              <w:right w:val="single" w:sz="4" w:space="0" w:color="auto"/>
            </w:tcBorders>
            <w:hideMark/>
          </w:tcPr>
          <w:p w14:paraId="056D9346"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0.013</w:t>
            </w:r>
          </w:p>
        </w:tc>
        <w:tc>
          <w:tcPr>
            <w:tcW w:w="570" w:type="pct"/>
            <w:tcBorders>
              <w:top w:val="single" w:sz="4" w:space="0" w:color="auto"/>
              <w:left w:val="single" w:sz="4" w:space="0" w:color="auto"/>
              <w:bottom w:val="single" w:sz="4" w:space="0" w:color="auto"/>
              <w:right w:val="single" w:sz="4" w:space="0" w:color="auto"/>
            </w:tcBorders>
            <w:hideMark/>
          </w:tcPr>
          <w:p w14:paraId="57B7931C"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w:t>
            </w:r>
          </w:p>
        </w:tc>
        <w:tc>
          <w:tcPr>
            <w:tcW w:w="748" w:type="pct"/>
            <w:tcBorders>
              <w:top w:val="single" w:sz="4" w:space="0" w:color="auto"/>
              <w:left w:val="single" w:sz="4" w:space="0" w:color="auto"/>
              <w:bottom w:val="single" w:sz="4" w:space="0" w:color="auto"/>
              <w:right w:val="single" w:sz="4" w:space="0" w:color="auto"/>
            </w:tcBorders>
            <w:hideMark/>
          </w:tcPr>
          <w:p w14:paraId="3893793B" w14:textId="77777777" w:rsidR="001B22CD" w:rsidRPr="00DD24FA" w:rsidRDefault="001B22CD" w:rsidP="00267B98">
            <w:pPr>
              <w:spacing w:after="0" w:line="240" w:lineRule="auto"/>
              <w:contextualSpacing/>
              <w:jc w:val="center"/>
              <w:rPr>
                <w:rFonts w:ascii="Times New Roman" w:hAnsi="Times New Roman" w:cs="Times New Roman"/>
                <w:i/>
                <w:iCs/>
                <w:color w:val="000000"/>
                <w:sz w:val="18"/>
                <w:szCs w:val="18"/>
              </w:rPr>
            </w:pPr>
            <w:r w:rsidRPr="00DD24FA">
              <w:rPr>
                <w:rFonts w:ascii="Times New Roman" w:hAnsi="Times New Roman" w:cs="Times New Roman"/>
                <w:i/>
                <w:color w:val="000000"/>
                <w:sz w:val="18"/>
                <w:szCs w:val="18"/>
              </w:rPr>
              <w:t>LSAMP, TRNAC-GCA</w:t>
            </w:r>
          </w:p>
        </w:tc>
        <w:tc>
          <w:tcPr>
            <w:tcW w:w="519" w:type="pct"/>
            <w:tcBorders>
              <w:top w:val="single" w:sz="4" w:space="0" w:color="auto"/>
              <w:left w:val="single" w:sz="4" w:space="0" w:color="auto"/>
              <w:bottom w:val="single" w:sz="4" w:space="0" w:color="auto"/>
              <w:right w:val="single" w:sz="4" w:space="0" w:color="auto"/>
            </w:tcBorders>
            <w:hideMark/>
          </w:tcPr>
          <w:p w14:paraId="0C9EA108"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Intergenic</w:t>
            </w:r>
          </w:p>
        </w:tc>
        <w:tc>
          <w:tcPr>
            <w:tcW w:w="1416" w:type="pct"/>
            <w:tcBorders>
              <w:top w:val="single" w:sz="4" w:space="0" w:color="auto"/>
              <w:left w:val="single" w:sz="4" w:space="0" w:color="auto"/>
              <w:bottom w:val="single" w:sz="4" w:space="0" w:color="auto"/>
              <w:right w:val="single" w:sz="4" w:space="0" w:color="auto"/>
            </w:tcBorders>
            <w:hideMark/>
          </w:tcPr>
          <w:p w14:paraId="3C946628" w14:textId="3B4E654C"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745C58" w:rsidRPr="00DD24FA">
              <w:rPr>
                <w:rFonts w:ascii="Times New Roman" w:hAnsi="Times New Roman" w:cs="Times New Roman"/>
                <w:sz w:val="18"/>
                <w:szCs w:val="18"/>
              </w:rPr>
              <w:instrText>ADDIN CSL_CITATION {"citationItems":[{"id":"ITEM-1","itemData":{"DOI":"10.1016/j.neulet.2003.08.061","ISSN":"03043940","PMID":"14625014","abstract":"The aim of a present study was to analyse the gene expression profiles in the periaqueductal grey (PAG) of rats related to their exploratory activity in the elevated plus-maze model of anxiety. Animals were divided into the groups according to their exploratory activity in the plus-maze as follows: rats with low activity ('anxious'), moderate activity ('intermediate') and high activity ('non-anxious'). Control animals were not exposed to the elevated plus-maze. The differential expression of genes was analysed using the cDNA representational difference analysis (RDA) in combination with the sequencing and database search. Reverse transcription-polymerase chain reaction with specific primers was applied to confirm the differences found by the RDA. We established that animals displaying the different exploratory activity have also the different gene expression profiles in the PAG. Among the identified genes, we were able to confirm the increased expression of limbic system-associated membrane protein (LSAMP) in animals having the reduced exploratory activity in the elevated plus-maze. 'Anxious' group of rats had 1.6-fold higher expression of LSAMP gene compared to 'non-anxious' animals. By contrast, 'home-cage' control rats and 'intermediate' group did not differ significantly by their LSAMP gene expression level. In conclusion, it is likely that LSAMP plays a role in the regulation of exploratory behaviour of rats in the novel aversive environment. © 2003 Elsevier Ireland Ltd. All rights reserved.","author":[{"dropping-particle":"","family":"Nelovkov","given":"Aleksei","non-dropping-particle":"","parse-names":false,"suffix":""},{"dropping-particle":"","family":"Philips","given":"Mari Anne","non-dropping-particle":"","parse-names":false,"suffix":""},{"dropping-particle":"","family":"Kõks","given":"Sulev","non-dropping-particle":"","parse-names":false,"suffix":""},{"dropping-particle":"","family":"Vasar","given":"Eero","non-dropping-particle":"","parse-names":false,"suffix":""}],"container-title":"Neuroscience Letters","id":"ITEM-1","issue":"3","issued":{"date-parts":[["2003","12","11"]]},"page":"179-182","publisher":"Elsevier","title":"Rats with low exploratory activity in the elevated plus-maze have the increased expression of limbic system-associated membrane protein gene in the periaqueductal grey","type":"article-journal","volume":"352"},"uris":["http://www.mendeley.com/documents/?uuid=95cad2c9-e5bb-319e-b94c-58889a87b110"]},{"id":"ITEM-2","itemData":{"DOI":"10.1016/0896-6273(95)90034-9","ISSN":"08966273","PMID":"7646886","abstract":"The formation of brain circuits requires molecular recognition between functionally related neurons. We report the cloning of a molecule that participates in these interactions. The limbic system-associated membrane protein (LAMP) is an immunoglobulin (Ig) super-family member with 3 Ig domains and a glycosyl-phosphatidylinositol anchor. In the developing forebrain, lamp is expressed mostly by neurons comprising limbic-associated cortical and subcortical regions that function in cognition, emotion, memory, and learning. The unique distribution of LAMP reflects its functional specificity. LAMP-transfected cells selectively facilitate neurite outgrowth of primary limbic neurons. Most striking, administration of anti-LAMP in vivo results in abnormal growth of the mossy fiber projection from developing granule neurons in the dentate gyrus of the hippocampal formation, suggesting that LAMP is essential for proper targeting of this pathway. Rather than being a general guidance cue, LAMP likely serves as a recognition molecule for the formation of limbic connections. © 1995.","author":[{"dropping-particle":"","family":"Pimenta","given":"Aurea F.","non-dropping-particle":"","parse-names":false,"suffix":""},{"dropping-particle":"","family":"Zhukareva","given":"Victoria","non-dropping-particle":"","parse-names":false,"suffix":""},{"dropping-particle":"","family":"Barbe","given":"Mary F.","non-dropping-particle":"","parse-names":false,"suffix":""},{"dropping-particle":"","family":"Reinoso","given":"Blesilda S.","non-dropping-particle":"","parse-names":false,"suffix":""},{"dropping-particle":"","family":"Grimley","given":"Christopher","non-dropping-particle":"","parse-names":false,"suffix":""},{"dropping-particle":"","family":"Henzel","given":"William","non-dropping-particle":"","parse-names":false,"suffix":""},{"dropping-particle":"","family":"Fischer","given":"Itzhak","non-dropping-particle":"","parse-names":false,"suffix":""},{"dropping-particle":"","family":"Levitt","given":"Pat","non-dropping-particle":"","parse-names":false,"suffix":""}],"container-title":"Neuron","id":"ITEM-2","issue":"2","issued":{"date-parts":[["1995"]]},"page":"287-297","publisher":"Neuron","title":"The limbic system-associated membrane protein is an Ig superfamily member that mediates selective neuronal growth and axon targeting","type":"article-journal","volume":"15"},"uris":["http://www.mendeley.com/documents/?uuid=2d26ef63-79e2-3591-ad29-55e9638f6fcb"]},{"id":"ITEM-3","itemData":{"DOI":"10.1186/s12864-019-5935-3","ISSN":"14712164","PMID":"31299913","abstract":"Background: Subfertility is one challenge facing the dairy industry as the average Holstein heifer conception rate (HCR), the proportion of heifers that conceive and maintain a pregnancy per breeding, is estimated at 55-60%. Of the loci associated with HCR, few have been validated in an independent cattle population, limiting their usefulness for selection or furthering our understanding of the mechanisms involved in successful pregnancy. Therefore, the objectives here were to identify loci associated with HCR: 1) to the first artificial insemination (AI) service (HCR1), 2) to repeated AI services required for a heifer to conceive (TBRD) and 3) to validate loci previously associated with fertility. Breeding and health records from 3359 Holstein heifers were obtained after heifers were bred by AI at observed estrus, with pregnancy determined at day 35 via palpation. Heifer DNA was genotyped using the Illumina BovineHD BeadChip, and genome-wide association analyses (GWAA) were performed with additive, dominant and recessive models using the Efficient Mixed Model Association eXpedited (EMMAX) method with a relationship matrix for two phenotypes. The HCR1 GWAA compared heifers that were pregnant after the first AI service (n = 497) to heifers that were open following the first AI service (n = 405), which included those that never conceived. The TBRD GWAA compared only those heifers which did conceive, across variable numbers of AI service (n = 712). Comparison of loci previously associated with fertility, HCR1 or TBRD were considered the same locus for validation when in linkage disequilibrium (D' &gt; 0.7). Results: The HCR1 GWAA identified 116, 187 and 28 loci associated (P &lt; 5 × 10- 8) in additive, dominant and recessive models, respectively. The TBRD GWAA identified 235, 362, and 69 QTL associated (P &lt; 5 × 10- 8) with additive, dominant and recessive models, respectively. Loci previously associated with fertility were in linkage disequilibrium with 22 loci shared with HCR1 and TBRD, 5 HCR1 and 19 TBRD loci. Conclusions: Loci associated with HCR1 and TBRD that have been identified and validated can be used to improve HCR through genomic selection, and to better understand possible mechanisms associated with subfertility.","author":[{"dropping-particle":"","family":"Kiser","given":"Jennifer N.","non-dropping-particle":"","parse-names":false,"suffix":""},{"dropping-particle":"","family":"Keuter","given":"Elizabeth M.","non-dropping-particle":"","parse-names":false,"suffix":""},{"dropping-particle":"","family":"Seabury","given":"Christopher M.","non-dropping-particle":"","parse-names":false,"suffix":""},{"dropping-particle":"","family":"Neupane","given":"Mahesh","non-dropping-particle":"","parse-names":false,"suffix":""},{"dropping-particle":"","family":"Moraes","given":"Joao G.N.","non-dropping-particle":"","parse-names":false,"suffix":""},{"dropping-particle":"","family":"Dalton","given":"Joseph","non-dropping-particle":"","parse-names":false,"suffix":""},{"dropping-particle":"","family":"Burns","given":"Gregory W.","non-dropping-particle":"","parse-names":false,"suffix":""},{"dropping-particle":"","family":"Spencer","given":"Thomas E.","non-dropping-particle":"","parse-names":false,"suffix":""},{"dropping-particle":"","family":"Neibergs","given":"Holly L.","non-dropping-particle":"","parse-names":false,"suffix":""}],"container-title":"BMC Genomics","id":"ITEM-3","issue":"1","issued":{"date-parts":[["2019","7","12"]]},"page":"576","publisher":"BioMed Central Ltd.","title":"Validation of 46 loci associated with female fertility traits in cattle","type":"article-journal","volume":"20"},"uris":["http://www.mendeley.com/documents/?uuid=89eb3da7-d86c-3efc-9759-112ebb7713bc"]},{"id":"ITEM-4","itemData":{"DOI":"10.1186/s12864-016-2511-y","ISSN":"14712164","PMID":"26960694","abstract":"Background: Saturated fatty acids can be detrimental to human health and have received considerable attention in recent years. Several studies using taurine breeds showed the existence of genetic variability and thus the possibility of genetic improvement of the fatty acid profile in beef. This study identified the regions of the genome associated with saturated, mono- and polyunsaturated fatty acids, and n-6 to n-3 ratios in the Longissimus thoracis of Nellore finished in feedlot, using the single-step method. Results: The results showed that 115 windows explain more than 1 % of the additive genetic variance for the 22 studied fatty acids. Thirty-one genomic regions that explain more than 1 % of the additive genetic variance were observed for total saturated fatty acids, C12:0, C14:0, C16:0 and C18:0. Nineteen genomic regions, distributed in sixteen different chromosomes accounted for more than 1 % of the additive genetic variance for the monounsaturated fatty acids, such as the sum of monounsaturated fatty acids, C14:1 cis-9, C18:1 trans-11, C18:1 cis-9, and C18:1 trans-9. Forty genomic regions explained more than 1 % of the additive variance for the polyunsaturated fatty acids group, which are related to the total polyunsaturated fatty acids, C20:4 n-6, C18:2 cis-9 cis12 n-6, C18:3 n-3, C18:3 n-6, C22:6 n-3 and C20:3 n-6 cis-8 cis-11 cis-14. Twenty-one genomic regions accounted for more than 1 % of the genetic variance for the group of omega-3, omega-6 and the n-6:n-3 ratio. Conclusions: The identification of such regions and the respective candidate genes, such as ELOVL5, ESSRG, PCYT1A and genes of the ABC group (ABC5, ABC6 and ABC10), should contribute to form a genetic basis of the fatty acid profile of Nellore (Bos indicus) beef, contributing to better selection of the traits associated with improving human health.","author":[{"dropping-particle":"","family":"Lemos","given":"Marcos V.A.","non-dropping-particle":"","parse-names":false,"suffix":""},{"dropping-particle":"","family":"Chiaia","given":"Hermenegildo Lucas Justino","non-dropping-particle":"","parse-names":false,"suffix":""},{"dropping-particle":"","family":"Berton","given":"Mariana Piatto","non-dropping-particle":"","parse-names":false,"suffix":""},{"dropping-particle":"","family":"Feitosa","given":"Fabieli L.B.","non-dropping-particle":"","parse-names":false,"suffix":""},{"dropping-particle":"","family":"Aboujaoud","given":"Carolyn","non-dropping-particle":"","parse-names":false,"suffix":""},{"dropping-particle":"","family":"Camargo","given":"Gregório M.F.","non-dropping-particle":"","parse-names":false,"suffix":""},{"dropping-particle":"","family":"Pereira","given":"Angélica S.C.","non-dropping-particle":"","parse-names":false,"suffix":""},{"dropping-particle":"","family":"Albuquerque","given":"Lucia G.","non-dropping-particle":"","parse-names":false,"suffix":""},{"dropping-particle":"","family":"Ferrinho","given":"Adrielle M.","non-dropping-particle":"","parse-names":false,"suffix":""},{"dropping-particle":"","family":"Mueller","given":"Lenise F.","non-dropping-particle":"","parse-names":false,"suffix":""},{"dropping-particle":"","family":"Mazalli","given":"Monica R.","non-dropping-particle":"","parse-names":false,"suffix":""},{"dropping-particle":"","family":"Furlan","given":"Joyce J.M.","non-dropping-particle":"","parse-names":false,"suffix":""},{"dropping-particle":"","family":"Carvalheiro","given":"Roberto","non-dropping-particle":"","parse-names":false,"suffix":""},{"dropping-particle":"","family":"Gordo","given":"Daniel M.","non-dropping-particle":"","parse-names":false,"suffix":""},{"dropping-particle":"","family":"Tonussi","given":"Rafael","non-dropping-particle":"","parse-names":false,"suffix":""},{"dropping-particle":"","family":"Espigolan","given":"Rafael","non-dropping-particle":"","parse-names":false,"suffix":""},{"dropping-particle":"","family":"Silva","given":"Rafael Medeiros de Oliveira","non-dropping-particle":"","parse-names":false,"suffix":""},{"dropping-particle":"","family":"Oliveira","given":"Henrique Nunes","non-dropping-particle":"de","parse-names":false,"suffix":""},{"dropping-particle":"","family":"Duckett","given":"Susan","non-dropping-particle":"","parse-names":false,"suffix":""},{"dropping-particle":"","family":"Aguilar","given":"Ignacio","non-dropping-particle":"","parse-names":false,"suffix":""},{"dropping-particle":"","family":"Baldi","given":"Fernando","non-dropping-particle":"","parse-names":false,"suffix":""}],"container-title":"BMC Genomics","id":"ITEM-4","issue":"1","issued":{"date-parts":[["2016","3","9"]]},"page":"213","publisher":"BioMed Central Ltd.","title":"Genome-wide association between single nucleotide polymorphisms with beef fatty acid profile in Nellore cattle using the single step procedure","type":"article-journal","volume":"17"},"uris":["http://www.mendeley.com/documents/?uuid=55f8e954-9546-3e4c-80f9-25f7455a3a21"]},{"id":"ITEM-5","itemData":{"DOI":"10.1038/s41598-018-33327-9","ISSN":"20452322","PMID":"30310168","abstract":"The global temperatures are increasing. This increase is partly due to methane (CH4) production from ruminants, including dairy cattle. Recent studies on dairy cattle have revealed the existence of a heritable variation in CH4 production that enables mitigation strategies based on selective breeding. We have exploited the available heritable variation to study the genetic architecture of CH4 production and detected genomic regions affecting CH4 production. Although the detected regions explained only a small proportion of the heritable variance, we showed that potential QTL regions affecting CH4 production were located within QTLs related to feed efficiency, milk-related traits, body size and health status. Five candidate genes were found: CYP51A1 on BTA 4, PPP1R16B on BTA 13, and NTHL1, TSC2, and PKD1 on BTA 25. These candidate genes were involved in a number of metabolic processes that are possibly related to CH4 production. One of the most promising candidate genes (PKD1) was related to the development of the digestive tract. The results indicate that CH4 production is a highly polygenic trait.","author":[{"dropping-particle":"","family":"Pszczola","given":"M.","non-dropping-particle":"","parse-names":false,"suffix":""},{"dropping-particle":"","family":"Strabel","given":"T.","non-dropping-particle":"","parse-names":false,"suffix":""},{"dropping-particle":"","family":"Mucha","given":"S.","non-dropping-particle":"","parse-names":false,"suffix":""},{"dropping-particle":"","family":"Sell-Kubiak","given":"E.","non-dropping-particle":"","parse-names":false,"suffix":""}],"container-title":"Scientific Reports","id":"ITEM-5","issue":"1","issued":{"date-parts":[["2018","12","1"]]},"page":"15164","publisher":"Nature Publishing Group","title":"Genome-wide association identifies methane production level relation to genetic control of digestive tract development in dairy cows","type":"article-journal","volume":"8"},"uris":["http://www.mendeley.com/documents/?uuid=42482d48-6b68-36a4-80c1-9dde578b65ef"]},{"id":"ITEM-6","itemData":{"DOI":"10.2527/jas.2012-5716","ISSN":"0021-8812","abstract":"A genome-wide association study using the Illumina 50K BeadChip included 38,745 SNP on 29 BTA analyzed on 751 animals, including 33 purebreds and 718 crossbred cattle. Genotypes and 6 production traits: birth weight (BWT), weaning weight (WWT), ADG, DMI, midtest metabolic BW (MMWT), and residual feed intake (RFI), were used to estimate effects of individual SNP on the traits. At the genome-wide level false discovery rate (FDR &lt; 10%), 41 and 5 SNP were found significantly associated with BWT and WWT, respectively. Thirty-three of them were located on BTA6. At a less stringent significance level (P &lt; 0.001), 277 and 27 SNP were in association with single traits and multiple traits, respectively. Seventy-three SNP on BTA6 and were mostly associated with BW-related traits, and heavily located around 30 to 50Mb. Markers that significantly affected multiple traits appeared to impact them in same direction. In terms of the size of SNP effect, the significant SNP (P &lt; 0.001) explained between 0.26 and 8.06% of the phenotypic variation in the traits. Pairs of traits with low genetic correlation, such as ADG vs. RFI or DMI vs. BWT, appeared to be controlled by 2 groups of SNP; 1 of them affected the traits in same direction, the other worked in opposite direction. This study provides useful information to further assist the identification of chromosome regions and subsequently genes affecting growth and feed efficiency traits in beef cattle. © 2013 American Society of Animal Science. All rights reserved.","author":[{"dropping-particle":"","family":"Lu","given":"D.","non-dropping-particle":"","parse-names":false,"suffix":""},{"dropping-particle":"","family":"Miller","given":"S.","non-dropping-particle":"","parse-names":false,"suffix":""},{"dropping-particle":"","family":"Sargolzaei","given":"M.","non-dropping-particle":"","parse-names":false,"suffix":""},{"dropping-particle":"","family":"Kelly","given":"M.","non-dropping-particle":"","parse-names":false,"suffix":""},{"dropping-particle":"","family":"Voort","given":"G.","non-dropping-particle":"Vander","parse-names":false,"suffix":""},{"dropping-particle":"","family":"Caldwell","given":"T.","non-dropping-particle":"","parse-names":false,"suffix":""},{"dropping-particle":"","family":"Wang","given":"Z.","non-dropping-particle":"","parse-names":false,"suffix":""},{"dropping-particle":"","family":"Plastow","given":"G.","non-dropping-particle":"","parse-names":false,"suffix":""},{"dropping-particle":"","family":"Moore","given":"S.","non-dropping-particle":"","parse-names":false,"suffix":""}],"container-title":"Journal of Animal Science","id":"ITEM-6","issue":"8","issued":{"date-parts":[["2013","8","1"]]},"page":"3612-3633","publisher":"Oxford Academic","title":"Genome-wide association analyses for growth and feed efficiency traits in beef cattle","type":"article-journal","volume":"91"},"uris":["http://www.mendeley.com/documents/?uuid=772ba886-36b3-322a-94cb-4819a8c84066"]}],"mendeley":{"formattedCitation":"[3, 31, 51–54]","plainTextFormattedCitation":"[3, 31, 51–54]","previouslyFormattedCitation":"[3, 31, 51–54]"},"properties":{"noteIndex":0},"schema":"https://github.com/citation-style-language/schema/raw/master/csl-citation.json"}</w:instrText>
            </w:r>
            <w:r w:rsidRPr="00DD24FA">
              <w:rPr>
                <w:rFonts w:ascii="Times New Roman" w:hAnsi="Times New Roman" w:cs="Times New Roman"/>
                <w:sz w:val="18"/>
                <w:szCs w:val="18"/>
              </w:rPr>
              <w:fldChar w:fldCharType="separate"/>
            </w:r>
            <w:r w:rsidR="00C3783D" w:rsidRPr="00DD24FA">
              <w:rPr>
                <w:rFonts w:ascii="Times New Roman" w:hAnsi="Times New Roman" w:cs="Times New Roman"/>
                <w:noProof/>
                <w:sz w:val="18"/>
                <w:szCs w:val="18"/>
              </w:rPr>
              <w:t>[3, 31, 51–54]</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xml:space="preserve">; Rats, mouse, cattle; </w:t>
            </w:r>
            <w:r w:rsidR="00F228EE" w:rsidRPr="00DD24FA">
              <w:rPr>
                <w:rFonts w:ascii="Times New Roman" w:hAnsi="Times New Roman" w:cs="Times New Roman"/>
                <w:sz w:val="18"/>
                <w:szCs w:val="18"/>
              </w:rPr>
              <w:t>F</w:t>
            </w:r>
            <w:r w:rsidRPr="00DD24FA">
              <w:rPr>
                <w:rFonts w:ascii="Times New Roman" w:hAnsi="Times New Roman" w:cs="Times New Roman"/>
                <w:sz w:val="18"/>
                <w:szCs w:val="18"/>
              </w:rPr>
              <w:t>ormation of neuronal connections during development of the limbic system, conception rate, milk fatty acid, methane production</w:t>
            </w:r>
            <w:r w:rsidR="00C3783D" w:rsidRPr="00DD24FA">
              <w:rPr>
                <w:rFonts w:ascii="Times New Roman" w:hAnsi="Times New Roman" w:cs="Times New Roman"/>
                <w:sz w:val="18"/>
                <w:szCs w:val="18"/>
              </w:rPr>
              <w:t xml:space="preserve"> and digestion</w:t>
            </w:r>
            <w:r w:rsidRPr="00DD24FA">
              <w:rPr>
                <w:rFonts w:ascii="Times New Roman" w:hAnsi="Times New Roman" w:cs="Times New Roman"/>
                <w:sz w:val="18"/>
                <w:szCs w:val="18"/>
              </w:rPr>
              <w:t>, dry matter intake, residual feed intake</w:t>
            </w:r>
          </w:p>
        </w:tc>
      </w:tr>
      <w:tr w:rsidR="00DD24FA" w14:paraId="0DECF453"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74013CC5" w14:textId="77777777" w:rsidR="001B22CD" w:rsidRPr="00DD24FA" w:rsidRDefault="001B22CD" w:rsidP="00267B98">
            <w:pPr>
              <w:spacing w:after="0" w:line="240" w:lineRule="auto"/>
              <w:contextualSpacing/>
              <w:jc w:val="center"/>
              <w:rPr>
                <w:rFonts w:ascii="Times New Roman" w:hAnsi="Times New Roman" w:cs="Times New Roman"/>
                <w:i/>
                <w:sz w:val="18"/>
                <w:szCs w:val="18"/>
                <w:vertAlign w:val="superscript"/>
              </w:rPr>
            </w:pPr>
            <w:r w:rsidRPr="00DD24FA">
              <w:rPr>
                <w:rFonts w:ascii="Times New Roman" w:hAnsi="Times New Roman" w:cs="Times New Roman"/>
                <w:i/>
                <w:sz w:val="18"/>
                <w:szCs w:val="18"/>
              </w:rPr>
              <w:t>7_44</w:t>
            </w:r>
            <w:r w:rsidRPr="00DD24FA">
              <w:rPr>
                <w:rFonts w:ascii="Times New Roman" w:hAnsi="Times New Roman" w:cs="Times New Roman"/>
                <w:i/>
                <w:sz w:val="18"/>
                <w:szCs w:val="18"/>
                <w:vertAlign w:val="superscript"/>
              </w:rPr>
              <w:t>a</w:t>
            </w:r>
          </w:p>
        </w:tc>
        <w:tc>
          <w:tcPr>
            <w:tcW w:w="369" w:type="pct"/>
            <w:tcBorders>
              <w:top w:val="single" w:sz="4" w:space="0" w:color="auto"/>
              <w:left w:val="single" w:sz="4" w:space="0" w:color="auto"/>
              <w:bottom w:val="single" w:sz="4" w:space="0" w:color="auto"/>
              <w:right w:val="single" w:sz="4" w:space="0" w:color="auto"/>
            </w:tcBorders>
            <w:hideMark/>
          </w:tcPr>
          <w:p w14:paraId="6E855404"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5.301</w:t>
            </w:r>
          </w:p>
        </w:tc>
        <w:tc>
          <w:tcPr>
            <w:tcW w:w="554" w:type="pct"/>
            <w:tcBorders>
              <w:top w:val="single" w:sz="4" w:space="0" w:color="auto"/>
              <w:left w:val="single" w:sz="4" w:space="0" w:color="auto"/>
              <w:bottom w:val="single" w:sz="4" w:space="0" w:color="auto"/>
              <w:right w:val="single" w:sz="4" w:space="0" w:color="auto"/>
            </w:tcBorders>
            <w:hideMark/>
          </w:tcPr>
          <w:p w14:paraId="0BF50070"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-35.491</w:t>
            </w:r>
          </w:p>
        </w:tc>
        <w:tc>
          <w:tcPr>
            <w:tcW w:w="328" w:type="pct"/>
            <w:tcBorders>
              <w:top w:val="single" w:sz="4" w:space="0" w:color="auto"/>
              <w:left w:val="single" w:sz="4" w:space="0" w:color="auto"/>
              <w:bottom w:val="single" w:sz="4" w:space="0" w:color="auto"/>
              <w:right w:val="single" w:sz="4" w:space="0" w:color="auto"/>
            </w:tcBorders>
            <w:hideMark/>
          </w:tcPr>
          <w:p w14:paraId="511E7A37"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0.027</w:t>
            </w:r>
          </w:p>
        </w:tc>
        <w:tc>
          <w:tcPr>
            <w:tcW w:w="570" w:type="pct"/>
            <w:tcBorders>
              <w:top w:val="single" w:sz="4" w:space="0" w:color="auto"/>
              <w:left w:val="single" w:sz="4" w:space="0" w:color="auto"/>
              <w:bottom w:val="single" w:sz="4" w:space="0" w:color="auto"/>
              <w:right w:val="single" w:sz="4" w:space="0" w:color="auto"/>
            </w:tcBorders>
            <w:hideMark/>
          </w:tcPr>
          <w:p w14:paraId="19436C4B"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3</w:t>
            </w:r>
          </w:p>
        </w:tc>
        <w:tc>
          <w:tcPr>
            <w:tcW w:w="748" w:type="pct"/>
            <w:tcBorders>
              <w:top w:val="single" w:sz="4" w:space="0" w:color="auto"/>
              <w:left w:val="single" w:sz="4" w:space="0" w:color="auto"/>
              <w:bottom w:val="single" w:sz="4" w:space="0" w:color="auto"/>
              <w:right w:val="single" w:sz="4" w:space="0" w:color="auto"/>
            </w:tcBorders>
            <w:hideMark/>
          </w:tcPr>
          <w:p w14:paraId="4A9E4AB1" w14:textId="77777777" w:rsidR="001B22CD" w:rsidRPr="00DD24FA" w:rsidRDefault="001B22CD" w:rsidP="00267B98">
            <w:pPr>
              <w:spacing w:after="0" w:line="240" w:lineRule="auto"/>
              <w:contextualSpacing/>
              <w:jc w:val="center"/>
              <w:rPr>
                <w:rFonts w:ascii="Times New Roman" w:hAnsi="Times New Roman" w:cs="Times New Roman"/>
                <w:i/>
                <w:iCs/>
                <w:color w:val="000000"/>
                <w:sz w:val="18"/>
                <w:szCs w:val="18"/>
              </w:rPr>
            </w:pPr>
            <w:r w:rsidRPr="00DD24FA">
              <w:rPr>
                <w:rFonts w:ascii="Times New Roman" w:hAnsi="Times New Roman" w:cs="Times New Roman"/>
                <w:i/>
                <w:iCs/>
                <w:color w:val="000000"/>
                <w:sz w:val="18"/>
                <w:szCs w:val="18"/>
              </w:rPr>
              <w:t>TCF3, LOC781086</w:t>
            </w:r>
          </w:p>
        </w:tc>
        <w:tc>
          <w:tcPr>
            <w:tcW w:w="519" w:type="pct"/>
            <w:tcBorders>
              <w:top w:val="single" w:sz="4" w:space="0" w:color="auto"/>
              <w:left w:val="single" w:sz="4" w:space="0" w:color="auto"/>
              <w:bottom w:val="single" w:sz="4" w:space="0" w:color="auto"/>
              <w:right w:val="single" w:sz="4" w:space="0" w:color="auto"/>
            </w:tcBorders>
            <w:hideMark/>
          </w:tcPr>
          <w:p w14:paraId="35A45326"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Intergenic</w:t>
            </w:r>
          </w:p>
        </w:tc>
        <w:tc>
          <w:tcPr>
            <w:tcW w:w="1416" w:type="pct"/>
            <w:tcBorders>
              <w:top w:val="single" w:sz="4" w:space="0" w:color="auto"/>
              <w:left w:val="single" w:sz="4" w:space="0" w:color="auto"/>
              <w:bottom w:val="single" w:sz="4" w:space="0" w:color="auto"/>
              <w:right w:val="single" w:sz="4" w:space="0" w:color="auto"/>
            </w:tcBorders>
            <w:hideMark/>
          </w:tcPr>
          <w:p w14:paraId="7C16B364" w14:textId="1846D06F"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745C58" w:rsidRPr="00DD24FA">
              <w:rPr>
                <w:rFonts w:ascii="Times New Roman" w:hAnsi="Times New Roman" w:cs="Times New Roman"/>
                <w:sz w:val="18"/>
                <w:szCs w:val="18"/>
              </w:rPr>
              <w:instrText>ADDIN CSL_CITATION {"citationItems":[{"id":"ITEM-1","itemData":{"DOI":"10.1242/dev.106989","ISSN":"14779129","PMID":"25038042","abstract":"The Lef/Tcf-family transcription factor Tcf3 has important roles in development, stem cell function and malignancy. Previous gain- and loss-of-function studies have suggested that Tcf3 is a mediator of self-renewal and an undifferentiated state in stem and progenitor cells in skin, but little is known of its role in other postnatal tissues. Here, we explore the distribution and behavior of Tcf3-expressing cells in several adult tissues using a novel Tcf3-CreER knock-in mouse model. By lineage tracing in dorsal skin, we verify that Tcf3-expressing cells in the hair follicle bulge are self-renewing stem cells with multilineage potential. We then demonstrate, for the first time, the presence of Tcf3-expressing cells in the basal layer of several other stratified epithelia, including the paw skin, tongue and esophagus. By lineage tracing, we demonstrate that the Tcf3-expressing population in these tissues includes persistent stem cells, transient progenitors and cells undergoing active differentiation. Our observations here suggest that the role of Tcf3 in cell-fate decision is more complex than previously appreciated and is highly dependent on cellular context. © 2014. Published by The Company of Biologists Ltd.","author":[{"dropping-particle":"","family":"Howard","given":"Jeffrey M.","non-dropping-particle":"","parse-names":false,"suffix":""},{"dropping-particle":"","family":"Nuguid","given":"Justine M.","non-dropping-particle":"","parse-names":false,"suffix":""},{"dropping-particle":"","family":"Ngole","given":"Diana","non-dropping-particle":"","parse-names":false,"suffix":""},{"dropping-particle":"","family":"Nguyen","given":"Hoang","non-dropping-particle":"","parse-names":false,"suffix":""}],"container-title":"Development (Cambridge)","id":"ITEM-1","issue":"16","issued":{"date-parts":[["2014","8","15"]]},"page":"3143-3152","publisher":"Company of Biologists Ltd","title":"Tcf3 expression marks both stem and progenitor cells in multiple epithelia","type":"article-journal","volume":"141"},"uris":["http://www.mendeley.com/documents/?uuid=d2379a32-a0d4-3048-8431-dd96e99b44a6"]},{"id":"ITEM-2","itemData":{"DOI":"10.1002/vms3.278","ISSN":"20531095","PMID":"32432381","abstract":"Puberty is a whole-body event, driven by the hypothalamic integration of peripheral signals such as leptin or IGF-1. In the process of puberty, reproductive development is simultaneous to growth, including muscle growth. To enhance our understanding of muscle function related to puberty, we performed transcriptome analyses of muscle samples from six pre- and six post-pubertal Brahman heifers (Bos indicus). Our aims were to perform differential expression analyses and co-expression analyses to derive a regulatory gene network associate with puberty. As a result, we identified 431 differentially expressed (DEx) transcripts (genes and non-coding RNAs) when comparing pre- to post-pubertal average gene expression. The DEx transcripts were compared with all expressed transcripts in our samples (over 14,000 transcripts) for functional enrichment analyses. The DEx transcripts were associated with “extracellular region,” “inflammatory response” and “hormone activity” (adjusted p &lt;.05). Inflammatory response for muscle regeneration is a necessary aspect of muscle growth, which is accelerated during puberty. The term “hormone activity” may signal genes that respond to progesterone signalling in the muscle, as the presence of this hormone is an important difference between pre- and post-pubertal heifers in our experimental design. The DEx transcript with the highest average expression difference was a mitochondrial gene, ENSBTAG00000043574 that might be another important link between energy metabolism and puberty. In the derived co-expression gene network, we identified six hub genes: CDC5L, MYC, TCF3, RUNX2, ATF2 and CREB1. In the same network, 48 key regulators of DEx transcripts were identified, using a regulatory impact factor metric. The hub gene TCF3 was also a key regulator. The majority of the key regulators (22 genes) are members of the zinc finger family, which has been implicated in bovine puberty in other tissues. In conclusion, we described how puberty may affect muscle gene expression in cattle.","author":[{"dropping-particle":"","family":"Lau","given":"Li Yieng","non-dropping-particle":"","parse-names":false,"suffix":""},{"dropping-particle":"","family":"Nguyen","given":"Loan T.","non-dropping-particle":"","parse-names":false,"suffix":""},{"dropping-particle":"","family":"Reverter","given":"Antonio","non-dropping-particle":"","parse-names":false,"suffix":""},{"dropping-particle":"","family":"Moore","given":"Stephen S.","non-dropping-particle":"","parse-names":false,"suffix":""},{"dropping-particle":"","family":"Lynn","given":"Aaron","non-dropping-particle":"","parse-names":false,"suffix":""},{"dropping-particle":"","family":"McBride-Kelly","given":"Liam","non-dropping-particle":"","parse-names":false,"suffix":""},{"dropping-particle":"","family":"Phillips-Rose","given":"Louis","non-dropping-particle":"","parse-names":false,"suffix":""},{"dropping-particle":"","family":"Plath","given":"Mackenzie","non-dropping-particle":"","parse-names":false,"suffix":""},{"dropping-particle":"","family":"Macfarlane","given":"Rhys","non-dropping-particle":"","parse-names":false,"suffix":""},{"dropping-particle":"","family":"Vasudivan","given":"Vanisha","non-dropping-particle":"","parse-names":false,"suffix":""},{"dropping-particle":"","family":"Morton","given":"Lachlan","non-dropping-particle":"","parse-names":false,"suffix":""},{"dropping-particle":"","family":"Ardley","given":"Ryan","non-dropping-particle":"","parse-names":false,"suffix":""},{"dropping-particle":"","family":"Ye","given":"Yunan","non-dropping-particle":"","parse-names":false,"suffix":""},{"dropping-particle":"","family":"Fortes","given":"Marina R.S.","non-dropping-particle":"","parse-names":false,"suffix":""}],"container-title":"Veterinary Medicine and Science","id":"ITEM-2","issue":"4","issued":{"date-parts":[["2020","11","1"]]},"page":"695-710","publisher":"Wiley-Blackwell","title":"Gene regulation could be attributed to TCF3 and other key transcription factors in the muscle of pubertal heifers","type":"article-journal","volume":"6"},"uris":["http://www.mendeley.com/documents/?uuid=3f07055b-061b-39d1-9d61-b195cd0fc866"]},{"id":"ITEM-3","itemData":{"DOI":"10.1038/cddis.2013.65","ISSN":"20414889","PMID":"23492770","abstract":"Wnt signaling pathways are a highly conserved pathway, which plays an important role from the embryonic development to bone formation. The effect of Wnt pathway on osteogenesis relies on their cellular environment and the expression of target genes. However, the molecular mechanism of that remains unclear. On the basis of the preliminary results, we observed the contrary effect of canonical Wnt signaling on osteogenic differentiation of periodontal ligament stem cells (PDLSCs) in the different culture environment. Furthermore, we found that the expression level of miR-17 was also varied with the change in the culture environment. Therefore, we hypothesized that miR-17 and canonical Wnt signaling may have potential interactions, particularly the inner regulation relationship in different microenvironments. In this paper, we observed that canonical Wnt signaling promoted osteogenesis of PDLSCs in the fully culture medium, while inhibited it in the osteogenic differentiation medium. Interestingly, alteration in the expression level of endogenous miR-17 could partially reverse the different effect of canonical Wnt signaling. Furthermore, the role of miR-17 was because of its target gene TCF3 (transcription factor 3), a key transcription factor of canonical Wnt pathway. Overexpression of TCF3 attenuated the effect of miR-17 on modulating canonical Wnt signaling. Finally, we elucidated that TCF3 enhanced osteogenesis both in vitro and in vivo. In brief, the different level of miR-17 was the main cause of the different effect of canonical Wnt signaling, and TCF3 was the crucial node of miR-17-canonial Wnt signaling regulation loop. This understanding of microRNAs regulating signaling pathways in different microenvironments may pave the way for fine-tuning the process of osteogenesis in bone-related disorders. © 2013 Macmillan Publishers Limited.","author":[{"dropping-particle":"","family":"Liu","given":"W.","non-dropping-particle":"","parse-names":false,"suffix":""},{"dropping-particle":"","family":"Liu","given":"Y.","non-dropping-particle":"","parse-names":false,"suffix":""},{"dropping-particle":"","family":"Guo","given":"T.","non-dropping-particle":"","parse-names":false,"suffix":""},{"dropping-particle":"","family":"Hu","given":"C.","non-dropping-particle":"","parse-names":false,"suffix":""},{"dropping-particle":"","family":"Luo","given":"H.","non-dropping-particle":"","parse-names":false,"suffix":""},{"dropping-particle":"","family":"Zhang","given":"L.","non-dropping-particle":"","parse-names":false,"suffix":""},{"dropping-particle":"","family":"Shi","given":"S.","non-dropping-particle":"","parse-names":false,"suffix":""},{"dropping-particle":"","family":"Cai","given":"T.","non-dropping-particle":"","parse-names":false,"suffix":""},{"dropping-particle":"","family":"Ding","given":"Y.","non-dropping-particle":"","parse-names":false,"suffix":""},{"dropping-particle":"","family":"Jin","given":"Y.","non-dropping-particle":"","parse-names":false,"suffix":""}],"container-title":"Cell Death and Disease","id":"ITEM-3","issue":"3","issued":{"date-parts":[["2013","3","14"]]},"page":"539","publisher":"Nature Publishing Group","title":"TCF3, a novel positive regulator of osteogenesis, plays a crucial role in miR-17 modulating the diverse effect of canonical Wnt signaling in different microenvironments","type":"article-journal","volume":"4"},"uris":["http://www.mendeley.com/documents/?uuid=bf6ef379-8a65-3dfc-8408-e4467616ca9d"]},{"id":"ITEM-4","itemData":{"DOI":"10.1186/1471-2156-13-21","ISSN":"14712156","PMID":"22449276","abstract":"Background: Contemporary dairy breeding goals have broadened to include, along with milk production traits, a number of non-production-related traits in an effort to improve the overall functionality of the dairy cow. Increased indirect selection for resistance to mastitis, one of the most important production-related diseases in the dairy sector, via selection for reduced somatic cell count has been part of these broadened goals. A number of genome-wide association studies have identified genetic variants associated with milk production traits and mastitis resistance, however the majority of these studies have been based on animals which were predominantly kept in confinement and fed a concentrate-based diet (i.e. high-input production systems). This genome-wide association study aims to detect associations using genotypic and phenotypic data from Irish Holstein-Friesian cattle fed predominantly grazed grass in a pasture-based production system (low-input).Results: Significant associations were detected for milk yield, fat yield, protein yield, fat percentage, protein percentage and somatic cell score using separate single-locus, frequentist and multi-locus, Bayesian approaches. These associations were detected using two separate populations of Holstein-Friesian sires and cows. In total, 1,529 and 37 associations were detected in the sires using a single SNP regression and a Bayesian method, respectively. There were 103 associations in common between the sires and cows across all the traits. As well as detecting associations within known QTL regions, a number of novel associations were detected; the most notable of these was a region of chromosome 13 associated with milk yield in the population of Holstein-Friesian sires.Conclusions: A total of 276 of novel SNPs were detected in the sires using a single SNP regression approach. Although obvious candidate genes may not be initially forthcoming, this study provides a preliminary framework upon which to identify the causal mechanisms underlying the various milk production traits and somatic cell score. Consequently this will deepen our understanding of how these traits are expressed. © 2012 Meredith et al; licensee BioMed Central Ltd.","author":[{"dropping-particle":"","family":"Meredith","given":"Brian K.","non-dropping-particle":"","parse-names":false,"suffix":""},{"dropping-particle":"","family":"Kearney","given":"Francis J.","non-dropping-particle":"","parse-names":false,"suffix":""},{"dropping-particle":"","family":"Finlay","given":"Emma K.","non-dropping-particle":"","parse-names":false,"suffix":""},{"dropping-particle":"","family":"Bradley","given":"Daniel G.","non-dropping-particle":"","parse-names":false,"suffix":""},{"dropping-particle":"","family":"Fahey","given":"Alan G.","non-dropping-particle":"","parse-names":false,"suffix":""},{"dropping-particle":"","family":"Berry","given":"Donagh P.","non-dropping-particle":"","parse-names":false,"suffix":""},{"dropping-particle":"","family":"Lynn","given":"David J.","non-dropping-particle":"","parse-names":false,"suffix":""}],"container-title":"BMC Genetics","id":"ITEM-4","issue":"1","issued":{"date-parts":[["2012","3","26"]]},"page":"21","publisher":"BioMed Central","title":"Genome-wide associations for milk production and somatic cell score in Holstein-Friesian cattle in Ireland","type":"article-journal","volume":"13"},"uris":["http://www.mendeley.com/documents/?uuid=120c3a2d-4807-3f2e-b4ba-7fbf90b7964d"]},{"id":"ITEM-5","itemData":{"DOI":"10.1186/s12864-019-5935-3","ISSN":"14712164","PMID":"31299913","abstract":"Background: Subfertility is one challenge facing the dairy industry as the average Holstein heifer conception rate (HCR), the proportion of heifers that conceive and maintain a pregnancy per breeding, is estimated at 55-60%. Of the loci associated with HCR, few have been validated in an independent cattle population, limiting their usefulness for selection or furthering our understanding of the mechanisms involved in successful pregnancy. Therefore, the objectives here were to identify loci associated with HCR: 1) to the first artificial insemination (AI) service (HCR1), 2) to repeated AI services required for a heifer to conceive (TBRD) and 3) to validate loci previously associated with fertility. Breeding and health records from 3359 Holstein heifers were obtained after heifers were bred by AI at observed estrus, with pregnancy determined at day 35 via palpation. Heifer DNA was genotyped using the Illumina BovineHD BeadChip, and genome-wide association analyses (GWAA) were performed with additive, dominant and recessive models using the Efficient Mixed Model Association eXpedited (EMMAX) method with a relationship matrix for two phenotypes. The HCR1 GWAA compared heifers that were pregnant after the first AI service (n = 497) to heifers that were open following the first AI service (n = 405), which included those that never conceived. The TBRD GWAA compared only those heifers which did conceive, across variable numbers of AI service (n = 712). Comparison of loci previously associated with fertility, HCR1 or TBRD were considered the same locus for validation when in linkage disequilibrium (D' &gt; 0.7). Results: The HCR1 GWAA identified 116, 187 and 28 loci associated (P &lt; 5 × 10- 8) in additive, dominant and recessive models, respectively. The TBRD GWAA identified 235, 362, and 69 QTL associated (P &lt; 5 × 10- 8) with additive, dominant and recessive models, respectively. Loci previously associated with fertility were in linkage disequilibrium with 22 loci shared with HCR1 and TBRD, 5 HCR1 and 19 TBRD loci. Conclusions: Loci associated with HCR1 and TBRD that have been identified and validated can be used to improve HCR through genomic selection, and to better understand possible mechanisms associated with subfertility.","author":[{"dropping-particle":"","family":"Kiser","given":"Jennifer N.","non-dropping-particle":"","parse-names":false,"suffix":""},{"dropping-particle":"","family":"Keuter","given":"Elizabeth M.","non-dropping-particle":"","parse-names":false,"suffix":""},{"dropping-particle":"","family":"Seabury","given":"Christopher M.","non-dropping-particle":"","parse-names":false,"suffix":""},{"dropping-particle":"","family":"Neupane","given":"Mahesh","non-dropping-particle":"","parse-names":false,"suffix":""},{"dropping-particle":"","family":"Moraes","given":"Joao G.N.","non-dropping-particle":"","parse-names":false,"suffix":""},{"dropping-particle":"","family":"Dalton","given":"Joseph","non-dropping-particle":"","parse-names":false,"suffix":""},{"dropping-particle":"","family":"Burns","given":"Gregory W.","non-dropping-particle":"","parse-names":false,"suffix":""},{"dropping-particle":"","family":"Spencer","given":"Thomas E.","non-dropping-particle":"","parse-names":false,"suffix":""},{"dropping-particle":"","family":"Neibergs","given":"Holly L.","non-dropping-particle":"","parse-names":false,"suffix":""}],"container-title":"BMC Genomics","id":"ITEM-5","issue":"1","issued":{"date-parts":[["2019","7","12"]]},"page":"576","publisher":"BioMed Central Ltd.","title":"Validation of 46 loci associated with female fertility traits in cattle","type":"article-journal","volume":"20"},"uris":["http://www.mendeley.com/documents/?uuid=89eb3da7-d86c-3efc-9759-112ebb7713bc"]}],"mendeley":{"formattedCitation":"[3, 7, 55–57]","plainTextFormattedCitation":"[3, 7, 55–57]","previouslyFormattedCitation":"[3, 7, 55–57]"},"properties":{"noteIndex":0},"schema":"https://github.com/citation-style-language/schema/raw/master/csl-citation.json"}</w:instrText>
            </w:r>
            <w:r w:rsidRPr="00DD24FA">
              <w:rPr>
                <w:rFonts w:ascii="Times New Roman" w:hAnsi="Times New Roman" w:cs="Times New Roman"/>
                <w:sz w:val="18"/>
                <w:szCs w:val="18"/>
              </w:rPr>
              <w:fldChar w:fldCharType="separate"/>
            </w:r>
            <w:r w:rsidR="00745C58" w:rsidRPr="00DD24FA">
              <w:rPr>
                <w:rFonts w:ascii="Times New Roman" w:hAnsi="Times New Roman" w:cs="Times New Roman"/>
                <w:noProof/>
                <w:sz w:val="18"/>
                <w:szCs w:val="18"/>
              </w:rPr>
              <w:t>[3, 7, 55–57]</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xml:space="preserve">; Mouse, zebrafish, cattle, human; </w:t>
            </w:r>
            <w:r w:rsidR="00D91621" w:rsidRPr="00DD24FA">
              <w:rPr>
                <w:rFonts w:ascii="Times New Roman" w:hAnsi="Times New Roman" w:cs="Times New Roman"/>
                <w:sz w:val="18"/>
                <w:szCs w:val="18"/>
              </w:rPr>
              <w:t>E</w:t>
            </w:r>
            <w:r w:rsidRPr="00DD24FA">
              <w:rPr>
                <w:rFonts w:ascii="Times New Roman" w:hAnsi="Times New Roman" w:cs="Times New Roman"/>
                <w:sz w:val="18"/>
                <w:szCs w:val="18"/>
              </w:rPr>
              <w:t>mbryonic development, cell maintenance and differentiation in the central nervous system, regulator of muscle tissue, puberty onset, milk fat yield, conception rate, osteogenesis</w:t>
            </w:r>
          </w:p>
        </w:tc>
      </w:tr>
      <w:tr w:rsidR="00DD24FA" w14:paraId="5A7EA993"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5665C455" w14:textId="22DF06FB" w:rsidR="001B22CD" w:rsidRPr="00DD24FA" w:rsidRDefault="001B22CD"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27_39</w:t>
            </w:r>
            <w:r w:rsidR="00E13A86" w:rsidRPr="00DD24FA">
              <w:rPr>
                <w:rFonts w:ascii="Times New Roman" w:hAnsi="Times New Roman" w:cs="Times New Roman"/>
                <w:i/>
                <w:sz w:val="18"/>
                <w:szCs w:val="18"/>
                <w:vertAlign w:val="superscript"/>
              </w:rPr>
              <w:t>e</w:t>
            </w:r>
          </w:p>
        </w:tc>
        <w:tc>
          <w:tcPr>
            <w:tcW w:w="369" w:type="pct"/>
            <w:tcBorders>
              <w:top w:val="single" w:sz="4" w:space="0" w:color="auto"/>
              <w:left w:val="single" w:sz="4" w:space="0" w:color="auto"/>
              <w:bottom w:val="single" w:sz="4" w:space="0" w:color="auto"/>
              <w:right w:val="single" w:sz="4" w:space="0" w:color="auto"/>
            </w:tcBorders>
            <w:hideMark/>
          </w:tcPr>
          <w:p w14:paraId="1929C2DA"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5.248</w:t>
            </w:r>
          </w:p>
        </w:tc>
        <w:tc>
          <w:tcPr>
            <w:tcW w:w="554" w:type="pct"/>
            <w:tcBorders>
              <w:top w:val="single" w:sz="4" w:space="0" w:color="auto"/>
              <w:left w:val="single" w:sz="4" w:space="0" w:color="auto"/>
              <w:bottom w:val="single" w:sz="4" w:space="0" w:color="auto"/>
              <w:right w:val="single" w:sz="4" w:space="0" w:color="auto"/>
            </w:tcBorders>
            <w:hideMark/>
          </w:tcPr>
          <w:p w14:paraId="7224F418"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8.056</w:t>
            </w:r>
          </w:p>
        </w:tc>
        <w:tc>
          <w:tcPr>
            <w:tcW w:w="328" w:type="pct"/>
            <w:tcBorders>
              <w:top w:val="single" w:sz="4" w:space="0" w:color="auto"/>
              <w:left w:val="single" w:sz="4" w:space="0" w:color="auto"/>
              <w:bottom w:val="single" w:sz="4" w:space="0" w:color="auto"/>
              <w:right w:val="single" w:sz="4" w:space="0" w:color="auto"/>
            </w:tcBorders>
            <w:hideMark/>
          </w:tcPr>
          <w:p w14:paraId="0EB520D4"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0.436</w:t>
            </w:r>
          </w:p>
        </w:tc>
        <w:tc>
          <w:tcPr>
            <w:tcW w:w="570" w:type="pct"/>
            <w:tcBorders>
              <w:top w:val="single" w:sz="4" w:space="0" w:color="auto"/>
              <w:left w:val="single" w:sz="4" w:space="0" w:color="auto"/>
              <w:bottom w:val="single" w:sz="4" w:space="0" w:color="auto"/>
              <w:right w:val="single" w:sz="4" w:space="0" w:color="auto"/>
            </w:tcBorders>
            <w:hideMark/>
          </w:tcPr>
          <w:p w14:paraId="55B90BE7"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4</w:t>
            </w:r>
          </w:p>
        </w:tc>
        <w:tc>
          <w:tcPr>
            <w:tcW w:w="748" w:type="pct"/>
            <w:tcBorders>
              <w:top w:val="single" w:sz="4" w:space="0" w:color="auto"/>
              <w:left w:val="single" w:sz="4" w:space="0" w:color="auto"/>
              <w:bottom w:val="single" w:sz="4" w:space="0" w:color="auto"/>
              <w:right w:val="single" w:sz="4" w:space="0" w:color="auto"/>
            </w:tcBorders>
            <w:hideMark/>
          </w:tcPr>
          <w:p w14:paraId="370A812C" w14:textId="77777777" w:rsidR="001B22CD" w:rsidRPr="00DD24FA" w:rsidRDefault="001B22CD" w:rsidP="00267B98">
            <w:pPr>
              <w:spacing w:after="0" w:line="240" w:lineRule="auto"/>
              <w:contextualSpacing/>
              <w:jc w:val="center"/>
              <w:rPr>
                <w:rFonts w:ascii="Times New Roman" w:hAnsi="Times New Roman" w:cs="Times New Roman"/>
                <w:i/>
                <w:iCs/>
                <w:color w:val="000000"/>
                <w:sz w:val="18"/>
                <w:szCs w:val="18"/>
              </w:rPr>
            </w:pPr>
            <w:r w:rsidRPr="00DD24FA">
              <w:rPr>
                <w:rFonts w:ascii="Times New Roman" w:hAnsi="Times New Roman" w:cs="Times New Roman"/>
                <w:i/>
                <w:color w:val="000000"/>
                <w:sz w:val="18"/>
                <w:szCs w:val="18"/>
              </w:rPr>
              <w:t>PSD3</w:t>
            </w:r>
          </w:p>
        </w:tc>
        <w:tc>
          <w:tcPr>
            <w:tcW w:w="519" w:type="pct"/>
            <w:tcBorders>
              <w:top w:val="single" w:sz="4" w:space="0" w:color="auto"/>
              <w:left w:val="single" w:sz="4" w:space="0" w:color="auto"/>
              <w:bottom w:val="single" w:sz="4" w:space="0" w:color="auto"/>
              <w:right w:val="single" w:sz="4" w:space="0" w:color="auto"/>
            </w:tcBorders>
            <w:hideMark/>
          </w:tcPr>
          <w:p w14:paraId="290A502D"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Intron</w:t>
            </w:r>
          </w:p>
        </w:tc>
        <w:tc>
          <w:tcPr>
            <w:tcW w:w="1416" w:type="pct"/>
            <w:tcBorders>
              <w:top w:val="single" w:sz="4" w:space="0" w:color="auto"/>
              <w:left w:val="single" w:sz="4" w:space="0" w:color="auto"/>
              <w:bottom w:val="single" w:sz="4" w:space="0" w:color="auto"/>
              <w:right w:val="single" w:sz="4" w:space="0" w:color="auto"/>
            </w:tcBorders>
            <w:hideMark/>
          </w:tcPr>
          <w:p w14:paraId="0BB28400" w14:textId="27DBAD83"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745C58" w:rsidRPr="00DD24FA">
              <w:rPr>
                <w:rFonts w:ascii="Times New Roman" w:hAnsi="Times New Roman" w:cs="Times New Roman"/>
                <w:sz w:val="18"/>
                <w:szCs w:val="18"/>
              </w:rPr>
              <w:instrText>ADDIN CSL_CITATION {"citationItems":[{"id":"ITEM-1","itemData":{"DOI":"10.1016/j.diabres.2017.02.006","ISSN":"18728227","PMID":"28237857","abstract":"Background The pleckstrin and Sec7 domain-containing 3 (PSD3) gene has been linked to immune diseases. We examined whether the genetic variants within the PSD3 gene are associated with obesity, type 2 diabetes (T2D), and high-density lipoprotein (HDL) cholesterol level. Methods Multiple logistic regression model and linear regression model were used to examine the associations of 259 single nucleotide polymorphisms (SNPs) within the PSD3 gene with obesity and T2D as binary traits, and HDL level as a continuous trait using the Marshfield data, respectively. A replication study of obesity was conducted using the Health Aging and Body Composition (Health ABC) sample. Results 23 SNPs were associated with obesity (p &lt; 0.05) in the Marshfield sample and rs4921966 revealed the strongest association (p = 3.97 × 10−6). Of the 23 SNPs, 20 were significantly associated with obesity in the meta-analysis of two samples (p &lt; 0.05). Furthermore, 6 SNPs revealed associations with T2D in the Marshfield data (top SNP rs12156368 with p = 3.05 × 10−3); while two SNPs (rs6983992 and rs7843239) were associated with both obesity and T2D (p = 0.0188 and 0.023 for obesity and p = 8.47 × 10−3 and 0.0128 for T2D, respectively). Furthermore, 11 SNPs revealed associations with HDL level (top SNP rs13254772 with p = 2.79 × 10−3) in the Marshfield data; meanwhile rs7009615 was associated with both T2D (p = 0.038) and HDL level (p = 4.44 × 10−3). In addition, haplotype analyses further supported the results of single SNP analysis. Conclusions Common variants in PSD3 were associated with obesity, T2D and HDL level. These findings add important new insights into the pathogenesis of obesity, T2D and HDL cholesterol.","author":[{"dropping-particle":"","family":"Gong","given":"Shaoqing","non-dropping-particle":"","parse-names":false,"suffix":""},{"dropping-particle":"","family":"Xu","given":"Chun","non-dropping-particle":"","parse-names":false,"suffix":""},{"dropping-particle":"","family":"Wang","given":"Liang","non-dropping-particle":"","parse-names":false,"suffix":""},{"dropping-particle":"","family":"Liu","given":"Ying","non-dropping-particle":"","parse-names":false,"suffix":""},{"dropping-particle":"","family":"Owusu","given":"Daniel","non-dropping-particle":"","parse-names":false,"suffix":""},{"dropping-particle":"","family":"Bailey","given":"Beth A.","non-dropping-particle":"","parse-names":false,"suffix":""},{"dropping-particle":"","family":"Li","given":"Yujing","non-dropping-particle":"","parse-names":false,"suffix":""},{"dropping-particle":"","family":"Wang","given":"Kesheng","non-dropping-particle":"","parse-names":false,"suffix":""}],"container-title":"Diabetes Research and Clinical Practice","id":"ITEM-1","issued":{"date-parts":[["2017","4","1"]]},"page":"105-114","publisher":"Elsevier Ireland Ltd","title":"Genetic association analysis of polymorphisms in PSD3 gene with obesity, type 2 diabetes, and HDL cholesterol","type":"article-journal","volume":"126"},"uris":["http://www.mendeley.com/documents/?uuid=3143f31c-7f97-395b-939b-b353f1ec2015"]},{"id":"ITEM-2","itemData":{"DOI":"10.1186/1471-2156-12-43","ISSN":"14712156","abstract":"Background: Identifying genomic regions, and preferably individual genes, responsible for genetic variation in milk fat composition of bovine milk will enhance the understanding of biological pathways involved in fatty acid synthesis and may point to opportunities for changing milk fat composition via selective breeding. An association study of 50,000 single nucleotide polymorphisms (SNPs) was performed for even-chain saturated fatty acids (C4:0-C18:0), even-chain monounsaturated fatty acids (C10:1-C18:1), and the polyunsaturated C18:2cis9,trans11 (CLA) to identify genomic regions associated with individual fatty acids in bovine milk.Results: The two-step single SNP association analysis found a total of 54 regions on 29 chromosomes that were significantly associated with one or more fatty acids. Bos taurus autosomes (BTA) 14, 19, and 26 showed highly significant associations with seven to ten traits, explaining a relatively large percentage of the total additive genetic variation. Many additional regions were significantly associated with the fatty acids. Some of the regions harbor genes that are known to be involved in fat synthesis or were previously identified as underlying quantitative trait loci for fat yield or content, such as ABCG2 and PPARGC1A on BTA 6; ACSS2 on BTA 13; DGAT1 on BTA 14; ACLY, SREBF1, STAT5A, GH, and FASN on BTA 19; SCD1 on BTA26; and AGPAT6 on BTA 27.Conclusions: Medium chain and unsaturated fatty acids are strongly influenced by polymorphisms in DGAT1 and SCD1. Other regions also showed significant associations with the fatty acids studied. These additional regions explain a relatively small percentage of the total additive genetic variance, but they are relevant to the total genetic merit of an individual and in unraveling the genetic background of milk fat composition. Regions identified in this study can be fine mapped to find causal mutations. The results also create opportunities for changing milk fat composition through breeding by selecting individuals based on their genetic merit for milk fat composition. © 2011 Bouwman et al; licensee BioMed Central Ltd.","author":[{"dropping-particle":"","family":"Bouwman","given":"Aniek C.","non-dropping-particle":"","parse-names":false,"suffix":""},{"dropping-particle":"","family":"Bovenhuis","given":"Henk","non-dropping-particle":"","parse-names":false,"suffix":""},{"dropping-particle":"","family":"Visker","given":"Marleen H.P.W.","non-dropping-particle":"","parse-names":false,"suffix":""},{"dropping-particle":"","family":"Arendonk","given":"Johan A.M.","non-dropping-particle":"van","parse-names":false,"suffix":""}],"container-title":"BMC Genetics","id":"ITEM-2","issue":"1","issued":{"date-parts":[["2011","5","11"]]},"page":"43","publisher":"BioMed Central","title":"Genome-wide association of milk fatty acids in Dutch dairy cattle","type":"article-journal","volume":"12"},"uris":["http://www.mendeley.com/documents/?uuid=0f15dbc4-c695-3a02-ad66-c60155b21f97"]},{"id":"ITEM-3","itemData":{"DOI":"10.1186/1471-2156-13-21","ISSN":"14712156","PMID":"22449276","abstract":"Background: Contemporary dairy breeding goals have broadened to include, along with milk production traits, a number of non-production-related traits in an effort to improve the overall functionality of the dairy cow. Increased indirect selection for resistance to mastitis, one of the most important production-related diseases in the dairy sector, via selection for reduced somatic cell count has been part of these broadened goals. A number of genome-wide association studies have identified genetic variants associated with milk production traits and mastitis resistance, however the majority of these studies have been based on animals which were predominantly kept in confinement and fed a concentrate-based diet (i.e. high-input production systems). This genome-wide association study aims to detect associations using genotypic and phenotypic data from Irish Holstein-Friesian cattle fed predominantly grazed grass in a pasture-based production system (low-input).Results: Significant associations were detected for milk yield, fat yield, protein yield, fat percentage, protein percentage and somatic cell score using separate single-locus, frequentist and multi-locus, Bayesian approaches. These associations were detected using two separate populations of Holstein-Friesian sires and cows. In total, 1,529 and 37 associations were detected in the sires using a single SNP regression and a Bayesian method, respectively. There were 103 associations in common between the sires and cows across all the traits. As well as detecting associations within known QTL regions, a number of novel associations were detected; the most notable of these was a region of chromosome 13 associated with milk yield in the population of Holstein-Friesian sires.Conclusions: A total of 276 of novel SNPs were detected in the sires using a single SNP regression approach. Although obvious candidate genes may not be initially forthcoming, this study provides a preliminary framework upon which to identify the causal mechanisms underlying the various milk production traits and somatic cell score. Consequently this will deepen our understanding of how these traits are expressed. © 2012 Meredith et al; licensee BioMed Central Ltd.","author":[{"dropping-particle":"","family":"Meredith","given":"Brian K.","non-dropping-particle":"","parse-names":false,"suffix":""},{"dropping-particle":"","family":"Kearney","given":"Francis J.","non-dropping-particle":"","parse-names":false,"suffix":""},{"dropping-particle":"","family":"Finlay","given":"Emma K.","non-dropping-particle":"","parse-names":false,"suffix":""},{"dropping-particle":"","family":"Bradley","given":"Daniel G.","non-dropping-particle":"","parse-names":false,"suffix":""},{"dropping-particle":"","family":"Fahey","given":"Alan G.","non-dropping-particle":"","parse-names":false,"suffix":""},{"dropping-particle":"","family":"Berry","given":"Donagh P.","non-dropping-particle":"","parse-names":false,"suffix":""},{"dropping-particle":"","family":"Lynn","given":"David J.","non-dropping-particle":"","parse-names":false,"suffix":""}],"container-title":"BMC Genetics","id":"ITEM-3","issue":"1","issued":{"date-parts":[["2012","3","26"]]},"page":"21","publisher":"BioMed Central","title":"Genome-wide associations for milk production and somatic cell score in Holstein-Friesian cattle in Ireland","type":"article-journal","volume":"13"},"uris":["http://www.mendeley.com/documents/?uuid=120c3a2d-4807-3f2e-b4ba-7fbf90b7964d"]},{"id":"ITEM-4","itemData":{"DOI":"10.1038/srep31109","ISSN":"20452322","PMID":"27506634","abstract":"High-throughput sequencing technologies have increased the ability to detect sequence variations for complex trait improvement. A high throughput genome wide genotyping-by-sequencing (GBS) method was used to generate 515,787 single nucleotide polymorphisms (SNPs), from which 76,355 SNPs with call rates &gt;85% and minor allele frequency ≥1.5% were used in genome wide association study (GWAS) of 44 milk traits in 1,246 Canadian Holstein cows. GWAS was accomplished with a mixed linear model procedure implementing the additive and dominant models. A strong signal within the centromeric region of bovine chromosome 14 was associated with test day fat percentage. Several SNPs were associated with eicosapentaenoic acid, docosapentaenoic acid, arachidonic acid, CLA:9c11t and gamma linolenic acid. Most of the significant SNPs for 44 traits studied are novel and located in intergenic regions or introns of genes. Novel potential candidate genes for milk traits or mammary gland functions include ERCC6, TONSL, NPAS2, ACER3, ITGB4, GGT6, ACOX3, MECR, ADAM12, ACHE, LRRC14, FUK, NPRL3, EVL, SLCO3A1, PSMA4, FTO, ADCK5, PP1R16A and TEP1. Our study further demonstrates the utility of the GBS approach for identifying population-specific SNPs for use in improvement of complex dairy traits.","author":[{"dropping-particle":"","family":"Ibeagha-Awemu","given":"Eveline M.","non-dropping-particle":"","parse-names":false,"suffix":""},{"dropping-particle":"","family":"Peters","given":"Sunday O.","non-dropping-particle":"","parse-names":false,"suffix":""},{"dropping-particle":"","family":"Akwanji","given":"Kingsley A.","non-dropping-particle":"","parse-names":false,"suffix":""},{"dropping-particle":"","family":"Imumorin","given":"Ikhide G.","non-dropping-particle":"","parse-names":false,"suffix":""},{"dropping-particle":"","family":"Zhao","given":"Xin","non-dropping-particle":"","parse-names":false,"suffix":""}],"container-title":"Scientific Reports","id":"ITEM-4","issue":"1","issued":{"date-parts":[["2016","8","10"]]},"page":"1-18","publisher":"Nature Publishing Group","title":"High density genome wide genotyping-by-sequencing and association identifies common and low frequency SNPs, and novel candidate genes influencing cow milk traits","type":"article-journal","volume":"6"},"uris":["http://www.mendeley.com/documents/?uuid=62cbc5cd-f96c-37d4-9eff-49acc72ad82b"]},{"id":"ITEM-5","itemData":{"DOI":"10.1371/journal.pone.0139906","ISSN":"1932-6203","abstract":"Understanding the genetic architecture of beef cattle growth cannot be limited simply to the genome-wide association study (GWAS) for body weight at any specific ages, but should be extended to a more general purpose by considering the whole growth trajectory over time using a growth curve approach. For such an approach, the parameters that are used to describe growth curves were treated as phenotypes under a GWAS model. Data from 1,255 Brahman cattle that were weighed at birth, 6, 12, 15, 18, and 24 months of age were analyzed. Parameter estimates, such as mature weight (A) and maturity rate (K) from nonlinear models are utilized as substitutes for the original body weights for the GWAS analysis. We chose the best nonlinear model to describe the weight-age data, and the estimated parameters were used as phenotypes in a multi-trait GWAS. Our aims were to identify and characterize associated SNP markers to indicate SNP-derived candidate genes and annotate their function as related to growth processes in beef cattle. The Brody model presented the best goodness of fit, and the heritability values for the parameter estimates for mature weight (A) and maturity rate (K) were 0.23 and 0.32, respectively, proving that these traits can be a feasible alternative when the objective is to change the shape of growth curves within genetic improvement programs. The genetic correlation between A and K was -0.84, indicating that animals with lower mature body weights reached that weight at younger ages. One hundred and sixty seven (167) and two hundred and sixty two (262) significant SNPs were associated with A and K, respectively. The annotated genes closest to the most significant SNPs for A had direct biological functions related to muscle development (RAB28), myogenic induction (BTG1), fetal growth (IL2), and body weights (APEX2); K genes were functionally associated with body weight, body height, average daily gain (TMEM18), and skeletal muscle development (SMN1). Candidate genes emerging from this GWAS may inform the search for causative mutations that could underpin genomic breeding for improved growth rates. Copyright:","author":[{"dropping-particle":"","family":"Crispim","given":"Aline Camporez","non-dropping-particle":"","parse-names":false,"suffix":""},{"dropping-particle":"","family":"Kelly","given":"Matthew John","non-dropping-particle":"","parse-names":false,"suffix":""},{"dropping-particle":"","family":"Guimarães","given":"Simone Eliza Facioni","non-dropping-particle":"","parse-names":false,"suffix":""},{"dropping-particle":"","family":"e Silva","given":"Fabyano Fonseca","non-dropping-particle":"","parse-names":false,"suffix":""},{"dropping-particle":"","family":"Fortes","given":"Marina Rufino Salinas","non-dropping-particle":"","parse-names":false,"suffix":""},{"dropping-particle":"","family":"Wenceslau","given":"Raphael Rocha","non-dropping-particle":"","parse-names":false,"suffix":""},{"dropping-particle":"","family":"Moore","given":"Stephen","non-dropping-particle":"","parse-names":false,"suffix":""}],"container-title":"PLOS ONE","editor":[{"dropping-particle":"","family":"Wu","given":"Rongling","non-dropping-particle":"","parse-names":false,"suffix":""}],"id":"ITEM-5","issue":"10","issued":{"date-parts":[["2015","10","7"]]},"page":"e0139906","publisher":"Public Library of Science","title":"Multi-Trait GWAS and New Candidate Genes Annotation for Growth Curve Parameters in Brahman Cattle","type":"article-journal","volume":"10"},"uris":["http://www.mendeley.com/documents/?uuid=a625c335-e6e2-3d56-9700-f72ce8d1ba77"]},{"id":"ITEM-6","itemData":{"DOI":"10.1111/age.12865","PMID":"31633203","abstract":"GWAS has been proven to be a powerful tool for detecting genetic variants associated with economically important traits such as production, 1,2 body conformation 3,4 and reproduction traits, 5 and diseases. 6 The objective of this study was to identify SNPs with significant association effects on body conformation traits in Chinese Holstein through the GWAS approach. The experimental population consisted of 445 Chinese Holstein cows, with parity no. 2, raised at four farms in Shandong province of China. Hair follicle samples were collected individually within four days in the same season. In total, 29 body conformation traits were analyzed by GWAS. There were 23 phenotypes measured individually on 1-9 scores, which were body height, height at front end, body depth, chest width, stature, angularity, rump angle (RA), pin width, loin strength, foot angle, heel depth, bone quality, rear legs-side view, rear legs-rear view, udder depth, udder texture, median suspensory, fore udder attachment, front teat placement, attachment height, attachment width (AW), rear teat placement and teat length. The remaining six functional body conforma-tion traits, measured on 1-100 scores, were stature score, rump system score, feet and legs score, udder system score, mammary system score and conformation final score (FS). The definitions of these conformation traits for cattle are available on the website of Canadian Dairy Network (https://www.cdn.ca/articles.php). The summary statistics of these phenotypes are listed in Table S1. Each experimental animal was genotyped by the GGP BovineLD V3 SNP chip, containing 26 151 public SNPs. Because all of the animals in these study populations were female, the SNPs from the X chromosome were also counted. The data quality control procedure excluded individuals with more than 10% missing genotypes and SNPs with a call rate of less than 90%, MAF less than 3% or P-value of the Hardy-Weinberg Equilibrium test less than 1.0E À 6. Finally, 421 animals with 20 632 SNP genotypes were retained for the subsequent GWAS analysis. Physical map length, the number of SNPs and SNP density on each chromosome based on reference genome UMD3.1, before and after the data cleaning procedure, are shown in Table S2. Results of pair-wise LD analysis of the 421 animals from four different farms showed high similarity of LD patterns among the whole population, indicating that similar breeding histories were shared by the four subpopulations (data not provided)…","author":[{"dropping-particle":"","family":"Yan","given":"Zhengui","non-dropping-particle":"","parse-names":false,"suffix":""},{"dropping-particle":"","family":"Wang","given":"Zhonghua","non-dropping-particle":"","parse-names":false,"suffix":""},{"dropping-particle":"","family":"Zhang","given":"Qin","non-dropping-particle":"","parse-names":false,"suffix":""},{"dropping-particle":"","family":"Yue","given":"Shujian","non-dropping-particle":"","parse-names":false,"suffix":""},{"dropping-particle":"","family":"Yin","given":"Bin","non-dropping-particle":"","parse-names":false,"suffix":""},{"dropping-particle":"","family":"Jiang","given":"Yunliang","non-dropping-particle":"","parse-names":false,"suffix":""},{"dropping-particle":"","family":"Shi","given":"Kerong","non-dropping-particle":"","parse-names":false,"suffix":""}],"container-title":"Animal Genetics","id":"ITEM-6","issue":"1","issued":{"date-parts":[["2020","2"]]},"page":"141-146","publisher":"Blackwell Publishing Ltd","title":"Identification of whole‐genome significant single nucleotide polymorphisms in candidate genes associated with body conformation traits in Chinese Holstein cattle","type":"article-journal","volume":"51"},"uris":["http://www.mendeley.com/documents/?uuid=6e36cd72-40aa-472f-a897-f04b9aca38d6"]},{"id":"ITEM-7","itemData":{"DOI":"10.1186/s12864-019-5935-3","ISSN":"14712164","PMID":"31299913","abstract":"Background: Subfertility is one challenge facing the dairy industry as the average Holstein heifer conception rate (HCR), the proportion of heifers that conceive and maintain a pregnancy per breeding, is estimated at 55-60%. Of the loci associated with HCR, few have been validated in an independent cattle population, limiting their usefulness for selection or furthering our understanding of the mechanisms involved in successful pregnancy. Therefore, the objectives here were to identify loci associated with HCR: 1) to the first artificial insemination (AI) service (HCR1), 2) to repeated AI services required for a heifer to conceive (TBRD) and 3) to validate loci previously associated with fertility. Breeding and health records from 3359 Holstein heifers were obtained after heifers were bred by AI at observed estrus, with pregnancy determined at day 35 via palpation. Heifer DNA was genotyped using the Illumina BovineHD BeadChip, and genome-wide association analyses (GWAA) were performed with additive, dominant and recessive models using the Efficient Mixed Model Association eXpedited (EMMAX) method with a relationship matrix for two phenotypes. The HCR1 GWAA compared heifers that were pregnant after the first AI service (n = 497) to heifers that were open following the first AI service (n = 405), which included those that never conceived. The TBRD GWAA compared only those heifers which did conceive, across variable numbers of AI service (n = 712). Comparison of loci previously associated with fertility, HCR1 or TBRD were considered the same locus for validation when in linkage disequilibrium (D' &gt; 0.7). Results: The HCR1 GWAA identified 116, 187 and 28 loci associated (P &lt; 5 × 10- 8) in additive, dominant and recessive models, respectively. The TBRD GWAA identified 235, 362, and 69 QTL associated (P &lt; 5 × 10- 8) with additive, dominant and recessive models, respectively. Loci previously associated with fertility were in linkage disequilibrium with 22 loci shared with HCR1 and TBRD, 5 HCR1 and 19 TBRD loci. Conclusions: Loci associated with HCR1 and TBRD that have been identified and validated can be used to improve HCR through genomic selection, and to better understand possible mechanisms associated with subfertility.","author":[{"dropping-particle":"","family":"Kiser","given":"Jennifer N.","non-dropping-particle":"","parse-names":false,"suffix":""},{"dropping-particle":"","family":"Keuter","given":"Elizabeth M.","non-dropping-particle":"","parse-names":false,"suffix":""},{"dropping-particle":"","family":"Seabury","given":"Christopher M.","non-dropping-particle":"","parse-names":false,"suffix":""},{"dropping-particle":"","family":"Neupane","given":"Mahesh","non-dropping-particle":"","parse-names":false,"suffix":""},{"dropping-particle":"","family":"Moraes","given":"Joao G.N.","non-dropping-particle":"","parse-names":false,"suffix":""},{"dropping-particle":"","family":"Dalton","given":"Joseph","non-dropping-particle":"","parse-names":false,"suffix":""},{"dropping-particle":"","family":"Burns","given":"Gregory W.","non-dropping-particle":"","parse-names":false,"suffix":""},{"dropping-particle":"","family":"Spencer","given":"Thomas E.","non-dropping-particle":"","parse-names":false,"suffix":""},{"dropping-particle":"","family":"Neibergs","given":"Holly L.","non-dropping-particle":"","parse-names":false,"suffix":""}],"container-title":"BMC Genomics","id":"ITEM-7","issue":"1","issued":{"date-parts":[["2019","7","12"]]},"page":"576","publisher":"BioMed Central Ltd.","title":"Validation of 46 loci associated with female fertility traits in cattle","type":"article-journal","volume":"20"},"uris":["http://www.mendeley.com/documents/?uuid=89eb3da7-d86c-3efc-9759-112ebb7713bc"]},{"id":"ITEM-8","itemData":{"DOI":"10.1186/s12864-017-4308-z","abstract":"Background: The detection of quantitative trait loci has accelerated with recent developments in genomics. The introduction of genomic selection in combination with sequencing efforts has made a large amount of genotypic data available. Functional traits such as fertility and calving traits have been included in routine genomic estimation of breeding values making large quantities of phenotypic data available for these traits. This data was used to investigate the genetics underlying fertility and calving traits and to identify potentially causative genomic regions and variants. We performed genome-wide association studies for 13 functional traits related to female fertility as well as for direct and maternal calving ease based on imputed whole-genome sequences. Deregressed breeding values from ~1000-5000 bulls per trait were used to test for associations with approximately 10 million imputed sequence SNPs.","author":[{"dropping-particle":"","family":"Frischknecht","given":"Mirjam","non-dropping-particle":"","parse-names":false,"suffix":""},{"dropping-particle":"","family":"Seefried","given":"Franz R","non-dropping-particle":"","parse-names":false,"suffix":""},{"dropping-particle":"","family":"Signer-Hasler","given":"Heidi","non-dropping-particle":"","parse-names":false,"suffix":""},{"dropping-particle":"","family":"Garrick","given":"Dorian","non-dropping-particle":"","parse-names":false,"suffix":""},{"dropping-particle":"","family":"Stricker","given":"Christian","non-dropping-particle":"","parse-names":false,"suffix":""},{"dropping-particle":"","family":"Consortium","given":"Intergenomics","non-dropping-particle":"","parse-names":false,"suffix":""},{"dropping-particle":"","family":"Fries","given":"Ruedi","non-dropping-particle":"","parse-names":false,"suffix":""},{"dropping-particle":"","family":"Russ","given":"Ingolf","non-dropping-particle":"","parse-names":false,"suffix":""},{"dropping-particle":"","family":"Sölkner","given":"Johann","non-dropping-particle":"","parse-names":false,"suffix":""},{"dropping-particle":"","family":"Bieber","given":"Anna","non-dropping-particle":"","parse-names":false,"suffix":""},{"dropping-particle":"","family":"Strillacci","given":"Maria G","non-dropping-particle":"","parse-names":false,"suffix":""},{"dropping-particle":"","family":"Gredler-Grandl","given":"Birgit","non-dropping-particle":"","parse-names":false,"suffix":""},{"dropping-particle":"","family":"Flury","given":"Christine","non-dropping-particle":"","parse-names":false,"suffix":""}],"container-title":"BMC Genomics","id":"ITEM-8","issue":"910","issued":{"date-parts":[["2017"]]},"page":"1-13","title":"Genome-wide association studies of fertility and calving traits in Brown Swiss cattle using imputed whole-genome sequences","type":"article-journal","volume":"18"},"uris":["http://www.mendeley.com/documents/?uuid=cd19663a-e5d3-3df5-a013-1f56b3b3a75d"]}],"mendeley":{"formattedCitation":"[2, 3, 7, 33, 38, 58–60]","plainTextFormattedCitation":"[2, 3, 7, 33, 38, 58–60]","previouslyFormattedCitation":"[2, 3, 7, 33, 38, 58–60]"},"properties":{"noteIndex":0},"schema":"https://github.com/citation-style-language/schema/raw/master/csl-citation.json"}</w:instrText>
            </w:r>
            <w:r w:rsidRPr="00DD24FA">
              <w:rPr>
                <w:rFonts w:ascii="Times New Roman" w:hAnsi="Times New Roman" w:cs="Times New Roman"/>
                <w:sz w:val="18"/>
                <w:szCs w:val="18"/>
              </w:rPr>
              <w:fldChar w:fldCharType="separate"/>
            </w:r>
            <w:r w:rsidR="00745C58" w:rsidRPr="00DD24FA">
              <w:rPr>
                <w:rFonts w:ascii="Times New Roman" w:hAnsi="Times New Roman" w:cs="Times New Roman"/>
                <w:noProof/>
                <w:sz w:val="18"/>
                <w:szCs w:val="18"/>
              </w:rPr>
              <w:t>[2, 3, 7, 33, 38, 58–60]</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Human, cattle; Obesity and type II diabetes, milk fat percentage, mature weight, body height, intramuscular fat, shear force, conception rate</w:t>
            </w:r>
          </w:p>
        </w:tc>
      </w:tr>
      <w:tr w:rsidR="00DD24FA" w14:paraId="752EE88E"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483C415F" w14:textId="7B774CC9" w:rsidR="001B22CD" w:rsidRPr="00DD24FA" w:rsidRDefault="001B22CD"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6_42</w:t>
            </w:r>
            <w:r w:rsidR="00E13A86" w:rsidRPr="00DD24FA">
              <w:rPr>
                <w:rFonts w:ascii="Times New Roman" w:hAnsi="Times New Roman" w:cs="Times New Roman"/>
                <w:i/>
                <w:sz w:val="18"/>
                <w:szCs w:val="18"/>
                <w:vertAlign w:val="superscript"/>
              </w:rPr>
              <w:t>f</w:t>
            </w:r>
          </w:p>
        </w:tc>
        <w:tc>
          <w:tcPr>
            <w:tcW w:w="369" w:type="pct"/>
            <w:tcBorders>
              <w:top w:val="single" w:sz="4" w:space="0" w:color="auto"/>
              <w:left w:val="single" w:sz="4" w:space="0" w:color="auto"/>
              <w:bottom w:val="single" w:sz="4" w:space="0" w:color="auto"/>
              <w:right w:val="single" w:sz="4" w:space="0" w:color="auto"/>
            </w:tcBorders>
            <w:hideMark/>
          </w:tcPr>
          <w:p w14:paraId="4AA4B29A"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sz w:val="18"/>
                <w:szCs w:val="18"/>
              </w:rPr>
              <w:t>5.236</w:t>
            </w:r>
          </w:p>
        </w:tc>
        <w:tc>
          <w:tcPr>
            <w:tcW w:w="554" w:type="pct"/>
            <w:tcBorders>
              <w:top w:val="single" w:sz="4" w:space="0" w:color="auto"/>
              <w:left w:val="single" w:sz="4" w:space="0" w:color="auto"/>
              <w:bottom w:val="single" w:sz="4" w:space="0" w:color="auto"/>
              <w:right w:val="single" w:sz="4" w:space="0" w:color="auto"/>
            </w:tcBorders>
            <w:hideMark/>
          </w:tcPr>
          <w:p w14:paraId="2B6496A9"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sz w:val="18"/>
                <w:szCs w:val="18"/>
              </w:rPr>
              <w:t>9.807</w:t>
            </w:r>
          </w:p>
        </w:tc>
        <w:tc>
          <w:tcPr>
            <w:tcW w:w="328" w:type="pct"/>
            <w:tcBorders>
              <w:top w:val="single" w:sz="4" w:space="0" w:color="auto"/>
              <w:left w:val="single" w:sz="4" w:space="0" w:color="auto"/>
              <w:bottom w:val="single" w:sz="4" w:space="0" w:color="auto"/>
              <w:right w:val="single" w:sz="4" w:space="0" w:color="auto"/>
            </w:tcBorders>
            <w:hideMark/>
          </w:tcPr>
          <w:p w14:paraId="4CF4ADA1"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0.443</w:t>
            </w:r>
          </w:p>
        </w:tc>
        <w:tc>
          <w:tcPr>
            <w:tcW w:w="570" w:type="pct"/>
            <w:tcBorders>
              <w:top w:val="single" w:sz="4" w:space="0" w:color="auto"/>
              <w:left w:val="single" w:sz="4" w:space="0" w:color="auto"/>
              <w:bottom w:val="single" w:sz="4" w:space="0" w:color="auto"/>
              <w:right w:val="single" w:sz="4" w:space="0" w:color="auto"/>
            </w:tcBorders>
            <w:hideMark/>
          </w:tcPr>
          <w:p w14:paraId="61B5EA54"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3</w:t>
            </w:r>
          </w:p>
        </w:tc>
        <w:tc>
          <w:tcPr>
            <w:tcW w:w="748" w:type="pct"/>
            <w:tcBorders>
              <w:top w:val="single" w:sz="4" w:space="0" w:color="auto"/>
              <w:left w:val="single" w:sz="4" w:space="0" w:color="auto"/>
              <w:bottom w:val="single" w:sz="4" w:space="0" w:color="auto"/>
              <w:right w:val="single" w:sz="4" w:space="0" w:color="auto"/>
            </w:tcBorders>
            <w:hideMark/>
          </w:tcPr>
          <w:p w14:paraId="1AEB877D" w14:textId="77777777" w:rsidR="001B22CD" w:rsidRPr="00DD24FA" w:rsidRDefault="001B22CD" w:rsidP="00267B98">
            <w:pPr>
              <w:spacing w:after="0" w:line="240" w:lineRule="auto"/>
              <w:contextualSpacing/>
              <w:jc w:val="center"/>
              <w:rPr>
                <w:rFonts w:ascii="Times New Roman" w:hAnsi="Times New Roman" w:cs="Times New Roman"/>
                <w:i/>
                <w:iCs/>
                <w:color w:val="000000"/>
                <w:sz w:val="18"/>
                <w:szCs w:val="18"/>
              </w:rPr>
            </w:pPr>
            <w:r w:rsidRPr="00DD24FA">
              <w:rPr>
                <w:rFonts w:ascii="Times New Roman" w:hAnsi="Times New Roman" w:cs="Times New Roman"/>
                <w:i/>
                <w:sz w:val="18"/>
                <w:szCs w:val="18"/>
              </w:rPr>
              <w:t>ADGRA3</w:t>
            </w:r>
          </w:p>
        </w:tc>
        <w:tc>
          <w:tcPr>
            <w:tcW w:w="519" w:type="pct"/>
            <w:tcBorders>
              <w:top w:val="single" w:sz="4" w:space="0" w:color="auto"/>
              <w:left w:val="single" w:sz="4" w:space="0" w:color="auto"/>
              <w:bottom w:val="single" w:sz="4" w:space="0" w:color="auto"/>
              <w:right w:val="single" w:sz="4" w:space="0" w:color="auto"/>
            </w:tcBorders>
            <w:hideMark/>
          </w:tcPr>
          <w:p w14:paraId="58B97A42"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Intron</w:t>
            </w:r>
          </w:p>
        </w:tc>
        <w:tc>
          <w:tcPr>
            <w:tcW w:w="1416" w:type="pct"/>
            <w:tcBorders>
              <w:top w:val="single" w:sz="4" w:space="0" w:color="auto"/>
              <w:left w:val="single" w:sz="4" w:space="0" w:color="auto"/>
              <w:bottom w:val="single" w:sz="4" w:space="0" w:color="auto"/>
              <w:right w:val="single" w:sz="4" w:space="0" w:color="auto"/>
            </w:tcBorders>
            <w:hideMark/>
          </w:tcPr>
          <w:p w14:paraId="5E942A7D" w14:textId="279A2A65"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745C58" w:rsidRPr="00DD24FA">
              <w:rPr>
                <w:rFonts w:ascii="Times New Roman" w:hAnsi="Times New Roman" w:cs="Times New Roman"/>
                <w:sz w:val="18"/>
                <w:szCs w:val="18"/>
              </w:rPr>
              <w:instrText>ADDIN CSL_CITATION {"citationItems":[{"id":"ITEM-1","itemData":{"DOI":"10.1186/1471-2156-12-43","ISSN":"14712156","abstract":"Background: Identifying genomic regions, and preferably individual genes, responsible for genetic variation in milk fat composition of bovine milk will enhance the understanding of biological pathways involved in fatty acid synthesis and may point to opportunities for changing milk fat composition via selective breeding. An association study of 50,000 single nucleotide polymorphisms (SNPs) was performed for even-chain saturated fatty acids (C4:0-C18:0), even-chain monounsaturated fatty acids (C10:1-C18:1), and the polyunsaturated C18:2cis9,trans11 (CLA) to identify genomic regions associated with individual fatty acids in bovine milk.Results: The two-step single SNP association analysis found a total of 54 regions on 29 chromosomes that were significantly associated with one or more fatty acids. Bos taurus autosomes (BTA) 14, 19, and 26 showed highly significant associations with seven to ten traits, explaining a relatively large percentage of the total additive genetic variation. Many additional regions were significantly associated with the fatty acids. Some of the regions harbor genes that are known to be involved in fat synthesis or were previously identified as underlying quantitative trait loci for fat yield or content, such as ABCG2 and PPARGC1A on BTA 6; ACSS2 on BTA 13; DGAT1 on BTA 14; ACLY, SREBF1, STAT5A, GH, and FASN on BTA 19; SCD1 on BTA26; and AGPAT6 on BTA 27.Conclusions: Medium chain and unsaturated fatty acids are strongly influenced by polymorphisms in DGAT1 and SCD1. Other regions also showed significant associations with the fatty acids studied. These additional regions explain a relatively small percentage of the total additive genetic variance, but they are relevant to the total genetic merit of an individual and in unraveling the genetic background of milk fat composition. Regions identified in this study can be fine mapped to find causal mutations. The results also create opportunities for changing milk fat composition through breeding by selecting individuals based on their genetic merit for milk fat composition. © 2011 Bouwman et al; licensee BioMed Central Ltd.","author":[{"dropping-particle":"","family":"Bouwman","given":"Aniek C.","non-dropping-particle":"","parse-names":false,"suffix":""},{"dropping-particle":"","family":"Bovenhuis","given":"Henk","non-dropping-particle":"","parse-names":false,"suffix":""},{"dropping-particle":"","family":"Visker","given":"Marleen H.P.W.","non-dropping-particle":"","parse-names":false,"suffix":""},{"dropping-particle":"","family":"Arendonk","given":"Johan A.M.","non-dropping-particle":"van","parse-names":false,"suffix":""}],"container-title":"BMC Genetics","id":"ITEM-1","issue":"1","issued":{"date-parts":[["2011","5","11"]]},"page":"43","publisher":"BioMed Central","title":"Genome-wide association of milk fatty acids in Dutch dairy cattle","type":"article-journal","volume":"12"},"uris":["http://www.mendeley.com/documents/?uuid=0f15dbc4-c695-3a02-ad66-c60155b21f97"]},{"id":"ITEM-2","itemData":{"DOI":"10.1186/1471-2164-15-442","ISSN":"14712164","abstract":"Background: The availability of high-density SNP assays including the BovineSNP50 (50 K) enables the identification of novel quantitative trait loci (QTL) and improvement of the resolution of the locations of previously mapped QTL. We performed a series of genome-wide association studies (GWAS) using 50 K genotypes scored in 18,274 animals from 10 US beef cattle breeds with observations for twelve body weights, calving ease and carcass traits.Results: A total of 159 large-effects QTL (defined as 1-Mb genome windows explaining more than 1% of additive genetic variance) were identified. In general, more QTL were identified in analyses with bigger sample sizes. Four large-effect pleiotropic or closely linked QTLs located on BTA6 at 37-42 Mb (primarily at 38 Mb), on BTA7 at 93 Mb, on BTA14 at 23-26 Mb (primarily at 25 Mb) and on BTA20 at 4 Mb were identified in more than one breed. Several breed-specific large-effect pleiotropic or closely linked QTL were also identified. Some identified QTL regions harbor genes known to have large effects on a variety of traits in cattle such as PLAG1 and MSTN and others harbor promising candidate genes including NCAPG, ARRDC3, ERGIC1, SH3PXD2B, HMGA2, MSRB3, LEMD3, TIGAR, SEPT7, and KIRREL3. Gene ontology analysis revealed that genes involved in ossification and in adipose tissue development were over-represented in the identified pleiotropic QTL. Also, the MAPK signaling pathway was identified as a common pathway affected by the genes located near the pleiotropic QTL.Conclusions: This largest GWAS ever performed in beef cattle, led us to discover several novel across-breed and breed-specific large-effect pleiotropic QTL that cumulatively account for a significant percentage of additive genetic variance (e.g. more than a third of additive genetic variance of birth and mature weights; and calving ease direct in Hereford). These results will improve our understanding of the biology of growth and body composition in cattle. © 2014 Saatchi et al.; licensee BioMed Central Ltd.","author":[{"dropping-particle":"","family":"Saatchi","given":"Mahdi","non-dropping-particle":"","parse-names":false,"suffix":""},{"dropping-particle":"","family":"Schnabel","given":"Robert D.","non-dropping-particle":"","parse-names":false,"suffix":""},{"dropping-particle":"","family":"Taylor","given":"Jeremy F.","non-dropping-particle":"","parse-names":false,"suffix":""},{"dropping-particle":"","family":"Garrick","given":"Dorian J.","non-dropping-particle":"","parse-names":false,"suffix":""}],"container-title":"BMC Genomics","id":"ITEM-2","issue":"1","issued":{"date-parts":[["2014","6","6"]]},"publisher":"BioMed Central Ltd.","title":"Large-effect pleiotropic or closely linked QTL segregate within and across ten US cattle breeds","type":"article-journal","volume":"15"},"uris":["http://www.mendeley.com/documents/?uuid=56d0e91b-25fa-3cba-8839-4943cef581f2"]},{"id":"ITEM-3","itemData":{"DOI":"10.2527/jas.2012-5716","ISSN":"0021-8812","abstract":"A genome-wide association study using the Illumina 50K BeadChip included 38,745 SNP on 29 BTA analyzed on 751 animals, including 33 purebreds and 718 crossbred cattle. Genotypes and 6 production traits: birth weight (BWT), weaning weight (WWT), ADG, DMI, midtest metabolic BW (MMWT), and residual feed intake (RFI), were used to estimate effects of individual SNP on the traits. At the genome-wide level false discovery rate (FDR &lt; 10%), 41 and 5 SNP were found significantly associated with BWT and WWT, respectively. Thirty-three of them were located on BTA6. At a less stringent significance level (P &lt; 0.001), 277 and 27 SNP were in association with single traits and multiple traits, respectively. Seventy-three SNP on BTA6 and were mostly associated with BW-related traits, and heavily located around 30 to 50Mb. Markers that significantly affected multiple traits appeared to impact them in same direction. In terms of the size of SNP effect, the significant SNP (P &lt; 0.001) explained between 0.26 and 8.06% of the phenotypic variation in the traits. Pairs of traits with low genetic correlation, such as ADG vs. RFI or DMI vs. BWT, appeared to be controlled by 2 groups of SNP; 1 of them affected the traits in same direction, the other worked in opposite direction. This study provides useful information to further assist the identification of chromosome regions and subsequently genes affecting growth and feed efficiency traits in beef cattle. © 2013 American Society of Animal Science. All rights reserved.","author":[{"dropping-particle":"","family":"Lu","given":"D.","non-dropping-particle":"","parse-names":false,"suffix":""},{"dropping-particle":"","family":"Miller","given":"S.","non-dropping-particle":"","parse-names":false,"suffix":""},{"dropping-particle":"","family":"Sargolzaei","given":"M.","non-dropping-particle":"","parse-names":false,"suffix":""},{"dropping-particle":"","family":"Kelly","given":"M.","non-dropping-particle":"","parse-names":false,"suffix":""},{"dropping-particle":"","family":"Voort","given":"G.","non-dropping-particle":"Vander","parse-names":false,"suffix":""},{"dropping-particle":"","family":"Caldwell","given":"T.","non-dropping-particle":"","parse-names":false,"suffix":""},{"dropping-particle":"","family":"Wang","given":"Z.","non-dropping-particle":"","parse-names":false,"suffix":""},{"dropping-particle":"","family":"Plastow","given":"G.","non-dropping-particle":"","parse-names":false,"suffix":""},{"dropping-particle":"","family":"Moore","given":"S.","non-dropping-particle":"","parse-names":false,"suffix":""}],"container-title":"Journal of Animal Science","id":"ITEM-3","issue":"8","issued":{"date-parts":[["2013","8","1"]]},"page":"3612-3633","publisher":"Oxford Academic","title":"Genome-wide association analyses for growth and feed efficiency traits in beef cattle","type":"article-journal","volume":"91"},"uris":["http://www.mendeley.com/documents/?uuid=772ba886-36b3-322a-94cb-4819a8c84066"]},{"id":"ITEM-4","itemData":{"DOI":"10.3390/genes11070767","ISSN":"2073-4425","abstract":"&lt;p&gt;Heifer conception rate (HCR) is defined as the percentage of inseminated heifers that become pregnant at each service. The genome-wide association analyses in this study focused on identifying the loci associated with Holstein heifer (n = 2013) conception rate at first service (HCR1) and the number of times bred (TBRD) to achieve a pregnancy. There were 348 unique loci associated (p &amp;lt; 5 × 10−8) with HCR1 and 615 unique loci associated (p &amp;lt; 5 × 10−8) with TBRD. The two phenotypes shared 302 loci, and 56 loci were validated in independent cattle populations. There were 52 transcription factor binding sites (TFBS) and 552 positional candidate genes identified in the HCR1- and TBRD-associated loci. The positional candidate genes and the TFBS associated with HCR1 and TBRD were used in the ingenuity pathway analysis (IPA). In the IPA, 11 pathways, 207 master regulators and 11 upstream regulators were associated (p &amp;lt; 1.23 × 10−5) with HCR1 and TBRD. The validated loci associated with both HCR1 and TBRD make good candidates for genomic selection and further investigations to elucidate the mechanisms associated with subfertility and infertility.&lt;/p&gt;","author":[{"dropping-particle":"","family":"Galliou","given":"Justine M.","non-dropping-particle":"","parse-names":false,"suffix":""},{"dropping-particle":"","family":"Kiser","given":"Jennifer N.","non-dropping-particle":"","parse-names":false,"suffix":""},{"dropping-particle":"","family":"Oliver","given":"Kayleen F.","non-dropping-particle":"","parse-names":false,"suffix":""},{"dropping-particle":"","family":"Seabury","given":"Christopher M.","non-dropping-particle":"","parse-names":false,"suffix":""},{"dropping-particle":"","family":"Moraes","given":"Joao G. N.","non-dropping-particle":"","parse-names":false,"suffix":""},{"dropping-particle":"","family":"Burns","given":"Gregory W.","non-dropping-particle":"","parse-names":false,"suffix":""},{"dropping-particle":"","family":"Spencer","given":"Thomas E.","non-dropping-particle":"","parse-names":false,"suffix":""},{"dropping-particle":"","family":"Dalton","given":"Joseph","non-dropping-particle":"","parse-names":false,"suffix":""},{"dropping-particle":"","family":"Neibergs","given":"Holly L.","non-dropping-particle":"","parse-names":false,"suffix":""}],"container-title":"Genes","id":"ITEM-4","issue":"7","issued":{"date-parts":[["2020","7","8"]]},"page":"767","publisher":"MDPI AG","title":"Identification of Loci and Pathways Associated with Heifer Conception Rate in U.S. Holsteins","type":"article-journal","volume":"11"},"uris":["http://www.mendeley.com/documents/?uuid=3eab597e-823a-3e79-93bb-dd7d1f36ef1d"]},{"id":"ITEM-5","itemData":{"DOI":"10.1017/S1751731112001152","ISSN":"17517311","PMID":"23031337","abstract":"Genome-wide association studies for difficult-to-measure traits are generally limited by the sample size with accurate phenotypic data. The objective of this study was to utilise data on primiparous Holstein-Friesian cows from experimental farms in Ireland, the United Kingdom, the Netherlands and Sweden to identify genomic regions associated with the feed utilisation complex: fat and protein corrected milk yield (FPCM), dry matter intake (DMI), body condition score (BCS) and live-weight (LW). Phenotypic data and 37 590 single nucleotide polymorphisms (SNPs) were available on up to 1629 animals. Genetic parameters of the traits were estimated using a linear animal model with pedigree information, and univariate genome-wide association analyses were undertaken using Bayesian stochastic search variable selection performed using Gibbs sampling. The variation in the phenotypes explained by the SNPs on each chromosome was related to the size of the chromosome and was relatively consistent for each trait with the possible exceptions of BTA4 for BCS, BTA7, BTA13, BTA14, BTA18 for LW and BTA27 for DMI. For LW, BCS, DMI and FPCM, 266, 178, 206 and 254 SNPs had a Bayes factor &gt;3, respectively. Olfactory genes and genes involved in the sensory smell process were overrepresented in a 500 kbp window around the significant SNPs. Potential candidate genes were involved with functions linked to insulin, epidermal growth factor and tryptophan. © The Animal Consortium 2012.","author":[{"dropping-particle":"","family":"Veerkamp","given":"R. F.","non-dropping-particle":"","parse-names":false,"suffix":""},{"dropping-particle":"","family":"Coffey","given":"M. P.","non-dropping-particle":"","parse-names":false,"suffix":""},{"dropping-particle":"","family":"Berry","given":"D. P.","non-dropping-particle":"","parse-names":false,"suffix":""},{"dropping-particle":"","family":"Haas","given":"Y.","non-dropping-particle":"De","parse-names":false,"suffix":""},{"dropping-particle":"","family":"Strandberg","given":"E.","non-dropping-particle":"","parse-names":false,"suffix":""},{"dropping-particle":"","family":"Bovenhuis","given":"H.","non-dropping-particle":"","parse-names":false,"suffix":""},{"dropping-particle":"","family":"Calus","given":"M. P.L.","non-dropping-particle":"","parse-names":false,"suffix":""},{"dropping-particle":"","family":"Wall","given":"E.","non-dropping-particle":"","parse-names":false,"suffix":""}],"container-title":"Animal","id":"ITEM-5","issue":"11","issued":{"date-parts":[["2012","11"]]},"page":"1738-1749","publisher":"Cambridge University Press","title":"Genome-wide associations for feed utilisation complex in primiparous Holstein-Friesian dairy cows from experimental research herds in four European countries","type":"article-journal","volume":"6"},"uris":["http://www.mendeley.com/documents/?uuid=4f150477-0a2e-3222-ae94-4f5333122c52"]},{"id":"ITEM-6","itemData":{"DOI":"10.1186/s12711-018-0405-y","ISSN":"12979686","PMID":"30290764","abstract":"Background: Heterosis has been suggested to be caused by dominance effects. We performed a joint genome-wide association analysis (GWAS) using data from multi-breed and crossbred beef cattle to identify single nucleotide polymorphisms (SNPs) with significant dominance effects associated with variation in growth and carcass traits and to understand the mode of action of these associations. Methods: Illumina BovineSNP50 genotypes and phenotypes for 11 growth and carcass traits were available for 6796 multi-breed and crossbred beef cattle. After performing quality control, 42,610 SNPs and 6794 animals were used for further analyses. A single-SNP GWAS for the joint association of additive and dominance effects was conducted in purebred, crossbred, and combined datasets using the ASReml software. Genomic breed composition predicted from admixture analyses was included in the mixed effect model to account for possible population stratification and breed effects. A threshold of 10% genome-wide false discovery rate was applied to declare associations as significant. The significant SNPs with dominance association were mapped to their corresponding genes at 100 kb. Results: Seven SNPs with significant dominance associations were detected for birth weight, weaning weight, pre-weaning daily gain, yearling weight and marbling score across the three datasets at a false discovery rate of 10%. These SNPs were located on bovine chromosomes 1, 3, 4, 6 and 21 and mapped to six putative candidate genes: U6atac, AGBL4, bta-mir-2888-1, REPIN1, ICA1 and NXPH1. These genes have interesting biological functions related to the regulation of gene expression, glucose and lipid metabolism and body fat mass. For most of the identified loci, we observed over-dominance association with the studied traits, such that the heterozygous individuals at any of these loci had greater genotypic values for the trait than either of the homozygous individuals. Conclusions: Our results revealed very few regions with significant dominance genetic effects across all the traits studied in the three datasets used. Regarding the SNPs that were detected with dominance associations, further investigation is needed to determine their relevance in crossbreeding programs assuming that dominance effects are the main cause of (or contribute usefully to) heterosis.","author":[{"dropping-particle":"","family":"Akanno","given":"Everestus C.","non-dropping-particle":"","parse-names":false,"suffix":""},{"dropping-particle":"","family":"Chen","given":"Liuhong","non-dropping-particle":"","parse-names":false,"suffix":""},{"dropping-particle":"","family":"Abo-Ismail","given":"Mohammed K.","non-dropping-particle":"","parse-names":false,"suffix":""},{"dropping-particle":"","family":"Crowley","given":"John J.","non-dropping-particle":"","parse-names":false,"suffix":""},{"dropping-particle":"","family":"Wang","given":"Zhiquan","non-dropping-particle":"","parse-names":false,"suffix":""},{"dropping-particle":"","family":"Li","given":"Changxi","non-dropping-particle":"","parse-names":false,"suffix":""},{"dropping-particle":"","family":"Basarab","given":"John A.","non-dropping-particle":"","parse-names":false,"suffix":""},{"dropping-particle":"","family":"MacNeil","given":"Michael D.","non-dropping-particle":"","parse-names":false,"suffix":""},{"dropping-particle":"","family":"Plastow","given":"Graham S.","non-dropping-particle":"","parse-names":false,"suffix":""}],"container-title":"Genetics Selection Evolution","id":"ITEM-6","issue":"1","issued":{"date-parts":[["2018","10","5"]]},"page":"48","publisher":"BioMed Central Ltd.","title":"Genome-wide association scan for heterotic quantitative trait loci in multi-breed and crossbred beef cattle","type":"article-journal","volume":"50"},"uris":["http://www.mendeley.com/documents/?uuid=95b78fad-67ca-35fb-8bdf-68e5c4ff6ef9"]},{"id":"ITEM-7","itemData":{"DOI":"10.1371/journal.pone.0139906","ISSN":"1932-6203","abstract":"Understanding the genetic architecture of beef cattle growth cannot be limited simply to the genome-wide association study (GWAS) for body weight at any specific ages, but should be extended to a more general purpose by considering the whole growth trajectory over time using a growth curve approach. For such an approach, the parameters that are used to describe growth curves were treated as phenotypes under a GWAS model. Data from 1,255 Brahman cattle that were weighed at birth, 6, 12, 15, 18, and 24 months of age were analyzed. Parameter estimates, such as mature weight (A) and maturity rate (K) from nonlinear models are utilized as substitutes for the original body weights for the GWAS analysis. We chose the best nonlinear model to describe the weight-age data, and the estimated parameters were used as phenotypes in a multi-trait GWAS. Our aims were to identify and characterize associated SNP markers to indicate SNP-derived candidate genes and annotate their function as related to growth processes in beef cattle. The Brody model presented the best goodness of fit, and the heritability values for the parameter estimates for mature weight (A) and maturity rate (K) were 0.23 and 0.32, respectively, proving that these traits can be a feasible alternative when the objective is to change the shape of growth curves within genetic improvement programs. The genetic correlation between A and K was -0.84, indicating that animals with lower mature body weights reached that weight at younger ages. One hundred and sixty seven (167) and two hundred and sixty two (262) significant SNPs were associated with A and K, respectively. The annotated genes closest to the most significant SNPs for A had direct biological functions related to muscle development (RAB28), myogenic induction (BTG1), fetal growth (IL2), and body weights (APEX2); K genes were functionally associated with body weight, body height, average daily gain (TMEM18), and skeletal muscle development (SMN1). Candidate genes emerging from this GWAS may inform the search for causative mutations that could underpin genomic breeding for improved growth rates. Copyright:","author":[{"dropping-particle":"","family":"Crispim","given":"Aline Camporez","non-dropping-particle":"","parse-names":false,"suffix":""},{"dropping-particle":"","family":"Kelly","given":"Matthew John","non-dropping-particle":"","parse-names":false,"suffix":""},{"dropping-particle":"","family":"Guimarães","given":"Simone Eliza Facioni","non-dropping-particle":"","parse-names":false,"suffix":""},{"dropping-particle":"","family":"e Silva","given":"Fabyano Fonseca","non-dropping-particle":"","parse-names":false,"suffix":""},{"dropping-particle":"","family":"Fortes","given":"Marina Rufino Salinas","non-dropping-particle":"","parse-names":false,"suffix":""},{"dropping-particle":"","family":"Wenceslau","given":"Raphael Rocha","non-dropping-particle":"","parse-names":false,"suffix":""},{"dropping-particle":"","family":"Moore","given":"Stephen","non-dropping-particle":"","parse-names":false,"suffix":""}],"container-title":"PLOS ONE","editor":[{"dropping-particle":"","family":"Wu","given":"Rongling","non-dropping-particle":"","parse-names":false,"suffix":""}],"id":"ITEM-7","issue":"10","issued":{"date-parts":[["2015","10","7"]]},"page":"e0139906","publisher":"Public Library of Science","title":"Multi-Trait GWAS and New Candidate Genes Annotation for Growth Curve Parameters in Brahman Cattle","type":"article-journal","volume":"10"},"uris":["http://www.mendeley.com/documents/?uuid=a625c335-e6e2-3d56-9700-f72ce8d1ba77"]},{"id":"ITEM-8","itemData":{"DOI":"10.1186/s12864-019-5935-3","ISSN":"14712164","PMID":"31299913","abstract":"Background: Subfertility is one challenge facing the dairy industry as the average Holstein heifer conception rate (HCR), the proportion of heifers that conceive and maintain a pregnancy per breeding, is estimated at 55-60%. Of the loci associated with HCR, few have been validated in an independent cattle population, limiting their usefulness for selection or furthering our understanding of the mechanisms involved in successful pregnancy. Therefore, the objectives here were to identify loci associated with HCR: 1) to the first artificial insemination (AI) service (HCR1), 2) to repeated AI services required for a heifer to conceive (TBRD) and 3) to validate loci previously associated with fertility. Breeding and health records from 3359 Holstein heifers were obtained after heifers were bred by AI at observed estrus, with pregnancy determined at day 35 via palpation. Heifer DNA was genotyped using the Illumina BovineHD BeadChip, and genome-wide association analyses (GWAA) were performed with additive, dominant and recessive models using the Efficient Mixed Model Association eXpedited (EMMAX) method with a relationship matrix for two phenotypes. The HCR1 GWAA compared heifers that were pregnant after the first AI service (n = 497) to heifers that were open following the first AI service (n = 405), which included those that never conceived. The TBRD GWAA compared only those heifers which did conceive, across variable numbers of AI service (n = 712). Comparison of loci previously associated with fertility, HCR1 or TBRD were considered the same locus for validation when in linkage disequilibrium (D' &gt; 0.7). Results: The HCR1 GWAA identified 116, 187 and 28 loci associated (P &lt; 5 × 10- 8) in additive, dominant and recessive models, respectively. The TBRD GWAA identified 235, 362, and 69 QTL associated (P &lt; 5 × 10- 8) with additive, dominant and recessive models, respectively. Loci previously associated with fertility were in linkage disequilibrium with 22 loci shared with HCR1 and TBRD, 5 HCR1 and 19 TBRD loci. Conclusions: Loci associated with HCR1 and TBRD that have been identified and validated can be used to improve HCR through genomic selection, and to better understand possible mechanisms associated with subfertility.","author":[{"dropping-particle":"","family":"Kiser","given":"Jennifer N.","non-dropping-particle":"","parse-names":false,"suffix":""},{"dropping-particle":"","family":"Keuter","given":"Elizabeth M.","non-dropping-particle":"","parse-names":false,"suffix":""},{"dropping-particle":"","family":"Seabury","given":"Christopher M.","non-dropping-particle":"","parse-names":false,"suffix":""},{"dropping-particle":"","family":"Neupane","given":"Mahesh","non-dropping-particle":"","parse-names":false,"suffix":""},{"dropping-particle":"","family":"Moraes","given":"Joao G.N.","non-dropping-particle":"","parse-names":false,"suffix":""},{"dropping-particle":"","family":"Dalton","given":"Joseph","non-dropping-particle":"","parse-names":false,"suffix":""},{"dropping-particle":"","family":"Burns","given":"Gregory W.","non-dropping-particle":"","parse-names":false,"suffix":""},{"dropping-particle":"","family":"Spencer","given":"Thomas E.","non-dropping-particle":"","parse-names":false,"suffix":""},{"dropping-particle":"","family":"Neibergs","given":"Holly L.","non-dropping-particle":"","parse-names":false,"suffix":""}],"container-title":"BMC Genomics","id":"ITEM-8","issue":"1","issued":{"date-parts":[["2019","7","12"]]},"page":"576","publisher":"BioMed Central Ltd.","title":"Validation of 46 loci associated with female fertility traits in cattle","type":"article-journal","volume":"20"},"uris":["http://www.mendeley.com/documents/?uuid=89eb3da7-d86c-3efc-9759-112ebb7713bc"]}],"mendeley":{"formattedCitation":"[1–4, 19, 33, 43, 54]","plainTextFormattedCitation":"[1–4, 19, 33, 43, 54]","previouslyFormattedCitation":"[1–4, 19, 33, 43, 54]"},"properties":{"noteIndex":0},"schema":"https://github.com/citation-style-language/schema/raw/master/csl-citation.json"}</w:instrText>
            </w:r>
            <w:r w:rsidRPr="00DD24FA">
              <w:rPr>
                <w:rFonts w:ascii="Times New Roman" w:hAnsi="Times New Roman" w:cs="Times New Roman"/>
                <w:sz w:val="18"/>
                <w:szCs w:val="18"/>
              </w:rPr>
              <w:fldChar w:fldCharType="separate"/>
            </w:r>
            <w:r w:rsidR="00C3783D" w:rsidRPr="00DD24FA">
              <w:rPr>
                <w:rFonts w:ascii="Times New Roman" w:hAnsi="Times New Roman" w:cs="Times New Roman"/>
                <w:noProof/>
                <w:sz w:val="18"/>
                <w:szCs w:val="18"/>
              </w:rPr>
              <w:t>[1–4, 19, 33, 43, 54]</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xml:space="preserve">; Cattle; Milk fatty acid, yield grade, birth weight, calving ease, conception rate, body condition score, milk yield, mature weight </w:t>
            </w:r>
          </w:p>
        </w:tc>
      </w:tr>
      <w:tr w:rsidR="00DD24FA" w14:paraId="6FEE874E"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239C860D" w14:textId="1537CCE1" w:rsidR="001B22CD" w:rsidRPr="00DD24FA" w:rsidRDefault="001B22CD"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14_44</w:t>
            </w:r>
            <w:r w:rsidR="00E13A86" w:rsidRPr="00DD24FA">
              <w:rPr>
                <w:rFonts w:ascii="Times New Roman" w:hAnsi="Times New Roman" w:cs="Times New Roman"/>
                <w:i/>
                <w:sz w:val="18"/>
                <w:szCs w:val="18"/>
                <w:vertAlign w:val="superscript"/>
              </w:rPr>
              <w:t>g</w:t>
            </w:r>
          </w:p>
        </w:tc>
        <w:tc>
          <w:tcPr>
            <w:tcW w:w="369" w:type="pct"/>
            <w:tcBorders>
              <w:top w:val="single" w:sz="4" w:space="0" w:color="auto"/>
              <w:left w:val="single" w:sz="4" w:space="0" w:color="auto"/>
              <w:bottom w:val="single" w:sz="4" w:space="0" w:color="auto"/>
              <w:right w:val="single" w:sz="4" w:space="0" w:color="auto"/>
            </w:tcBorders>
            <w:hideMark/>
          </w:tcPr>
          <w:p w14:paraId="46CF5AF1"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5.217</w:t>
            </w:r>
          </w:p>
        </w:tc>
        <w:tc>
          <w:tcPr>
            <w:tcW w:w="554" w:type="pct"/>
            <w:tcBorders>
              <w:top w:val="single" w:sz="4" w:space="0" w:color="auto"/>
              <w:left w:val="single" w:sz="4" w:space="0" w:color="auto"/>
              <w:bottom w:val="single" w:sz="4" w:space="0" w:color="auto"/>
              <w:right w:val="single" w:sz="4" w:space="0" w:color="auto"/>
            </w:tcBorders>
          </w:tcPr>
          <w:p w14:paraId="1BE0AE90"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19.114</w:t>
            </w:r>
          </w:p>
          <w:p w14:paraId="15958A14"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p>
        </w:tc>
        <w:tc>
          <w:tcPr>
            <w:tcW w:w="328" w:type="pct"/>
            <w:tcBorders>
              <w:top w:val="single" w:sz="4" w:space="0" w:color="auto"/>
              <w:left w:val="single" w:sz="4" w:space="0" w:color="auto"/>
              <w:bottom w:val="single" w:sz="4" w:space="0" w:color="auto"/>
              <w:right w:val="single" w:sz="4" w:space="0" w:color="auto"/>
            </w:tcBorders>
          </w:tcPr>
          <w:p w14:paraId="24DEEAD9"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0.024</w:t>
            </w:r>
          </w:p>
          <w:p w14:paraId="16E4488C"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p>
        </w:tc>
        <w:tc>
          <w:tcPr>
            <w:tcW w:w="570" w:type="pct"/>
            <w:tcBorders>
              <w:top w:val="single" w:sz="4" w:space="0" w:color="auto"/>
              <w:left w:val="single" w:sz="4" w:space="0" w:color="auto"/>
              <w:bottom w:val="single" w:sz="4" w:space="0" w:color="auto"/>
              <w:right w:val="single" w:sz="4" w:space="0" w:color="auto"/>
            </w:tcBorders>
            <w:hideMark/>
          </w:tcPr>
          <w:p w14:paraId="4EBFE1CC"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w:t>
            </w:r>
          </w:p>
        </w:tc>
        <w:tc>
          <w:tcPr>
            <w:tcW w:w="748" w:type="pct"/>
            <w:tcBorders>
              <w:top w:val="single" w:sz="4" w:space="0" w:color="auto"/>
              <w:left w:val="single" w:sz="4" w:space="0" w:color="auto"/>
              <w:bottom w:val="single" w:sz="4" w:space="0" w:color="auto"/>
              <w:right w:val="single" w:sz="4" w:space="0" w:color="auto"/>
            </w:tcBorders>
          </w:tcPr>
          <w:p w14:paraId="32463F21" w14:textId="77777777" w:rsidR="001B22CD" w:rsidRPr="00DD24FA" w:rsidRDefault="001B22CD" w:rsidP="00267B98">
            <w:pPr>
              <w:spacing w:after="0" w:line="240" w:lineRule="auto"/>
              <w:contextualSpacing/>
              <w:jc w:val="center"/>
              <w:rPr>
                <w:rFonts w:ascii="Times New Roman" w:hAnsi="Times New Roman" w:cs="Times New Roman"/>
                <w:i/>
                <w:color w:val="000000"/>
                <w:sz w:val="18"/>
                <w:szCs w:val="18"/>
              </w:rPr>
            </w:pPr>
            <w:r w:rsidRPr="00DD24FA">
              <w:rPr>
                <w:rFonts w:ascii="Times New Roman" w:hAnsi="Times New Roman" w:cs="Times New Roman"/>
                <w:i/>
                <w:color w:val="000000"/>
                <w:sz w:val="18"/>
                <w:szCs w:val="18"/>
              </w:rPr>
              <w:t>LOC101905345, LOC112449520</w:t>
            </w:r>
          </w:p>
          <w:p w14:paraId="4BF09DAB" w14:textId="77777777" w:rsidR="001B22CD" w:rsidRPr="00DD24FA" w:rsidRDefault="001B22CD" w:rsidP="00267B98">
            <w:pPr>
              <w:spacing w:after="0" w:line="240" w:lineRule="auto"/>
              <w:contextualSpacing/>
              <w:jc w:val="center"/>
              <w:rPr>
                <w:rFonts w:ascii="Times New Roman" w:hAnsi="Times New Roman" w:cs="Times New Roman"/>
                <w:i/>
                <w:iCs/>
                <w:color w:val="000000"/>
                <w:sz w:val="18"/>
                <w:szCs w:val="18"/>
              </w:rPr>
            </w:pPr>
          </w:p>
        </w:tc>
        <w:tc>
          <w:tcPr>
            <w:tcW w:w="519" w:type="pct"/>
            <w:tcBorders>
              <w:top w:val="single" w:sz="4" w:space="0" w:color="auto"/>
              <w:left w:val="single" w:sz="4" w:space="0" w:color="auto"/>
              <w:bottom w:val="single" w:sz="4" w:space="0" w:color="auto"/>
              <w:right w:val="single" w:sz="4" w:space="0" w:color="auto"/>
            </w:tcBorders>
            <w:hideMark/>
          </w:tcPr>
          <w:p w14:paraId="68DD8A4D"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Intergenic</w:t>
            </w:r>
          </w:p>
        </w:tc>
        <w:tc>
          <w:tcPr>
            <w:tcW w:w="1416" w:type="pct"/>
            <w:tcBorders>
              <w:top w:val="single" w:sz="4" w:space="0" w:color="auto"/>
              <w:left w:val="single" w:sz="4" w:space="0" w:color="auto"/>
              <w:bottom w:val="single" w:sz="4" w:space="0" w:color="auto"/>
              <w:right w:val="single" w:sz="4" w:space="0" w:color="auto"/>
            </w:tcBorders>
            <w:hideMark/>
          </w:tcPr>
          <w:p w14:paraId="160F9C5E" w14:textId="3E471223"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4A3276" w:rsidRPr="00DD24FA">
              <w:rPr>
                <w:rFonts w:ascii="Times New Roman" w:hAnsi="Times New Roman" w:cs="Times New Roman"/>
                <w:sz w:val="18"/>
                <w:szCs w:val="18"/>
              </w:rPr>
              <w:instrText>ADDIN CSL_CITATION {"citationItems":[{"id":"ITEM-1","itemData":{"DOI":"10.3390/genes11070767","ISSN":"2073-4425","abstract":"&lt;p&gt;Heifer conception rate (HCR) is defined as the percentage of inseminated heifers that become pregnant at each service. The genome-wide association analyses in this study focused on identifying the loci associated with Holstein heifer (n = 2013) conception rate at first service (HCR1) and the number of times bred (TBRD) to achieve a pregnancy. There were 348 unique loci associated (p &amp;lt; 5 × 10−8) with HCR1 and 615 unique loci associated (p &amp;lt; 5 × 10−8) with TBRD. The two phenotypes shared 302 loci, and 56 loci were validated in independent cattle populations. There were 52 transcription factor binding sites (TFBS) and 552 positional candidate genes identified in the HCR1- and TBRD-associated loci. The positional candidate genes and the TFBS associated with HCR1 and TBRD were used in the ingenuity pathway analysis (IPA). In the IPA, 11 pathways, 207 master regulators and 11 upstream regulators were associated (p &amp;lt; 1.23 × 10−5) with HCR1 and TBRD. The validated loci associated with both HCR1 and TBRD make good candidates for genomic selection and further investigations to elucidate the mechanisms associated with subfertility and infertility.&lt;/p&gt;","author":[{"dropping-particle":"","family":"Galliou","given":"Justine M.","non-dropping-particle":"","parse-names":false,"suffix":""},{"dropping-particle":"","family":"Kiser","given":"Jennifer N.","non-dropping-particle":"","parse-names":false,"suffix":""},{"dropping-particle":"","family":"Oliver","given":"Kayleen F.","non-dropping-particle":"","parse-names":false,"suffix":""},{"dropping-particle":"","family":"Seabury","given":"Christopher M.","non-dropping-particle":"","parse-names":false,"suffix":""},{"dropping-particle":"","family":"Moraes","given":"Joao G. N.","non-dropping-particle":"","parse-names":false,"suffix":""},{"dropping-particle":"","family":"Burns","given":"Gregory W.","non-dropping-particle":"","parse-names":false,"suffix":""},{"dropping-particle":"","family":"Spencer","given":"Thomas E.","non-dropping-particle":"","parse-names":false,"suffix":""},{"dropping-particle":"","family":"Dalton","given":"Joseph","non-dropping-particle":"","parse-names":false,"suffix":""},{"dropping-particle":"","family":"Neibergs","given":"Holly L.","non-dropping-particle":"","parse-names":false,"suffix":""}],"container-title":"Genes","id":"ITEM-1","issue":"7","issued":{"date-parts":[["2020","7","8"]]},"page":"767","publisher":"MDPI AG","title":"Identification of Loci and Pathways Associated with Heifer Conception Rate in U.S. Holsteins","type":"article-journal","volume":"11"},"uris":["http://www.mendeley.com/documents/?uuid=3eab597e-823a-3e79-93bb-dd7d1f36ef1d"]},{"id":"ITEM-2","itemData":{"DOI":"10.1186/1471-2164-12-408","author":[{"dropping-particle":"","family":"Cole","given":"John B.","non-dropping-particle":"","parse-names":false,"suffix":""},{"dropping-particle":"","family":"Wiggans","given":"George R.","non-dropping-particle":"","parse-names":false,"suffix":""},{"dropping-particle":"","family":"Ma","given":"Li","non-dropping-particle":"","parse-names":false,"suffix":""},{"dropping-particle":"","family":"Sonstegard","given":"Tad S.","non-dropping-particle":"","parse-names":false,"suffix":""},{"dropping-particle":"","family":"Lawlor","given":"Thomas J.","non-dropping-particle":"","parse-names":false,"suffix":""},{"dropping-particle":"","family":"Crooker","given":"Brian A.","non-dropping-particle":"","parse-names":false,"suffix":""},{"dropping-particle":"","family":"Tassell","given":"Curtis P.","non-dropping-particle":"Van","parse-names":false,"suffix":""},{"dropping-particle":"","family":"Yang","given":"Jing","non-dropping-particle":"","parse-names":false,"suffix":""},{"dropping-particle":"","family":"Wang","given":"Shengwen","non-dropping-particle":"","parse-names":false,"suffix":""},{"dropping-particle":"","family":"Matukumalli","given":"Lakshmi K.","non-dropping-particle":"","parse-names":false,"suffix":""},{"dropping-particle":"","family":"Da","given":"Yang","non-dropping-particle":"","parse-names":false,"suffix":""}],"container-title":"BMC Genomics","id":"ITEM-2","issue":"1","issued":{"date-parts":[["2011","8","11"]]},"page":"408","publisher":"BioMed Central","title":"Genome-wide association analysis of thirty one production, health, reproduction and body conformation traits in contemporary U.S. Holstein cows","type":"article-journal","volume":"12"},"uris":["http://www.mendeley.com/documents/?uuid=b39c2e85-60d5-4133-916f-89443378a092"]},{"id":"ITEM-3","itemData":{"DOI":"10.1186/s12864-018-4699-5","ISSN":"14712164","PMID":"29716533","abstract":"Background: Copy number variation (CNV) is an important type of genetic variation contributing to phenotypic differences among mammals and may serve as an alternative molecular marker to single nucleotide polymorphism (SNP) for genome-wide association study (GWAS). Recently, GWAS analysis using CNV has been applied in livestock, although few studies have focused on Holstein cattle. Results: We describe 191 CNV detected using intensity data from over 700,000 SNP genotypes generated with the BovineHD Genotyping BeadChip (Illumina, San Diego, CA) in 528 Holstein cows. The CNV were used for GWAS analysis of 10 important production traits of 473 cattle related to feed intake, milk quality, and female fertility, as well as 2 composite traits of net merit and productive life. In total, we detected 57 CNV associated (P&lt;0.05 after false discovery rate correction) with at least one of the 10 phenotypes. Focusing on feed efficiency and intake-related phenotypes of residual feed intake and dry matter intake, we detected a single CNV associated with both traits which overlaps a predicted olfactory receptor gene OR2A2 (LOC787786). Additionally, 2 CNV within the RXFP4 (relaxin/insulin like family peptide receptor 4) and 2 additional olfactory receptor gene regions, respectively, were associated with residual feed intake. The RXFP4 gene encodes a receptor for an orexigenic peptide, insulin-like peptide 5 produced by intestinal L cells, which is expressed by enteric neurons. Olfactory receptors are critical for transmitting the effects of odorants, contributing to the sense of smell, and have been implicated in participating in appetite regulation. Conclusions: Our results identify CNV for genomic evaluation in Holstein cattle, and provide candidate genes, such as RXFP4, contributing to variation in feed efficiency and feed intake-related traits. These results indicate potential novel targets for manipulating feed intake-related traits of livestock.","author":[{"dropping-particle":"","family":"Zhou","given":"Yang","non-dropping-particle":"","parse-names":false,"suffix":""},{"dropping-particle":"","family":"Connor","given":"Erin E.","non-dropping-particle":"","parse-names":false,"suffix":""},{"dropping-particle":"","family":"Wiggans","given":"George R.","non-dropping-particle":"","parse-names":false,"suffix":""},{"dropping-particle":"","family":"Lu","given":"Yongfang","non-dropping-particle":"","parse-names":false,"suffix":""},{"dropping-particle":"","family":"Tempelman","given":"Robert J.","non-dropping-particle":"","parse-names":false,"suffix":""},{"dropping-particle":"","family":"Schroeder","given":"Steven G.","non-dropping-particle":"","parse-names":false,"suffix":""},{"dropping-particle":"","family":"Chen","given":"Hong","non-dropping-particle":"","parse-names":false,"suffix":""},{"dropping-particle":"","family":"Liu","given":"George E.","non-dropping-particle":"","parse-names":false,"suffix":""}],"container-title":"BMC Genomics","id":"ITEM-3","issue":"1","issued":{"date-parts":[["2018","5","2"]]},"page":"314","publisher":"BioMed Central Ltd.","title":"Genome-wide copy number variant analysis reveals variants associated with 10 diverse production traits in Holstein cattle","type":"article-journal","volume":"19"},"uris":["http://www.mendeley.com/documents/?uuid=a1d6f31a-4f5c-327f-82fa-c1cc3f2021e8"]},{"id":"ITEM-4","itemData":{"DOI":"10.1186/s40104-017-0199-8","ISSN":"20491891","abstract":"Background: Beef cattle breeding programs in Brazil have placed greater emphasis on the genomic study of reproductive traits of males and females due to their economic importance. In this study, genome-wide associations were assessed for scrotal circumference at 210d of age, scrotal circumference at 420d of age, age at first calving, and age at second calving, in Canchim beef cattle. Data quality control was conducted resulting in 672,778 SNPs and 392 animals. Results: Associated SNPs were observed for scrotal circumference at 420d of age (435 SNPs), followed by scrotal circumference at 210d of age (12 SNPs), age at first calving (six SNPs), and age at second calving (four SNPs). We investigated whether significant SNPs were within genic or surrounding regions. Biological processes of genes were associated with immune system, multicellular organismal process, response to stimulus, apoptotic process, cellular component organization or biogenesis, biological adhesion, and reproduction. Conclusions: Few associations were observed for scrotal circumference at 210d of age, age at first calving, and age at second calving, reinforcing their polygenic inheritance and the complexity of understanding the genetic architecture of reproductive traits. Finding many associations for scrotal circumference at 420d of age in various regions of the Canchim genome also reveals the difficulty of targeting specific candidate genes that could act on fertility; nonetheless, the high linkage disequilibrium between loci herein estimated could aid to overcome this issue. Therefore, all relevant information about genomic regions influencing reproductive traits may contribute to target candidate genes for further investigation of causal mutations and aid in future genomic studies in Canchim cattle to improve the breeding program.","author":[{"dropping-particle":"","family":"Buzanskas","given":"Marcos Eli","non-dropping-particle":"","parse-names":false,"suffix":""},{"dropping-particle":"","family":"Grossi","given":"Daniela do Amaral","non-dropping-particle":"","parse-names":false,"suffix":""},{"dropping-particle":"","family":"Ventura","given":"Ricardo Vieira","non-dropping-particle":"","parse-names":false,"suffix":""},{"dropping-particle":"","family":"Schenkel","given":"Flavio Schramm","non-dropping-particle":"","parse-names":false,"suffix":""},{"dropping-particle":"","family":"Chud","given":"Tatiane Cristina Seleguim","non-dropping-particle":"","parse-names":false,"suffix":""},{"dropping-particle":"","family":"Stafuzza","given":"Nedenia Bonvino","non-dropping-particle":"","parse-names":false,"suffix":""},{"dropping-particle":"","family":"Rola","given":"Luciana Diniz","non-dropping-particle":"","parse-names":false,"suffix":""},{"dropping-particle":"","family":"Meirelles","given":"Sarah Laguna Conceição","non-dropping-particle":"","parse-names":false,"suffix":""},{"dropping-particle":"","family":"Mokry","given":"Fabiana Barichello","non-dropping-particle":"","parse-names":false,"suffix":""},{"dropping-particle":"","family":"Mudadu","given":"Maurício de Alvarenga","non-dropping-particle":"","parse-names":false,"suffix":""},{"dropping-particle":"","family":"Higa","given":"Roberto Hiroshi","non-dropping-particle":"","parse-names":false,"suffix":""},{"dropping-particle":"","family":"Silva","given":"Marcos Vinícius Gualberto Barbosa","non-dropping-particle":"da","parse-names":false,"suffix":""},{"dropping-particle":"","family":"Alencar","given":"Maurício Mello","non-dropping-particle":"de","parse-names":false,"suffix":""},{"dropping-particle":"","family":"Regitano","given":"Luciana Correia de Almeida","non-dropping-particle":"","parse-names":false,"suffix":""},{"dropping-particle":"","family":"Munari","given":"Danísio Prado","non-dropping-particle":"","parse-names":false,"suffix":""}],"container-title":"Journal of Animal Science and Biotechnology","id":"ITEM-4","issue":"1","issued":{"date-parts":[["2017","8","23"]]},"page":"67","publisher":"BioMed Central Ltd.","title":"Candidate genes for male and female reproductive traits in Canchim beef cattle","type":"article-journal","volume":"8"},"uris":["http://www.mendeley.com/documents/?uuid=0dc0158c-982c-37bd-b840-427b6ee70493"]},{"id":"ITEM-5","itemData":{"DOI":"10.3168/jds.2019-16451","ISSN":"15253198","PMID":"31301836","abstract":"We performed genome-wide association analyses for milk, fat, and protein yields and somatic cell score based on lactation stages in the first 3 parities of Canadian Ayrshire, Holstein, and Jersey cattle. The genome-wide association analyses were performed considering 3 different lactation stages for each trait and parity: from 5 to 95, from 96 to 215, and from 216 to 305 d in milk. Effects of single nucleotide polymorphisms (SNP) for each lactation stage, trait, parity, and breed were estimated by back-solving the direct breeding values estimated using the genomic best linear unbiased predictor and single-trait random regression test-day models containing only the fixed population average curve and the random genomic curves. To identify important genomic regions related to the analyzed lactation stages, traits, parities and breeds, moving windows (SNP-by-SNP) of 20 adjacent SNP explaining more than 0.30% of total genetic variance were selected for further analyses of candidate genes. A lower number of genomic windows with a relatively higher proportion of the explained genetic variance was found in the Holstein breed compared with the Ayrshire and Jersey breeds. Genomic regions associated with the analyzed traits were located on 12, 8, and 15 chromosomes for the Ayrshire, Holstein, and Jersey breeds, respectively. Especially for the Holstein breed, many of the identified candidate genes supported previous reports in the literature. However, well-known genes with major effects on milk production traits (e.g., diacylglycerol O-acyltransferase 1) showed contrasting results among lactation stages, traits, and parities of different breeds. Therefore, our results suggest evidence of differential sets of candidate genes underlying the phenotypic expression of the analyzed traits across breeds, parities, and lactation stages. Further functional studies are needed to validate our findings in independent populations.","author":[{"dropping-particle":"","family":"Oliveira","given":"H. R.","non-dropping-particle":"","parse-names":false,"suffix":""},{"dropping-particle":"","family":"Cant","given":"J. P.","non-dropping-particle":"","parse-names":false,"suffix":""},{"dropping-particle":"","family":"Brito","given":"L. F.","non-dropping-particle":"","parse-names":false,"suffix":""},{"dropping-particle":"","family":"Feitosa","given":"F. L.B.","non-dropping-particle":"","parse-names":false,"suffix":""},{"dropping-particle":"","family":"Chud","given":"T. C.S.","non-dropping-particle":"","parse-names":false,"suffix":""},{"dropping-particle":"","family":"Fonseca","given":"P. A.S.","non-dropping-particle":"","parse-names":false,"suffix":""},{"dropping-particle":"","family":"Jamrozik","given":"J.","non-dropping-particle":"","parse-names":false,"suffix":""},{"dropping-particle":"","family":"Silva","given":"F. F.","non-dropping-particle":"","parse-names":false,"suffix":""},{"dropping-particle":"","family":"Lourenco","given":"D. A.L.","non-dropping-particle":"","parse-names":false,"suffix":""},{"dropping-particle":"","family":"Schenkel","given":"F. S.","non-dropping-particle":"","parse-names":false,"suffix":""}],"container-title":"Journal of Dairy Science","id":"ITEM-5","issue":"9","issued":{"date-parts":[["2019","9","1"]]},"page":"8159-8174","publisher":"Elsevier Inc.","title":"Genome-wide association for milk production traits and somatic cell score in different lactation stages of Ayrshire, Holstein, and Jersey dairy cattle","type":"article-journal","volume":"102"},"uris":["http://www.mendeley.com/documents/?uuid=8e2e5ec2-1bf7-4f7c-87df-3666295b54e3"]}],"mendeley":{"formattedCitation":"[14, 39, 43, 61, 62]","plainTextFormattedCitation":"[14, 39, 43, 61, 62]","previouslyFormattedCitation":"[14, 39, 43, 61, 62]"},"properties":{"noteIndex":0},"schema":"https://github.com/citation-style-language/schema/raw/master/csl-citation.json"}</w:instrText>
            </w:r>
            <w:r w:rsidRPr="00DD24FA">
              <w:rPr>
                <w:rFonts w:ascii="Times New Roman" w:hAnsi="Times New Roman" w:cs="Times New Roman"/>
                <w:sz w:val="18"/>
                <w:szCs w:val="18"/>
              </w:rPr>
              <w:fldChar w:fldCharType="separate"/>
            </w:r>
            <w:r w:rsidR="004A3276" w:rsidRPr="00DD24FA">
              <w:rPr>
                <w:rFonts w:ascii="Times New Roman" w:hAnsi="Times New Roman" w:cs="Times New Roman"/>
                <w:noProof/>
                <w:sz w:val="18"/>
                <w:szCs w:val="18"/>
              </w:rPr>
              <w:t>[14, 39, 43, 61, 62]</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Conception rate, stillbirth, scrotal circumference, somatic cell score, residual feed intake</w:t>
            </w:r>
          </w:p>
        </w:tc>
      </w:tr>
      <w:tr w:rsidR="00DD24FA" w14:paraId="644DE79A"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2CC9AE47" w14:textId="77777777" w:rsidR="001B22CD" w:rsidRPr="00DD24FA" w:rsidRDefault="001B22CD"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25_02</w:t>
            </w:r>
            <w:r w:rsidRPr="00DD24FA">
              <w:rPr>
                <w:rFonts w:ascii="Times New Roman" w:hAnsi="Times New Roman" w:cs="Times New Roman"/>
                <w:i/>
                <w:sz w:val="18"/>
                <w:szCs w:val="18"/>
                <w:vertAlign w:val="superscript"/>
              </w:rPr>
              <w:t>a</w:t>
            </w:r>
          </w:p>
        </w:tc>
        <w:tc>
          <w:tcPr>
            <w:tcW w:w="369" w:type="pct"/>
            <w:tcBorders>
              <w:top w:val="single" w:sz="4" w:space="0" w:color="auto"/>
              <w:left w:val="single" w:sz="4" w:space="0" w:color="auto"/>
              <w:bottom w:val="single" w:sz="4" w:space="0" w:color="auto"/>
              <w:right w:val="single" w:sz="4" w:space="0" w:color="auto"/>
            </w:tcBorders>
            <w:hideMark/>
          </w:tcPr>
          <w:p w14:paraId="502FA5D8"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5.194</w:t>
            </w:r>
          </w:p>
        </w:tc>
        <w:tc>
          <w:tcPr>
            <w:tcW w:w="554" w:type="pct"/>
            <w:tcBorders>
              <w:top w:val="single" w:sz="4" w:space="0" w:color="auto"/>
              <w:left w:val="single" w:sz="4" w:space="0" w:color="auto"/>
              <w:bottom w:val="single" w:sz="4" w:space="0" w:color="auto"/>
              <w:right w:val="single" w:sz="4" w:space="0" w:color="auto"/>
            </w:tcBorders>
            <w:hideMark/>
          </w:tcPr>
          <w:p w14:paraId="4EFA3752"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-59.160</w:t>
            </w:r>
          </w:p>
        </w:tc>
        <w:tc>
          <w:tcPr>
            <w:tcW w:w="328" w:type="pct"/>
            <w:tcBorders>
              <w:top w:val="single" w:sz="4" w:space="0" w:color="auto"/>
              <w:left w:val="single" w:sz="4" w:space="0" w:color="auto"/>
              <w:bottom w:val="single" w:sz="4" w:space="0" w:color="auto"/>
              <w:right w:val="single" w:sz="4" w:space="0" w:color="auto"/>
            </w:tcBorders>
            <w:hideMark/>
          </w:tcPr>
          <w:p w14:paraId="7029152F"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0.023</w:t>
            </w:r>
          </w:p>
        </w:tc>
        <w:tc>
          <w:tcPr>
            <w:tcW w:w="570" w:type="pct"/>
            <w:tcBorders>
              <w:top w:val="single" w:sz="4" w:space="0" w:color="auto"/>
              <w:left w:val="single" w:sz="4" w:space="0" w:color="auto"/>
              <w:bottom w:val="single" w:sz="4" w:space="0" w:color="auto"/>
              <w:right w:val="single" w:sz="4" w:space="0" w:color="auto"/>
            </w:tcBorders>
            <w:hideMark/>
          </w:tcPr>
          <w:p w14:paraId="731EA874"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w:t>
            </w:r>
          </w:p>
        </w:tc>
        <w:tc>
          <w:tcPr>
            <w:tcW w:w="748" w:type="pct"/>
            <w:tcBorders>
              <w:top w:val="single" w:sz="4" w:space="0" w:color="auto"/>
              <w:left w:val="single" w:sz="4" w:space="0" w:color="auto"/>
              <w:bottom w:val="single" w:sz="4" w:space="0" w:color="auto"/>
              <w:right w:val="single" w:sz="4" w:space="0" w:color="auto"/>
            </w:tcBorders>
            <w:hideMark/>
          </w:tcPr>
          <w:p w14:paraId="7A31580F" w14:textId="77777777" w:rsidR="001B22CD" w:rsidRPr="00DD24FA" w:rsidRDefault="001B22CD" w:rsidP="00267B98">
            <w:pPr>
              <w:spacing w:after="0" w:line="240" w:lineRule="auto"/>
              <w:contextualSpacing/>
              <w:jc w:val="center"/>
              <w:rPr>
                <w:rFonts w:ascii="Times New Roman" w:hAnsi="Times New Roman" w:cs="Times New Roman"/>
                <w:i/>
                <w:iCs/>
                <w:color w:val="000000"/>
                <w:sz w:val="18"/>
                <w:szCs w:val="18"/>
              </w:rPr>
            </w:pPr>
            <w:r w:rsidRPr="00DD24FA">
              <w:rPr>
                <w:rFonts w:ascii="Times New Roman" w:hAnsi="Times New Roman" w:cs="Times New Roman"/>
                <w:i/>
                <w:iCs/>
                <w:color w:val="000000"/>
                <w:sz w:val="18"/>
                <w:szCs w:val="18"/>
              </w:rPr>
              <w:t>SYNGR3</w:t>
            </w:r>
          </w:p>
        </w:tc>
        <w:tc>
          <w:tcPr>
            <w:tcW w:w="519" w:type="pct"/>
            <w:tcBorders>
              <w:top w:val="single" w:sz="4" w:space="0" w:color="auto"/>
              <w:left w:val="single" w:sz="4" w:space="0" w:color="auto"/>
              <w:bottom w:val="single" w:sz="4" w:space="0" w:color="auto"/>
              <w:right w:val="single" w:sz="4" w:space="0" w:color="auto"/>
            </w:tcBorders>
            <w:hideMark/>
          </w:tcPr>
          <w:p w14:paraId="520C2345"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3'UTR</w:t>
            </w:r>
          </w:p>
        </w:tc>
        <w:tc>
          <w:tcPr>
            <w:tcW w:w="1416" w:type="pct"/>
            <w:tcBorders>
              <w:top w:val="single" w:sz="4" w:space="0" w:color="auto"/>
              <w:left w:val="single" w:sz="4" w:space="0" w:color="auto"/>
              <w:bottom w:val="single" w:sz="4" w:space="0" w:color="auto"/>
              <w:right w:val="single" w:sz="4" w:space="0" w:color="auto"/>
            </w:tcBorders>
            <w:hideMark/>
          </w:tcPr>
          <w:p w14:paraId="36B1F698" w14:textId="19AF8957"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4A3276" w:rsidRPr="00DD24FA">
              <w:rPr>
                <w:rFonts w:ascii="Times New Roman" w:hAnsi="Times New Roman" w:cs="Times New Roman"/>
                <w:sz w:val="18"/>
                <w:szCs w:val="18"/>
              </w:rPr>
              <w:instrText>ADDIN CSL_CITATION {"citationItems":[{"id":"ITEM-1","itemData":{"DOI":"10.1111/age.12420","ISSN":"02689146","abstract":"We evaluated 69 SNPs in genes previously related to fertility and production traits for their relationship to daughter pregnancy rate (DPR), cow conception rate (CCR) and heifer conception rate (HCR) in a separate population of Holstein cows grouped according to their predicted transmitting ability (PTA) [≤-1 (n = 1287) and ≥1.5 (n = 1036)] for DPR. Genotyping was performed using Sequenom MassARRAY®. There were a total of 39 SNPs associated with the three fertility traits. The SNPs that explained the greater proportion of the genetic variation for DPR were COQ9 (3.2%), EPAS1 (1.0%), CAST (1.0%), C7H19orf60 (1.0%) and MRPL48 (1.0%); for CCR were GOLGA4 (2.4%), COQ9 (1.8%), EPAS1 (1.1%) and MRPL48 (0.8%); and for HCR were HSD17B7 (1.0%), AP3B1 (0.8%), HSD17B12 (0.7%) and CACNA1D (0.6%). Inclusion of 39 SNPs previously associated with DPR in the genetic evaluation system increased the reliability of PTA for DPR by 0.20%. Many of the genes represented by SNPs associated with fertility are involved in steroidogenesis or are regulated by steroids. A large proportion of SNPs previously associated with genetic merit for fertility in Holstein bulls maintained their association in a separate population of cows. The inclusion of these genes in genetic evaluation can improve reliabilities of genomic estimates for fertility.","author":[{"dropping-particle":"","family":"Ortega","given":"M. S.","non-dropping-particle":"","parse-names":false,"suffix":""},{"dropping-particle":"","family":"Denicol","given":"A. C.","non-dropping-particle":"","parse-names":false,"suffix":""},{"dropping-particle":"","family":"Cole","given":"J. B.","non-dropping-particle":"","parse-names":false,"suffix":""},{"dropping-particle":"","family":"Null","given":"D. J.","non-dropping-particle":"","parse-names":false,"suffix":""},{"dropping-particle":"","family":"Hansen","given":"P. J.","non-dropping-particle":"","parse-names":false,"suffix":""}],"container-title":"Animal Genetics","id":"ITEM-1","issue":"3","issued":{"date-parts":[["2016","6","1"]]},"page":"288-297","publisher":"Blackwell Publishing Ltd","title":"Use of single nucleotide polymorphisms in candidate genes associated with daughter pregnancy rate for prediction of genetic merit for reproduction in Holstein cows","type":"article-journal","volume":"47"},"uris":["http://www.mendeley.com/documents/?uuid=0a0b322c-c18f-3614-abea-a0b5e8aec49d"]},{"id":"ITEM-2","itemData":{"DOI":"10.3168/jds.2010-3381","ISSN":"00220302","PMID":"21183059","abstract":"A total of 22 quantitative trait loci (QTL) were detected on 19 chromosomes for direct and maternal calving traits in cattle using a genome-wide association study. Calving performance is affected by the genotypes of both the calf (direct effect) and dam (maternal effect). To identify the QTL contributing these effects to calving characteristics, we performed a genome-wide association study using a mixed-model analysis in Danish and Swedish Holstein cattle. The analysis incorporated 2,062 progeny-tested bulls, and 36,387 single nucleotide polymorphism markers on 29 bovine autosomes were analyzed for association with 14 calving traits. Strong evidence for the presence of QTL that affect calving traits was observed on chromosomes 4, 6, 12, 18, 20, and 25. The QTL intervals were generally smaller than those described in earlier linkage studies. The identification of calving trait-associated single nucleotide polymorphisms and mapping of the corresponding QTL in small chromosomal regions will facilitate the search for candidate calving performance genes and polymorphisms. © 2011 American Dairy Science Association.","author":[{"dropping-particle":"","family":"Sahana","given":"G.","non-dropping-particle":"","parse-names":false,"suffix":""},{"dropping-particle":"","family":"Guldbrandtsen","given":"B.","non-dropping-particle":"","parse-names":false,"suffix":""},{"dropping-particle":"","family":"Lund","given":"M. S.","non-dropping-particle":"","parse-names":false,"suffix":""}],"container-title":"Journal of Dairy Science","id":"ITEM-2","issue":"1","issued":{"date-parts":[["2011","1","1"]]},"page":"479-486","publisher":"Elsevier","title":"Genome-wide association study for calving traits in Danish and Swedish Holstein cattle","type":"article-journal","volume":"94"},"uris":["http://www.mendeley.com/documents/?uuid=cd0b1d58-5600-3d40-9d11-a25f422ab8b5"]},{"id":"ITEM-3","itemData":{"DOI":"10.1186/1471-2156-13-21","ISSN":"14712156","PMID":"22449276","abstract":"Background: Contemporary dairy breeding goals have broadened to include, along with milk production traits, a number of non-production-related traits in an effort to improve the overall functionality of the dairy cow. Increased indirect selection for resistance to mastitis, one of the most important production-related diseases in the dairy sector, via selection for reduced somatic cell count has been part of these broadened goals. A number of genome-wide association studies have identified genetic variants associated with milk production traits and mastitis resistance, however the majority of these studies have been based on animals which were predominantly kept in confinement and fed a concentrate-based diet (i.e. high-input production systems). This genome-wide association study aims to detect associations using genotypic and phenotypic data from Irish Holstein-Friesian cattle fed predominantly grazed grass in a pasture-based production system (low-input).Results: Significant associations were detected for milk yield, fat yield, protein yield, fat percentage, protein percentage and somatic cell score using separate single-locus, frequentist and multi-locus, Bayesian approaches. These associations were detected using two separate populations of Holstein-Friesian sires and cows. In total, 1,529 and 37 associations were detected in the sires using a single SNP regression and a Bayesian method, respectively. There were 103 associations in common between the sires and cows across all the traits. As well as detecting associations within known QTL regions, a number of novel associations were detected; the most notable of these was a region of chromosome 13 associated with milk yield in the population of Holstein-Friesian sires.Conclusions: A total of 276 of novel SNPs were detected in the sires using a single SNP regression approach. Although obvious candidate genes may not be initially forthcoming, this study provides a preliminary framework upon which to identify the causal mechanisms underlying the various milk production traits and somatic cell score. Consequently this will deepen our understanding of how these traits are expressed. © 2012 Meredith et al; licensee BioMed Central Ltd.","author":[{"dropping-particle":"","family":"Meredith","given":"Brian K.","non-dropping-particle":"","parse-names":false,"suffix":""},{"dropping-particle":"","family":"Kearney","given":"Francis J.","non-dropping-particle":"","parse-names":false,"suffix":""},{"dropping-particle":"","family":"Finlay","given":"Emma K.","non-dropping-particle":"","parse-names":false,"suffix":""},{"dropping-particle":"","family":"Bradley","given":"Daniel G.","non-dropping-particle":"","parse-names":false,"suffix":""},{"dropping-particle":"","family":"Fahey","given":"Alan G.","non-dropping-particle":"","parse-names":false,"suffix":""},{"dropping-particle":"","family":"Berry","given":"Donagh P.","non-dropping-particle":"","parse-names":false,"suffix":""},{"dropping-particle":"","family":"Lynn","given":"David J.","non-dropping-particle":"","parse-names":false,"suffix":""}],"container-title":"BMC Genetics","id":"ITEM-3","issue":"1","issued":{"date-parts":[["2012","3","26"]]},"page":"21","publisher":"BioMed Central","title":"Genome-wide associations for milk production and somatic cell score in Holstein-Friesian cattle in Ireland","type":"article-journal","volume":"13"},"uris":["http://www.mendeley.com/documents/?uuid=120c3a2d-4807-3f2e-b4ba-7fbf90b7964d"]},{"id":"ITEM-4","itemData":{"DOI":"10.1111/j.1365-2052.2012.02323.x","ISSN":"0268-9146","abstract":"We performed a genome-wide association study for Warner-Bratzler shear force (WBSF), a measure of meat tenderness, by genotyping 3360 animals from five breeds with 54 790 BovineSNP50 and 96 putative single-nucleotide polymorphisms (SNPs) within μ-calpain [HUGO nomenclature calpain 1, (mu/I) large subunit; CAPN1] and calpastatin (CAST). Within- and across-breed analyses estimated SNP allele substitution effects (ASEs) by genomic best linear unbiased prediction (GBLUP) and variance components by restricted maximum likelihood under an animal model incorporating a genomic relationship matrix. GBLUP estimates of ASEs from the across-breed analysis were moderately correlated (0.31-0.66) with those from the individual within-breed analyses, indicating that prediction equations for molecular estimates of breeding value developed from across-breed analyses should be effective for genomic selection within breeds. We identified 79 genomic regions associated with WBSF in at least three breeds, but only eight were detected in all five breeds, suggesting that the within-breed analyses were underpowered, that different quantitative trait loci (QTL) underlie variation between breeds or that the BovineSNP50 SNP density is insufficient to detect common QTL among breeds. In the across-breed analysis, CAPN1 was followed by CAST as the most strongly associated WBSF QTL genome-wide, and associations with both were detected in all five breeds. We show that none of the four commercialized CAST and CAPN1 SNP diagnostics are causal for associations with WBSF, and we putatively fine-map the CAPN1 causal mutation to a 4581-bp region. We estimate that variation in CAST and CAPN1 explains 1.02 and 1.85% of the phenotypic variation in WBSF respectively. © 2012 The Authors, Animal Genetics © 2012 Stichting International Foundation for Animal Genetics.","author":[{"dropping-particle":"","family":"McClure","given":"M. C.","non-dropping-particle":"","parse-names":false,"suffix":""},{"dropping-particle":"","family":"Ramey","given":"H. R.","non-dropping-particle":"","parse-names":false,"suffix":""},{"dropping-particle":"","family":"Rolf","given":"M. M.","non-dropping-particle":"","parse-names":false,"suffix":""},{"dropping-particle":"","family":"McKay","given":"S. D.","non-dropping-particle":"","parse-names":false,"suffix":""},{"dropping-particle":"","family":"Decker","given":"J. E.","non-dropping-particle":"","parse-names":false,"suffix":""},{"dropping-particle":"","family":"Chapple","given":"R. H.","non-dropping-particle":"","parse-names":false,"suffix":""},{"dropping-particle":"","family":"Kim","given":"J. W.","non-dropping-particle":"","parse-names":false,"suffix":""},{"dropping-particle":"","family":"Taxis","given":"T. M.","non-dropping-particle":"","parse-names":false,"suffix":""},{"dropping-particle":"","family":"Weaber","given":"R. L.","non-dropping-particle":"","parse-names":false,"suffix":""},{"dropping-particle":"","family":"Schnabel","given":"R. D.","non-dropping-particle":"","parse-names":false,"suffix":""},{"dropping-particle":"","family":"Taylor","given":"J. F.","non-dropping-particle":"","parse-names":false,"suffix":""}],"container-title":"Animal Genetics","id":"ITEM-4","issue":"6","issued":{"date-parts":[["2012","12","27"]]},"page":"662-673","publisher":"John Wiley &amp; Sons, Ltd","title":"Genome‐wide association analysis for quantitative trait loci influencing Warner–Bratzler shear force in five taurine cattle breeds","type":"article-journal","volume":"43"},"uris":["http://www.mendeley.com/documents/?uuid=fd591167-602c-341e-be08-a37a781534e5"]}],"mendeley":{"formattedCitation":"[7, 45, 48, 63]","plainTextFormattedCitation":"[7, 45, 48, 63]","previouslyFormattedCitation":"[7, 45, 48, 63]"},"properties":{"noteIndex":0},"schema":"https://github.com/citation-style-language/schema/raw/master/csl-citation.json"}</w:instrText>
            </w:r>
            <w:r w:rsidRPr="00DD24FA">
              <w:rPr>
                <w:rFonts w:ascii="Times New Roman" w:hAnsi="Times New Roman" w:cs="Times New Roman"/>
                <w:sz w:val="18"/>
                <w:szCs w:val="18"/>
              </w:rPr>
              <w:fldChar w:fldCharType="separate"/>
            </w:r>
            <w:r w:rsidR="004A3276" w:rsidRPr="00DD24FA">
              <w:rPr>
                <w:rFonts w:ascii="Times New Roman" w:hAnsi="Times New Roman" w:cs="Times New Roman"/>
                <w:noProof/>
                <w:sz w:val="18"/>
                <w:szCs w:val="18"/>
              </w:rPr>
              <w:t>[7, 45, 48, 63]</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Mouse, cattle;</w:t>
            </w:r>
            <w:r w:rsidR="002300EE" w:rsidRPr="00DD24FA">
              <w:rPr>
                <w:rFonts w:ascii="Times New Roman" w:hAnsi="Times New Roman" w:cs="Times New Roman"/>
                <w:sz w:val="18"/>
                <w:szCs w:val="18"/>
              </w:rPr>
              <w:t xml:space="preserve"> C</w:t>
            </w:r>
            <w:r w:rsidRPr="00DD24FA">
              <w:rPr>
                <w:rFonts w:ascii="Times New Roman" w:hAnsi="Times New Roman" w:cs="Times New Roman"/>
                <w:sz w:val="18"/>
                <w:szCs w:val="18"/>
              </w:rPr>
              <w:t xml:space="preserve">onception rate, calf survival, milk and fat yield, age at puberty, shear force </w:t>
            </w:r>
          </w:p>
        </w:tc>
      </w:tr>
      <w:tr w:rsidR="00DD24FA" w14:paraId="0033091B"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1BBAFC9A" w14:textId="6C284732" w:rsidR="001B22CD" w:rsidRPr="00DD24FA" w:rsidRDefault="001B22CD"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9_84</w:t>
            </w:r>
            <w:r w:rsidR="00E13A86" w:rsidRPr="00DD24FA">
              <w:rPr>
                <w:rFonts w:ascii="Times New Roman" w:hAnsi="Times New Roman" w:cs="Times New Roman"/>
                <w:i/>
                <w:sz w:val="18"/>
                <w:szCs w:val="18"/>
                <w:vertAlign w:val="superscript"/>
              </w:rPr>
              <w:t>f</w:t>
            </w:r>
          </w:p>
        </w:tc>
        <w:tc>
          <w:tcPr>
            <w:tcW w:w="369" w:type="pct"/>
            <w:tcBorders>
              <w:top w:val="single" w:sz="4" w:space="0" w:color="auto"/>
              <w:left w:val="single" w:sz="4" w:space="0" w:color="auto"/>
              <w:bottom w:val="single" w:sz="4" w:space="0" w:color="auto"/>
              <w:right w:val="single" w:sz="4" w:space="0" w:color="auto"/>
            </w:tcBorders>
            <w:hideMark/>
          </w:tcPr>
          <w:p w14:paraId="6F796ADF"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5.121</w:t>
            </w:r>
          </w:p>
        </w:tc>
        <w:tc>
          <w:tcPr>
            <w:tcW w:w="554" w:type="pct"/>
            <w:tcBorders>
              <w:top w:val="single" w:sz="4" w:space="0" w:color="auto"/>
              <w:left w:val="single" w:sz="4" w:space="0" w:color="auto"/>
              <w:bottom w:val="single" w:sz="4" w:space="0" w:color="auto"/>
              <w:right w:val="single" w:sz="4" w:space="0" w:color="auto"/>
            </w:tcBorders>
            <w:hideMark/>
          </w:tcPr>
          <w:p w14:paraId="2005DF6E"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23.636</w:t>
            </w:r>
          </w:p>
        </w:tc>
        <w:tc>
          <w:tcPr>
            <w:tcW w:w="328" w:type="pct"/>
            <w:tcBorders>
              <w:top w:val="single" w:sz="4" w:space="0" w:color="auto"/>
              <w:left w:val="single" w:sz="4" w:space="0" w:color="auto"/>
              <w:bottom w:val="single" w:sz="4" w:space="0" w:color="auto"/>
              <w:right w:val="single" w:sz="4" w:space="0" w:color="auto"/>
            </w:tcBorders>
            <w:hideMark/>
          </w:tcPr>
          <w:p w14:paraId="1C594087"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0.054</w:t>
            </w:r>
          </w:p>
        </w:tc>
        <w:tc>
          <w:tcPr>
            <w:tcW w:w="570" w:type="pct"/>
            <w:tcBorders>
              <w:top w:val="single" w:sz="4" w:space="0" w:color="auto"/>
              <w:left w:val="single" w:sz="4" w:space="0" w:color="auto"/>
              <w:bottom w:val="single" w:sz="4" w:space="0" w:color="auto"/>
              <w:right w:val="single" w:sz="4" w:space="0" w:color="auto"/>
            </w:tcBorders>
            <w:hideMark/>
          </w:tcPr>
          <w:p w14:paraId="270D2C0C"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w:t>
            </w:r>
          </w:p>
        </w:tc>
        <w:tc>
          <w:tcPr>
            <w:tcW w:w="748" w:type="pct"/>
            <w:tcBorders>
              <w:top w:val="single" w:sz="4" w:space="0" w:color="auto"/>
              <w:left w:val="single" w:sz="4" w:space="0" w:color="auto"/>
              <w:bottom w:val="single" w:sz="4" w:space="0" w:color="auto"/>
              <w:right w:val="single" w:sz="4" w:space="0" w:color="auto"/>
            </w:tcBorders>
            <w:hideMark/>
          </w:tcPr>
          <w:p w14:paraId="3F5F9A42" w14:textId="77777777" w:rsidR="001B22CD" w:rsidRPr="00DD24FA" w:rsidRDefault="001B22CD" w:rsidP="00267B98">
            <w:pPr>
              <w:spacing w:after="0" w:line="240" w:lineRule="auto"/>
              <w:contextualSpacing/>
              <w:jc w:val="center"/>
              <w:rPr>
                <w:rFonts w:ascii="Times New Roman" w:hAnsi="Times New Roman" w:cs="Times New Roman"/>
                <w:i/>
                <w:iCs/>
                <w:color w:val="000000"/>
                <w:sz w:val="18"/>
                <w:szCs w:val="18"/>
              </w:rPr>
            </w:pPr>
            <w:r w:rsidRPr="00DD24FA">
              <w:rPr>
                <w:rFonts w:ascii="Times New Roman" w:hAnsi="Times New Roman" w:cs="Times New Roman"/>
                <w:i/>
                <w:color w:val="000000"/>
                <w:sz w:val="18"/>
                <w:szCs w:val="18"/>
              </w:rPr>
              <w:t>GRM1</w:t>
            </w:r>
          </w:p>
        </w:tc>
        <w:tc>
          <w:tcPr>
            <w:tcW w:w="519" w:type="pct"/>
            <w:tcBorders>
              <w:top w:val="single" w:sz="4" w:space="0" w:color="auto"/>
              <w:left w:val="single" w:sz="4" w:space="0" w:color="auto"/>
              <w:bottom w:val="single" w:sz="4" w:space="0" w:color="auto"/>
              <w:right w:val="single" w:sz="4" w:space="0" w:color="auto"/>
            </w:tcBorders>
            <w:hideMark/>
          </w:tcPr>
          <w:p w14:paraId="51AD9DE8"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Intron</w:t>
            </w:r>
          </w:p>
        </w:tc>
        <w:tc>
          <w:tcPr>
            <w:tcW w:w="1416" w:type="pct"/>
            <w:tcBorders>
              <w:top w:val="single" w:sz="4" w:space="0" w:color="auto"/>
              <w:left w:val="single" w:sz="4" w:space="0" w:color="auto"/>
              <w:bottom w:val="single" w:sz="4" w:space="0" w:color="auto"/>
              <w:right w:val="single" w:sz="4" w:space="0" w:color="auto"/>
            </w:tcBorders>
            <w:hideMark/>
          </w:tcPr>
          <w:p w14:paraId="0C8FB583" w14:textId="4EB1BD5B"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4A3276" w:rsidRPr="00DD24FA">
              <w:rPr>
                <w:rFonts w:ascii="Times New Roman" w:hAnsi="Times New Roman" w:cs="Times New Roman"/>
                <w:sz w:val="18"/>
                <w:szCs w:val="18"/>
              </w:rPr>
              <w:instrText>ADDIN CSL_CITATION {"citationItems":[{"id":"ITEM-1","itemData":{"DOI":"10.1186/s12864-016-2511-y","ISSN":"14712164","PMID":"26960694","abstract":"Background: Saturated fatty acids can be detrimental to human health and have received considerable attention in recent years. Several studies using taurine breeds showed the existence of genetic variability and thus the possibility of genetic improvement of the fatty acid profile in beef. This study identified the regions of the genome associated with saturated, mono- and polyunsaturated fatty acids, and n-6 to n-3 ratios in the Longissimus thoracis of Nellore finished in feedlot, using the single-step method. Results: The results showed that 115 windows explain more than 1 % of the additive genetic variance for the 22 studied fatty acids. Thirty-one genomic regions that explain more than 1 % of the additive genetic variance were observed for total saturated fatty acids, C12:0, C14:0, C16:0 and C18:0. Nineteen genomic regions, distributed in sixteen different chromosomes accounted for more than 1 % of the additive genetic variance for the monounsaturated fatty acids, such as the sum of monounsaturated fatty acids, C14:1 cis-9, C18:1 trans-11, C18:1 cis-9, and C18:1 trans-9. Forty genomic regions explained more than 1 % of the additive variance for the polyunsaturated fatty acids group, which are related to the total polyunsaturated fatty acids, C20:4 n-6, C18:2 cis-9 cis12 n-6, C18:3 n-3, C18:3 n-6, C22:6 n-3 and C20:3 n-6 cis-8 cis-11 cis-14. Twenty-one genomic regions accounted for more than 1 % of the genetic variance for the group of omega-3, omega-6 and the n-6:n-3 ratio. Conclusions: The identification of such regions and the respective candidate genes, such as ELOVL5, ESSRG, PCYT1A and genes of the ABC group (ABC5, ABC6 and ABC10), should contribute to form a genetic basis of the fatty acid profile of Nellore (Bos indicus) beef, contributing to better selection of the traits associated with improving human health.","author":[{"dropping-particle":"","family":"Lemos","given":"Marcos V.A.","non-dropping-particle":"","parse-names":false,"suffix":""},{"dropping-particle":"","family":"Chiaia","given":"Hermenegildo Lucas Justino","non-dropping-particle":"","parse-names":false,"suffix":""},{"dropping-particle":"","family":"Berton","given":"Mariana Piatto","non-dropping-particle":"","parse-names":false,"suffix":""},{"dropping-particle":"","family":"Feitosa","given":"Fabieli L.B.","non-dropping-particle":"","parse-names":false,"suffix":""},{"dropping-particle":"","family":"Aboujaoud","given":"Carolyn","non-dropping-particle":"","parse-names":false,"suffix":""},{"dropping-particle":"","family":"Camargo","given":"Gregório M.F.","non-dropping-particle":"","parse-names":false,"suffix":""},{"dropping-particle":"","family":"Pereira","given":"Angélica S.C.","non-dropping-particle":"","parse-names":false,"suffix":""},{"dropping-particle":"","family":"Albuquerque","given":"Lucia G.","non-dropping-particle":"","parse-names":false,"suffix":""},{"dropping-particle":"","family":"Ferrinho","given":"Adrielle M.","non-dropping-particle":"","parse-names":false,"suffix":""},{"dropping-particle":"","family":"Mueller","given":"Lenise F.","non-dropping-particle":"","parse-names":false,"suffix":""},{"dropping-particle":"","family":"Mazalli","given":"Monica R.","non-dropping-particle":"","parse-names":false,"suffix":""},{"dropping-particle":"","family":"Furlan","given":"Joyce J.M.","non-dropping-particle":"","parse-names":false,"suffix":""},{"dropping-particle":"","family":"Carvalheiro","given":"Roberto","non-dropping-particle":"","parse-names":false,"suffix":""},{"dropping-particle":"","family":"Gordo","given":"Daniel M.","non-dropping-particle":"","parse-names":false,"suffix":""},{"dropping-particle":"","family":"Tonussi","given":"Rafael","non-dropping-particle":"","parse-names":false,"suffix":""},{"dropping-particle":"","family":"Espigolan","given":"Rafael","non-dropping-particle":"","parse-names":false,"suffix":""},{"dropping-particle":"","family":"Silva","given":"Rafael Medeiros de Oliveira","non-dropping-particle":"","parse-names":false,"suffix":""},{"dropping-particle":"","family":"Oliveira","given":"Henrique Nunes","non-dropping-particle":"de","parse-names":false,"suffix":""},{"dropping-particle":"","family":"Duckett","given":"Susan","non-dropping-particle":"","parse-names":false,"suffix":""},{"dropping-particle":"","family":"Aguilar","given":"Ignacio","non-dropping-particle":"","parse-names":false,"suffix":""},{"dropping-particle":"","family":"Baldi","given":"Fernando","non-dropping-particle":"","parse-names":false,"suffix":""}],"container-title":"BMC Genomics","id":"ITEM-1","issue":"1","issued":{"date-parts":[["2016","3","9"]]},"page":"213","publisher":"BioMed Central Ltd.","title":"Genome-wide association between single nucleotide polymorphisms with beef fatty acid profile in Nellore cattle using the single step procedure","type":"article-journal","volume":"17"},"uris":["http://www.mendeley.com/documents/?uuid=55f8e954-9546-3e4c-80f9-25f7455a3a21"]},{"id":"ITEM-2","itemData":{"DOI":"10.3168/jds.2017-12604","ISSN":"15253198","PMID":"28843688","abstract":"The objective of this study was to identify genomic regions and candidate genes associated with feed efficiency in lactating Holstein cows. In total, 4,916 cows with actual or imputed genotypes for 60,671 single nucleotide polymorphisms having individual feed intake, milk yield, milk composition, and body weight records were used in this study. Cows were from research herds located in the United States, Canada, the Netherlands, and the United Kingdom. Feed efficiency, defined as residual feed intake (RFI), was calculated within location as the residual of the regression of dry matter intake (DMI) on milk energy (MilkE), metabolic body weight (MBW), change in body weight, and systematic effects. For RFI, DMI, MilkE, and MBW, bivariate analyses were performed considering each trait as a separate trait within parity group to estimate variance components and genetic correlations between them. Animal relationships were established using a genomic relationship matrix. Genome-wide association studies were performed separately by parity group for RFI, DMI, MilkE, and MBW using the Bayes B method with a prior assumption that 1% of single nucleotide polymorphisms have a nonzero effect. One-megabase windows with greatest percentage of the total genetic variation explained by the markers (TGVM) were identified, and adjacent windows with large proportion of the TGVM were combined and reanalyzed. Heritability estimates for RFI were 0.14 (±0.03; ±SE) in primiparous cows and 0.13 (±0.03) in multiparous cows. Genetic correlations between primiparous and multiparous cows were 0.76 for RFI, 0.78 for DMI, 0.92 for MBW, and 0.61 for MilkE. No single 1-Mb window explained a significant proportion of the TGVM for RFI; however, after combining windows, significance was met on Bos taurus autosome 27 in primiparous cows, and nearly reached on Bos taurus autosome 4 in multiparous cows. Among other genes, these regions contain β-3 adrenergic receptor and the physiological candidate gene, leptin, respectively. Between the 2 parity groups, 3 of the 10 windows with the largest effects on DMI neighbored windows affecting RFI, but were not in the top 10 regions for MilkE or MBW. This result suggests a genetic basis for feed intake that is unrelated to energy consumption required for milk production or expected maintenance as determined by MBW. In conclusion, feed efficiency measured as RFI is a polygenic trait exhibiting a dynamic genetic basis and genetic variation distinct from that …","author":[{"dropping-particle":"","family":"Hardie","given":"L. C.","non-dropping-particle":"","parse-names":false,"suffix":""},{"dropping-particle":"","family":"VandeHaar","given":"M. J.","non-dropping-particle":"","parse-names":false,"suffix":""},{"dropping-particle":"","family":"Tempelman","given":"R. J.","non-dropping-particle":"","parse-names":false,"suffix":""},{"dropping-particle":"","family":"Weigel","given":"K. A.","non-dropping-particle":"","parse-names":false,"suffix":""},{"dropping-particle":"","family":"Armentano","given":"L. E.","non-dropping-particle":"","parse-names":false,"suffix":""},{"dropping-particle":"","family":"Wiggans","given":"G. R.","non-dropping-particle":"","parse-names":false,"suffix":""},{"dropping-particle":"","family":"Veerkamp","given":"R. F.","non-dropping-particle":"","parse-names":false,"suffix":""},{"dropping-particle":"","family":"Haas","given":"Y.","non-dropping-particle":"de","parse-names":false,"suffix":""},{"dropping-particle":"","family":"Coffey","given":"M. P.","non-dropping-particle":"","parse-names":false,"suffix":""},{"dropping-particle":"","family":"Connor","given":"E. E.","non-dropping-particle":"","parse-names":false,"suffix":""},{"dropping-particle":"","family":"Hanigan","given":"M. D.","non-dropping-particle":"","parse-names":false,"suffix":""},{"dropping-particle":"","family":"Staples","given":"C.","non-dropping-particle":"","parse-names":false,"suffix":""},{"dropping-particle":"","family":"Wang","given":"Z.","non-dropping-particle":"","parse-names":false,"suffix":""},{"dropping-particle":"","family":"Dekkers","given":"J. C.M.","non-dropping-particle":"","parse-names":false,"suffix":""},{"dropping-particle":"","family":"Spurlock","given":"D. M.","non-dropping-particle":"","parse-names":false,"suffix":""}],"container-title":"Journal of Dairy Science","id":"ITEM-2","issue":"11","issued":{"date-parts":[["2017","11","1"]]},"page":"9061-9075","publisher":"Elsevier Inc.","title":"The genetic and biological basis of feed efficiency in mid-lactation Holstein dairy cows","type":"article-journal","volume":"100"},"uris":["http://www.mendeley.com/documents/?uuid=7c36fdfc-ef58-487b-adf1-9e563c5be483"]}],"mendeley":{"formattedCitation":"[31, 64]","plainTextFormattedCitation":"[31, 64]","previouslyFormattedCitation":"[31, 64]"},"properties":{"noteIndex":0},"schema":"https://github.com/citation-style-language/schema/raw/master/csl-citation.json"}</w:instrText>
            </w:r>
            <w:r w:rsidRPr="00DD24FA">
              <w:rPr>
                <w:rFonts w:ascii="Times New Roman" w:hAnsi="Times New Roman" w:cs="Times New Roman"/>
                <w:sz w:val="18"/>
                <w:szCs w:val="18"/>
              </w:rPr>
              <w:fldChar w:fldCharType="separate"/>
            </w:r>
            <w:r w:rsidR="004A3276" w:rsidRPr="00DD24FA">
              <w:rPr>
                <w:rFonts w:ascii="Times New Roman" w:hAnsi="Times New Roman" w:cs="Times New Roman"/>
                <w:noProof/>
                <w:sz w:val="18"/>
                <w:szCs w:val="18"/>
              </w:rPr>
              <w:t>[31, 64]</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Fatty acid in muscle, milk energy</w:t>
            </w:r>
          </w:p>
        </w:tc>
      </w:tr>
      <w:tr w:rsidR="00DD24FA" w14:paraId="3599736A"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40F11239" w14:textId="77777777" w:rsidR="001B22CD" w:rsidRPr="00DD24FA" w:rsidRDefault="001B22CD" w:rsidP="00267B98">
            <w:pPr>
              <w:spacing w:after="0" w:line="240" w:lineRule="auto"/>
              <w:contextualSpacing/>
              <w:jc w:val="center"/>
              <w:rPr>
                <w:rFonts w:ascii="Times New Roman" w:hAnsi="Times New Roman" w:cs="Times New Roman"/>
                <w:i/>
                <w:sz w:val="18"/>
                <w:szCs w:val="18"/>
                <w:vertAlign w:val="superscript"/>
              </w:rPr>
            </w:pPr>
            <w:r w:rsidRPr="00DD24FA">
              <w:rPr>
                <w:rFonts w:ascii="Times New Roman" w:hAnsi="Times New Roman" w:cs="Times New Roman"/>
                <w:i/>
                <w:sz w:val="18"/>
                <w:szCs w:val="18"/>
              </w:rPr>
              <w:t>8_15</w:t>
            </w:r>
            <w:r w:rsidRPr="00DD24FA">
              <w:rPr>
                <w:rFonts w:ascii="Times New Roman" w:hAnsi="Times New Roman" w:cs="Times New Roman"/>
                <w:i/>
                <w:sz w:val="18"/>
                <w:szCs w:val="18"/>
                <w:vertAlign w:val="superscript"/>
              </w:rPr>
              <w:t>a</w:t>
            </w:r>
          </w:p>
        </w:tc>
        <w:tc>
          <w:tcPr>
            <w:tcW w:w="369" w:type="pct"/>
            <w:tcBorders>
              <w:top w:val="single" w:sz="4" w:space="0" w:color="auto"/>
              <w:left w:val="single" w:sz="4" w:space="0" w:color="auto"/>
              <w:bottom w:val="single" w:sz="4" w:space="0" w:color="auto"/>
              <w:right w:val="single" w:sz="4" w:space="0" w:color="auto"/>
            </w:tcBorders>
            <w:hideMark/>
          </w:tcPr>
          <w:p w14:paraId="7B54DE23"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5.049</w:t>
            </w:r>
          </w:p>
        </w:tc>
        <w:tc>
          <w:tcPr>
            <w:tcW w:w="554" w:type="pct"/>
            <w:tcBorders>
              <w:top w:val="single" w:sz="4" w:space="0" w:color="auto"/>
              <w:left w:val="single" w:sz="4" w:space="0" w:color="auto"/>
              <w:bottom w:val="single" w:sz="4" w:space="0" w:color="auto"/>
              <w:right w:val="single" w:sz="4" w:space="0" w:color="auto"/>
            </w:tcBorders>
            <w:hideMark/>
          </w:tcPr>
          <w:p w14:paraId="01DACD3E"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71.649</w:t>
            </w:r>
          </w:p>
        </w:tc>
        <w:tc>
          <w:tcPr>
            <w:tcW w:w="328" w:type="pct"/>
            <w:tcBorders>
              <w:top w:val="single" w:sz="4" w:space="0" w:color="auto"/>
              <w:left w:val="single" w:sz="4" w:space="0" w:color="auto"/>
              <w:bottom w:val="single" w:sz="4" w:space="0" w:color="auto"/>
              <w:right w:val="single" w:sz="4" w:space="0" w:color="auto"/>
            </w:tcBorders>
            <w:hideMark/>
          </w:tcPr>
          <w:p w14:paraId="420085FC"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0.013</w:t>
            </w:r>
          </w:p>
        </w:tc>
        <w:tc>
          <w:tcPr>
            <w:tcW w:w="570" w:type="pct"/>
            <w:tcBorders>
              <w:top w:val="single" w:sz="4" w:space="0" w:color="auto"/>
              <w:left w:val="single" w:sz="4" w:space="0" w:color="auto"/>
              <w:bottom w:val="single" w:sz="4" w:space="0" w:color="auto"/>
              <w:right w:val="single" w:sz="4" w:space="0" w:color="auto"/>
            </w:tcBorders>
            <w:hideMark/>
          </w:tcPr>
          <w:p w14:paraId="2920F2D0"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w:t>
            </w:r>
          </w:p>
        </w:tc>
        <w:tc>
          <w:tcPr>
            <w:tcW w:w="748" w:type="pct"/>
            <w:tcBorders>
              <w:top w:val="single" w:sz="4" w:space="0" w:color="auto"/>
              <w:left w:val="single" w:sz="4" w:space="0" w:color="auto"/>
              <w:bottom w:val="single" w:sz="4" w:space="0" w:color="auto"/>
              <w:right w:val="single" w:sz="4" w:space="0" w:color="auto"/>
            </w:tcBorders>
            <w:hideMark/>
          </w:tcPr>
          <w:p w14:paraId="700FCD02" w14:textId="77777777" w:rsidR="001B22CD" w:rsidRPr="00DD24FA" w:rsidRDefault="001B22CD" w:rsidP="00267B98">
            <w:pPr>
              <w:spacing w:after="0" w:line="240" w:lineRule="auto"/>
              <w:contextualSpacing/>
              <w:jc w:val="center"/>
              <w:rPr>
                <w:rFonts w:ascii="Times New Roman" w:hAnsi="Times New Roman" w:cs="Times New Roman"/>
                <w:i/>
                <w:iCs/>
                <w:color w:val="000000"/>
                <w:sz w:val="18"/>
                <w:szCs w:val="18"/>
              </w:rPr>
            </w:pPr>
            <w:r w:rsidRPr="00DD24FA">
              <w:rPr>
                <w:rFonts w:ascii="Times New Roman" w:hAnsi="Times New Roman" w:cs="Times New Roman"/>
                <w:i/>
                <w:iCs/>
                <w:color w:val="000000"/>
                <w:sz w:val="18"/>
                <w:szCs w:val="18"/>
              </w:rPr>
              <w:t>LINGO2</w:t>
            </w:r>
          </w:p>
        </w:tc>
        <w:tc>
          <w:tcPr>
            <w:tcW w:w="519" w:type="pct"/>
            <w:tcBorders>
              <w:top w:val="single" w:sz="4" w:space="0" w:color="auto"/>
              <w:left w:val="single" w:sz="4" w:space="0" w:color="auto"/>
              <w:bottom w:val="single" w:sz="4" w:space="0" w:color="auto"/>
              <w:right w:val="single" w:sz="4" w:space="0" w:color="auto"/>
            </w:tcBorders>
            <w:hideMark/>
          </w:tcPr>
          <w:p w14:paraId="2938AF74" w14:textId="77777777" w:rsidR="001B22CD" w:rsidRPr="00DD24FA" w:rsidRDefault="001B22CD"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5'UTR</w:t>
            </w:r>
          </w:p>
        </w:tc>
        <w:tc>
          <w:tcPr>
            <w:tcW w:w="1416" w:type="pct"/>
            <w:tcBorders>
              <w:top w:val="single" w:sz="4" w:space="0" w:color="auto"/>
              <w:left w:val="single" w:sz="4" w:space="0" w:color="auto"/>
              <w:bottom w:val="single" w:sz="4" w:space="0" w:color="auto"/>
              <w:right w:val="single" w:sz="4" w:space="0" w:color="auto"/>
            </w:tcBorders>
            <w:hideMark/>
          </w:tcPr>
          <w:p w14:paraId="7EAFB401" w14:textId="5CA53978" w:rsidR="001B22CD" w:rsidRPr="00DD24FA" w:rsidRDefault="001B22CD"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745C58" w:rsidRPr="00DD24FA">
              <w:rPr>
                <w:rFonts w:ascii="Times New Roman" w:hAnsi="Times New Roman" w:cs="Times New Roman"/>
                <w:sz w:val="18"/>
                <w:szCs w:val="18"/>
              </w:rPr>
              <w:instrText>ADDIN CSL_CITATION {"citationItems":[{"id":"ITEM-1","itemData":{"DOI":"10.1038/srep31109","ISSN":"20452322","PMID":"27506634","abstract":"High-throughput sequencing technologies have increased the ability to detect sequence variations for complex trait improvement. A high throughput genome wide genotyping-by-sequencing (GBS) method was used to generate 515,787 single nucleotide polymorphisms (SNPs), from which 76,355 SNPs with call rates &gt;85% and minor allele frequency ≥1.5% were used in genome wide association study (GWAS) of 44 milk traits in 1,246 Canadian Holstein cows. GWAS was accomplished with a mixed linear model procedure implementing the additive and dominant models. A strong signal within the centromeric region of bovine chromosome 14 was associated with test day fat percentage. Several SNPs were associated with eicosapentaenoic acid, docosapentaenoic acid, arachidonic acid, CLA:9c11t and gamma linolenic acid. Most of the significant SNPs for 44 traits studied are novel and located in intergenic regions or introns of genes. Novel potential candidate genes for milk traits or mammary gland functions include ERCC6, TONSL, NPAS2, ACER3, ITGB4, GGT6, ACOX3, MECR, ADAM12, ACHE, LRRC14, FUK, NPRL3, EVL, SLCO3A1, PSMA4, FTO, ADCK5, PP1R16A and TEP1. Our study further demonstrates the utility of the GBS approach for identifying population-specific SNPs for use in improvement of complex dairy traits.","author":[{"dropping-particle":"","family":"Ibeagha-Awemu","given":"Eveline M.","non-dropping-particle":"","parse-names":false,"suffix":""},{"dropping-particle":"","family":"Peters","given":"Sunday O.","non-dropping-particle":"","parse-names":false,"suffix":""},{"dropping-particle":"","family":"Akwanji","given":"Kingsley A.","non-dropping-particle":"","parse-names":false,"suffix":""},{"dropping-particle":"","family":"Imumorin","given":"Ikhide G.","non-dropping-particle":"","parse-names":false,"suffix":""},{"dropping-particle":"","family":"Zhao","given":"Xin","non-dropping-particle":"","parse-names":false,"suffix":""}],"container-title":"Scientific Reports","id":"ITEM-1","issue":"1","issued":{"date-parts":[["2016","8","10"]]},"page":"1-18","publisher":"Nature Publishing Group","title":"High density genome wide genotyping-by-sequencing and association identifies common and low frequency SNPs, and novel candidate genes influencing cow milk traits","type":"article-journal","volume":"6"},"uris":["http://www.mendeley.com/documents/?uuid=62cbc5cd-f96c-37d4-9eff-49acc72ad82b"]},{"id":"ITEM-2","itemData":{"DOI":"10.1371/journal.pone.0139906","ISSN":"1932-6203","abstract":"Understanding the genetic architecture of beef cattle growth cannot be limited simply to the genome-wide association study (GWAS) for body weight at any specific ages, but should be extended to a more general purpose by considering the whole growth trajectory over time using a growth curve approach. For such an approach, the parameters that are used to describe growth curves were treated as phenotypes under a GWAS model. Data from 1,255 Brahman cattle that were weighed at birth, 6, 12, 15, 18, and 24 months of age were analyzed. Parameter estimates, such as mature weight (A) and maturity rate (K) from nonlinear models are utilized as substitutes for the original body weights for the GWAS analysis. We chose the best nonlinear model to describe the weight-age data, and the estimated parameters were used as phenotypes in a multi-trait GWAS. Our aims were to identify and characterize associated SNP markers to indicate SNP-derived candidate genes and annotate their function as related to growth processes in beef cattle. The Brody model presented the best goodness of fit, and the heritability values for the parameter estimates for mature weight (A) and maturity rate (K) were 0.23 and 0.32, respectively, proving that these traits can be a feasible alternative when the objective is to change the shape of growth curves within genetic improvement programs. The genetic correlation between A and K was -0.84, indicating that animals with lower mature body weights reached that weight at younger ages. One hundred and sixty seven (167) and two hundred and sixty two (262) significant SNPs were associated with A and K, respectively. The annotated genes closest to the most significant SNPs for A had direct biological functions related to muscle development (RAB28), myogenic induction (BTG1), fetal growth (IL2), and body weights (APEX2); K genes were functionally associated with body weight, body height, average daily gain (TMEM18), and skeletal muscle development (SMN1). Candidate genes emerging from this GWAS may inform the search for causative mutations that could underpin genomic breeding for improved growth rates. Copyright:","author":[{"dropping-particle":"","family":"Crispim","given":"Aline Camporez","non-dropping-particle":"","parse-names":false,"suffix":""},{"dropping-particle":"","family":"Kelly","given":"Matthew John","non-dropping-particle":"","parse-names":false,"suffix":""},{"dropping-particle":"","family":"Guimarães","given":"Simone Eliza Facioni","non-dropping-particle":"","parse-names":false,"suffix":""},{"dropping-particle":"","family":"e Silva","given":"Fabyano Fonseca","non-dropping-particle":"","parse-names":false,"suffix":""},{"dropping-particle":"","family":"Fortes","given":"Marina Rufino Salinas","non-dropping-particle":"","parse-names":false,"suffix":""},{"dropping-particle":"","family":"Wenceslau","given":"Raphael Rocha","non-dropping-particle":"","parse-names":false,"suffix":""},{"dropping-particle":"","family":"Moore","given":"Stephen","non-dropping-particle":"","parse-names":false,"suffix":""}],"container-title":"PLOS ONE","editor":[{"dropping-particle":"","family":"Wu","given":"Rongling","non-dropping-particle":"","parse-names":false,"suffix":""}],"id":"ITEM-2","issue":"10","issued":{"date-parts":[["2015","10","7"]]},"page":"e0139906","publisher":"Public Library of Science","title":"Multi-Trait GWAS and New Candidate Genes Annotation for Growth Curve Parameters in Brahman Cattle","type":"article-journal","volume":"10"},"uris":["http://www.mendeley.com/documents/?uuid=a625c335-e6e2-3d56-9700-f72ce8d1ba77"]}],"mendeley":{"formattedCitation":"[2, 59]","plainTextFormattedCitation":"[2, 59]","previouslyFormattedCitation":"[2, 59]"},"properties":{"noteIndex":0},"schema":"https://github.com/citation-style-language/schema/raw/master/csl-citation.json"}</w:instrText>
            </w:r>
            <w:r w:rsidRPr="00DD24FA">
              <w:rPr>
                <w:rFonts w:ascii="Times New Roman" w:hAnsi="Times New Roman" w:cs="Times New Roman"/>
                <w:sz w:val="18"/>
                <w:szCs w:val="18"/>
              </w:rPr>
              <w:fldChar w:fldCharType="separate"/>
            </w:r>
            <w:r w:rsidR="00745C58" w:rsidRPr="00DD24FA">
              <w:rPr>
                <w:rFonts w:ascii="Times New Roman" w:hAnsi="Times New Roman" w:cs="Times New Roman"/>
                <w:noProof/>
                <w:sz w:val="18"/>
                <w:szCs w:val="18"/>
              </w:rPr>
              <w:t>[2, 59]</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Milk fatty acids, mature weight</w:t>
            </w:r>
          </w:p>
        </w:tc>
      </w:tr>
    </w:tbl>
    <w:p w14:paraId="19E47402" w14:textId="07428E62" w:rsidR="00E13A86" w:rsidRPr="00F85CC8" w:rsidRDefault="001B22CD" w:rsidP="00267B98">
      <w:pPr>
        <w:spacing w:after="0" w:line="240" w:lineRule="auto"/>
        <w:contextualSpacing/>
        <w:rPr>
          <w:sz w:val="20"/>
          <w:szCs w:val="20"/>
        </w:rPr>
      </w:pPr>
      <w:r w:rsidRPr="00F85CC8">
        <w:rPr>
          <w:sz w:val="20"/>
          <w:szCs w:val="20"/>
          <w:vertAlign w:val="superscript"/>
        </w:rPr>
        <w:t>a</w:t>
      </w:r>
      <w:r w:rsidRPr="00F85CC8">
        <w:rPr>
          <w:sz w:val="20"/>
          <w:szCs w:val="20"/>
        </w:rPr>
        <w:t xml:space="preserve"> Significant for </w:t>
      </w:r>
      <w:r w:rsidR="0093268A" w:rsidRPr="00F85CC8">
        <w:rPr>
          <w:sz w:val="20"/>
          <w:szCs w:val="20"/>
        </w:rPr>
        <w:t xml:space="preserve">U.S. </w:t>
      </w:r>
      <w:r w:rsidRPr="00F85CC8">
        <w:rPr>
          <w:sz w:val="20"/>
          <w:szCs w:val="20"/>
        </w:rPr>
        <w:t xml:space="preserve">Desert Ecoregion, </w:t>
      </w:r>
    </w:p>
    <w:p w14:paraId="5AED7675" w14:textId="4FDF1C96" w:rsidR="001B22CD" w:rsidRPr="00F85CC8" w:rsidRDefault="00E13A86" w:rsidP="00267B98">
      <w:pPr>
        <w:spacing w:after="0" w:line="240" w:lineRule="auto"/>
        <w:contextualSpacing/>
        <w:rPr>
          <w:sz w:val="20"/>
          <w:szCs w:val="20"/>
        </w:rPr>
      </w:pPr>
      <w:r w:rsidRPr="00F85CC8">
        <w:rPr>
          <w:sz w:val="20"/>
          <w:szCs w:val="20"/>
          <w:vertAlign w:val="superscript"/>
        </w:rPr>
        <w:t xml:space="preserve">b </w:t>
      </w:r>
      <w:r w:rsidRPr="00F85CC8">
        <w:rPr>
          <w:sz w:val="20"/>
          <w:szCs w:val="20"/>
        </w:rPr>
        <w:t>Indicates a non</w:t>
      </w:r>
      <w:r w:rsidR="001B22CD" w:rsidRPr="00F85CC8">
        <w:rPr>
          <w:sz w:val="20"/>
          <w:szCs w:val="20"/>
        </w:rPr>
        <w:t>synonymous mutation</w:t>
      </w:r>
      <w:r w:rsidRPr="00F85CC8">
        <w:rPr>
          <w:sz w:val="20"/>
          <w:szCs w:val="20"/>
        </w:rPr>
        <w:t xml:space="preserve"> Arg </w:t>
      </w:r>
      <w:r w:rsidR="0072476E" w:rsidRPr="00F85CC8">
        <w:rPr>
          <w:rFonts w:cstheme="minorHAnsi"/>
          <w:sz w:val="20"/>
          <w:szCs w:val="20"/>
        </w:rPr>
        <w:t>→</w:t>
      </w:r>
      <w:r w:rsidRPr="00F85CC8">
        <w:rPr>
          <w:sz w:val="20"/>
          <w:szCs w:val="20"/>
        </w:rPr>
        <w:t xml:space="preserve"> His,</w:t>
      </w:r>
      <w:r w:rsidR="001B22CD" w:rsidRPr="00F85CC8">
        <w:rPr>
          <w:sz w:val="20"/>
          <w:szCs w:val="20"/>
        </w:rPr>
        <w:t xml:space="preserve"> exon 8 </w:t>
      </w:r>
    </w:p>
    <w:p w14:paraId="2AEFC2C7" w14:textId="3B81A652" w:rsidR="00E13A86" w:rsidRPr="00F85CC8" w:rsidRDefault="00E13A86" w:rsidP="00267B98">
      <w:pPr>
        <w:spacing w:after="0" w:line="240" w:lineRule="auto"/>
        <w:contextualSpacing/>
        <w:rPr>
          <w:sz w:val="20"/>
          <w:szCs w:val="20"/>
        </w:rPr>
      </w:pPr>
      <w:r w:rsidRPr="00F85CC8">
        <w:rPr>
          <w:sz w:val="20"/>
          <w:szCs w:val="20"/>
          <w:vertAlign w:val="superscript"/>
        </w:rPr>
        <w:t xml:space="preserve">c </w:t>
      </w:r>
      <w:r w:rsidRPr="00F85CC8">
        <w:rPr>
          <w:sz w:val="20"/>
          <w:szCs w:val="20"/>
        </w:rPr>
        <w:t xml:space="preserve">Significant for </w:t>
      </w:r>
      <w:r w:rsidR="0093268A" w:rsidRPr="00F85CC8">
        <w:rPr>
          <w:sz w:val="20"/>
          <w:szCs w:val="20"/>
        </w:rPr>
        <w:t xml:space="preserve">U.S. </w:t>
      </w:r>
      <w:r w:rsidRPr="00F85CC8">
        <w:rPr>
          <w:sz w:val="20"/>
          <w:szCs w:val="20"/>
        </w:rPr>
        <w:t>Foothills Ecoregion</w:t>
      </w:r>
    </w:p>
    <w:p w14:paraId="5638BFE2" w14:textId="4DF5C9DE" w:rsidR="00E13A86" w:rsidRPr="00F85CC8" w:rsidRDefault="00E13A86" w:rsidP="00267B98">
      <w:pPr>
        <w:spacing w:after="0" w:line="240" w:lineRule="auto"/>
        <w:contextualSpacing/>
        <w:rPr>
          <w:sz w:val="20"/>
          <w:szCs w:val="20"/>
        </w:rPr>
      </w:pPr>
      <w:r w:rsidRPr="00F85CC8">
        <w:rPr>
          <w:sz w:val="20"/>
          <w:szCs w:val="20"/>
          <w:vertAlign w:val="superscript"/>
        </w:rPr>
        <w:t xml:space="preserve">d </w:t>
      </w:r>
      <w:r w:rsidRPr="00F85CC8">
        <w:rPr>
          <w:sz w:val="20"/>
          <w:szCs w:val="20"/>
        </w:rPr>
        <w:t>Significant for</w:t>
      </w:r>
      <w:r w:rsidR="0093268A" w:rsidRPr="00F85CC8">
        <w:rPr>
          <w:sz w:val="20"/>
          <w:szCs w:val="20"/>
        </w:rPr>
        <w:t xml:space="preserve"> U.S.</w:t>
      </w:r>
      <w:r w:rsidRPr="00F85CC8">
        <w:rPr>
          <w:sz w:val="20"/>
          <w:szCs w:val="20"/>
        </w:rPr>
        <w:t xml:space="preserve"> High Plains Ecoregion</w:t>
      </w:r>
    </w:p>
    <w:p w14:paraId="2AAF878C" w14:textId="42C2C7B3" w:rsidR="00E13A86" w:rsidRPr="00F85CC8" w:rsidRDefault="00E13A86" w:rsidP="00267B98">
      <w:pPr>
        <w:spacing w:after="0" w:line="240" w:lineRule="auto"/>
        <w:contextualSpacing/>
        <w:rPr>
          <w:sz w:val="20"/>
          <w:szCs w:val="20"/>
        </w:rPr>
      </w:pPr>
      <w:r w:rsidRPr="00F85CC8">
        <w:rPr>
          <w:sz w:val="20"/>
          <w:szCs w:val="20"/>
          <w:vertAlign w:val="superscript"/>
        </w:rPr>
        <w:t xml:space="preserve">e </w:t>
      </w:r>
      <w:r w:rsidRPr="00F85CC8">
        <w:rPr>
          <w:sz w:val="20"/>
          <w:szCs w:val="20"/>
        </w:rPr>
        <w:t xml:space="preserve">Significant for </w:t>
      </w:r>
      <w:r w:rsidR="0093268A" w:rsidRPr="00F85CC8">
        <w:rPr>
          <w:sz w:val="20"/>
          <w:szCs w:val="20"/>
        </w:rPr>
        <w:t xml:space="preserve">U.S. </w:t>
      </w:r>
      <w:r w:rsidRPr="00F85CC8">
        <w:rPr>
          <w:sz w:val="20"/>
          <w:szCs w:val="20"/>
        </w:rPr>
        <w:t>Arid Prairie Ecoregion</w:t>
      </w:r>
    </w:p>
    <w:p w14:paraId="62E6553F" w14:textId="7D73A334" w:rsidR="001B22CD" w:rsidRPr="00F85CC8" w:rsidRDefault="00E13A86" w:rsidP="00267B98">
      <w:pPr>
        <w:spacing w:after="0" w:line="240" w:lineRule="auto"/>
        <w:contextualSpacing/>
        <w:rPr>
          <w:sz w:val="20"/>
          <w:szCs w:val="20"/>
        </w:rPr>
      </w:pPr>
      <w:r w:rsidRPr="00F85CC8">
        <w:rPr>
          <w:sz w:val="20"/>
          <w:szCs w:val="20"/>
          <w:vertAlign w:val="superscript"/>
        </w:rPr>
        <w:t>f</w:t>
      </w:r>
      <w:r w:rsidR="001B22CD" w:rsidRPr="00F85CC8">
        <w:rPr>
          <w:sz w:val="20"/>
          <w:szCs w:val="20"/>
          <w:vertAlign w:val="superscript"/>
        </w:rPr>
        <w:t xml:space="preserve"> </w:t>
      </w:r>
      <w:r w:rsidR="001B22CD" w:rsidRPr="00F85CC8">
        <w:rPr>
          <w:sz w:val="20"/>
          <w:szCs w:val="20"/>
        </w:rPr>
        <w:t xml:space="preserve">Significant for </w:t>
      </w:r>
      <w:r w:rsidR="0093268A" w:rsidRPr="00F85CC8">
        <w:rPr>
          <w:sz w:val="20"/>
          <w:szCs w:val="20"/>
        </w:rPr>
        <w:t xml:space="preserve">U.S. </w:t>
      </w:r>
      <w:r w:rsidR="001B22CD" w:rsidRPr="00F85CC8">
        <w:rPr>
          <w:sz w:val="20"/>
          <w:szCs w:val="20"/>
        </w:rPr>
        <w:t>Southeast Ecoregion</w:t>
      </w:r>
    </w:p>
    <w:p w14:paraId="402ED28E" w14:textId="621D9231" w:rsidR="001B22CD" w:rsidRPr="00F85CC8" w:rsidRDefault="00E13A86" w:rsidP="00267B98">
      <w:pPr>
        <w:spacing w:after="0" w:line="240" w:lineRule="auto"/>
        <w:contextualSpacing/>
        <w:rPr>
          <w:sz w:val="20"/>
          <w:szCs w:val="20"/>
        </w:rPr>
      </w:pPr>
      <w:r w:rsidRPr="00F85CC8">
        <w:rPr>
          <w:sz w:val="20"/>
          <w:szCs w:val="20"/>
          <w:vertAlign w:val="superscript"/>
        </w:rPr>
        <w:t>g</w:t>
      </w:r>
      <w:r w:rsidR="001B22CD" w:rsidRPr="00F85CC8">
        <w:rPr>
          <w:sz w:val="20"/>
          <w:szCs w:val="20"/>
          <w:vertAlign w:val="superscript"/>
        </w:rPr>
        <w:t xml:space="preserve"> </w:t>
      </w:r>
      <w:r w:rsidR="001B22CD" w:rsidRPr="00F85CC8">
        <w:rPr>
          <w:sz w:val="20"/>
          <w:szCs w:val="20"/>
        </w:rPr>
        <w:t xml:space="preserve">Significant for </w:t>
      </w:r>
      <w:r w:rsidR="0093268A" w:rsidRPr="00F85CC8">
        <w:rPr>
          <w:sz w:val="20"/>
          <w:szCs w:val="20"/>
        </w:rPr>
        <w:t xml:space="preserve">U.S. </w:t>
      </w:r>
      <w:r w:rsidR="001B22CD" w:rsidRPr="00F85CC8">
        <w:rPr>
          <w:sz w:val="20"/>
          <w:szCs w:val="20"/>
        </w:rPr>
        <w:t>Upper Midwest &amp; Northeast Ecoregion</w:t>
      </w:r>
    </w:p>
    <w:p w14:paraId="411C90D3" w14:textId="239987BD" w:rsidR="00B7190B" w:rsidRPr="00267B98" w:rsidRDefault="00EC1123" w:rsidP="00267B98">
      <w:pPr>
        <w:spacing w:after="0" w:line="240" w:lineRule="auto"/>
        <w:contextualSpacing/>
      </w:pPr>
      <w:r>
        <w:t>F</w:t>
      </w:r>
    </w:p>
    <w:p w14:paraId="11ABB376" w14:textId="1BFF59F8" w:rsidR="0013515C" w:rsidRDefault="0013515C" w:rsidP="00267B98">
      <w:pPr>
        <w:spacing w:after="0" w:line="240" w:lineRule="auto"/>
        <w:contextualSpacing/>
        <w:rPr>
          <w:rFonts w:ascii="Times New Roman" w:hAnsi="Times New Roman" w:cs="Times New Roman"/>
        </w:rPr>
      </w:pPr>
      <w:r w:rsidRPr="00B361C9">
        <w:rPr>
          <w:rFonts w:ascii="Times New Roman" w:hAnsi="Times New Roman" w:cs="Times New Roman"/>
          <w:b/>
        </w:rPr>
        <w:t>Table</w:t>
      </w:r>
      <w:r>
        <w:rPr>
          <w:rFonts w:ascii="Times New Roman" w:hAnsi="Times New Roman" w:cs="Times New Roman"/>
          <w:b/>
        </w:rPr>
        <w:t xml:space="preserve"> S</w:t>
      </w:r>
      <w:r w:rsidR="00B7190B">
        <w:rPr>
          <w:rFonts w:ascii="Times New Roman" w:hAnsi="Times New Roman" w:cs="Times New Roman"/>
          <w:b/>
        </w:rPr>
        <w:t>9</w:t>
      </w:r>
      <w:r w:rsidRPr="00B361C9">
        <w:rPr>
          <w:rFonts w:ascii="Times New Roman" w:hAnsi="Times New Roman" w:cs="Times New Roman"/>
          <w:b/>
        </w:rPr>
        <w:t xml:space="preserve">. </w:t>
      </w:r>
      <w:r w:rsidRPr="00B361C9">
        <w:rPr>
          <w:rFonts w:ascii="Times New Roman" w:hAnsi="Times New Roman" w:cs="Times New Roman"/>
        </w:rPr>
        <w:t>Summary of</w:t>
      </w:r>
      <w:r w:rsidRPr="00B361C9">
        <w:rPr>
          <w:rFonts w:ascii="Times New Roman" w:hAnsi="Times New Roman" w:cs="Times New Roman"/>
          <w:b/>
        </w:rPr>
        <w:t xml:space="preserve"> </w:t>
      </w:r>
      <w:r w:rsidRPr="00B361C9">
        <w:rPr>
          <w:rFonts w:ascii="Times New Roman" w:hAnsi="Times New Roman" w:cs="Times New Roman"/>
        </w:rPr>
        <w:t>GxE</w:t>
      </w:r>
      <w:r w:rsidRPr="00B361C9">
        <w:rPr>
          <w:rFonts w:ascii="Times New Roman" w:hAnsi="Times New Roman" w:cs="Times New Roman"/>
          <w:b/>
        </w:rPr>
        <w:t xml:space="preserve"> </w:t>
      </w:r>
      <w:r w:rsidR="001C2F4F">
        <w:rPr>
          <w:rFonts w:ascii="Times New Roman" w:hAnsi="Times New Roman" w:cs="Times New Roman"/>
        </w:rPr>
        <w:t>interactions</w:t>
      </w:r>
      <w:r w:rsidRPr="00B361C9">
        <w:rPr>
          <w:rFonts w:ascii="Times New Roman" w:hAnsi="Times New Roman" w:cs="Times New Roman"/>
        </w:rPr>
        <w:t xml:space="preserve"> </w:t>
      </w:r>
      <w:r w:rsidR="00F85CC8">
        <w:rPr>
          <w:rFonts w:ascii="Times New Roman" w:hAnsi="Times New Roman" w:cs="Times New Roman"/>
        </w:rPr>
        <w:t>with 2 to 4 supporting SNPs</w:t>
      </w:r>
      <w:r w:rsidR="00F85CC8" w:rsidRPr="00B361C9">
        <w:rPr>
          <w:rFonts w:ascii="Times New Roman" w:hAnsi="Times New Roman" w:cs="Times New Roman"/>
        </w:rPr>
        <w:t xml:space="preserve"> </w:t>
      </w:r>
      <w:r w:rsidRPr="00B361C9">
        <w:rPr>
          <w:rFonts w:ascii="Times New Roman" w:hAnsi="Times New Roman" w:cs="Times New Roman"/>
        </w:rPr>
        <w:t xml:space="preserve">detected for </w:t>
      </w:r>
      <w:r w:rsidR="00DD1300">
        <w:rPr>
          <w:rFonts w:ascii="Times New Roman" w:hAnsi="Times New Roman" w:cs="Times New Roman"/>
        </w:rPr>
        <w:t>yearling weight</w:t>
      </w:r>
      <w:r w:rsidRPr="00B361C9">
        <w:rPr>
          <w:rFonts w:ascii="Times New Roman" w:hAnsi="Times New Roman" w:cs="Times New Roman"/>
        </w:rPr>
        <w:t xml:space="preserve"> in U.S. </w:t>
      </w:r>
      <w:r>
        <w:rPr>
          <w:rFonts w:ascii="Times New Roman" w:hAnsi="Times New Roman" w:cs="Times New Roman"/>
        </w:rPr>
        <w:t>Red Angus</w:t>
      </w:r>
      <w:r w:rsidRPr="00B361C9">
        <w:rPr>
          <w:rFonts w:ascii="Times New Roman" w:hAnsi="Times New Roman" w:cs="Times New Roman"/>
        </w:rPr>
        <w:t xml:space="preserve"> cattle.</w:t>
      </w:r>
    </w:p>
    <w:tbl>
      <w:tblPr>
        <w:tblW w:w="50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692"/>
        <w:gridCol w:w="1056"/>
        <w:gridCol w:w="626"/>
        <w:gridCol w:w="1087"/>
        <w:gridCol w:w="1505"/>
        <w:gridCol w:w="946"/>
        <w:gridCol w:w="2689"/>
      </w:tblGrid>
      <w:tr w:rsidR="00DD24FA" w14:paraId="5D89566C"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03106CA5" w14:textId="77777777" w:rsidR="0013515C" w:rsidRPr="00DD24FA" w:rsidRDefault="0013515C" w:rsidP="00267B98">
            <w:pPr>
              <w:spacing w:after="0" w:line="240" w:lineRule="auto"/>
              <w:contextualSpacing/>
              <w:jc w:val="center"/>
              <w:rPr>
                <w:rFonts w:ascii="Times New Roman" w:hAnsi="Times New Roman" w:cs="Times New Roman"/>
                <w:b/>
                <w:sz w:val="18"/>
                <w:szCs w:val="18"/>
              </w:rPr>
            </w:pPr>
            <w:proofErr w:type="spellStart"/>
            <w:r w:rsidRPr="00DD24FA">
              <w:rPr>
                <w:rFonts w:ascii="Times New Roman" w:hAnsi="Times New Roman" w:cs="Times New Roman"/>
                <w:b/>
                <w:sz w:val="18"/>
                <w:szCs w:val="18"/>
              </w:rPr>
              <w:t>Chr_Mb</w:t>
            </w:r>
            <w:proofErr w:type="spellEnd"/>
          </w:p>
        </w:tc>
        <w:tc>
          <w:tcPr>
            <w:tcW w:w="369" w:type="pct"/>
            <w:tcBorders>
              <w:top w:val="single" w:sz="4" w:space="0" w:color="auto"/>
              <w:left w:val="single" w:sz="4" w:space="0" w:color="auto"/>
              <w:bottom w:val="single" w:sz="4" w:space="0" w:color="auto"/>
              <w:right w:val="single" w:sz="4" w:space="0" w:color="auto"/>
            </w:tcBorders>
            <w:hideMark/>
          </w:tcPr>
          <w:p w14:paraId="2824A0F4" w14:textId="77777777" w:rsidR="0013515C" w:rsidRPr="00DD24FA" w:rsidRDefault="0013515C"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-log</w:t>
            </w:r>
            <w:r w:rsidRPr="00DD24FA">
              <w:rPr>
                <w:rFonts w:ascii="Times New Roman" w:hAnsi="Times New Roman" w:cs="Times New Roman"/>
                <w:b/>
                <w:sz w:val="18"/>
                <w:szCs w:val="18"/>
                <w:vertAlign w:val="subscript"/>
              </w:rPr>
              <w:t>10</w:t>
            </w:r>
          </w:p>
          <w:p w14:paraId="203F6E29" w14:textId="77777777" w:rsidR="0013515C" w:rsidRPr="00DD24FA" w:rsidRDefault="0013515C"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P-value</w:t>
            </w:r>
          </w:p>
        </w:tc>
        <w:tc>
          <w:tcPr>
            <w:tcW w:w="554" w:type="pct"/>
            <w:tcBorders>
              <w:top w:val="single" w:sz="4" w:space="0" w:color="auto"/>
              <w:left w:val="single" w:sz="4" w:space="0" w:color="auto"/>
              <w:bottom w:val="single" w:sz="4" w:space="0" w:color="auto"/>
              <w:right w:val="single" w:sz="4" w:space="0" w:color="auto"/>
            </w:tcBorders>
            <w:hideMark/>
          </w:tcPr>
          <w:p w14:paraId="3C71EA3E" w14:textId="77777777" w:rsidR="0013515C" w:rsidRPr="00DD24FA" w:rsidRDefault="0013515C"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Regression</w:t>
            </w:r>
          </w:p>
          <w:p w14:paraId="79343412" w14:textId="77777777" w:rsidR="0013515C" w:rsidRPr="00DD24FA" w:rsidRDefault="0013515C"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Beta</w:t>
            </w:r>
          </w:p>
        </w:tc>
        <w:tc>
          <w:tcPr>
            <w:tcW w:w="328" w:type="pct"/>
            <w:tcBorders>
              <w:top w:val="single" w:sz="4" w:space="0" w:color="auto"/>
              <w:left w:val="single" w:sz="4" w:space="0" w:color="auto"/>
              <w:bottom w:val="single" w:sz="4" w:space="0" w:color="auto"/>
              <w:right w:val="single" w:sz="4" w:space="0" w:color="auto"/>
            </w:tcBorders>
            <w:hideMark/>
          </w:tcPr>
          <w:p w14:paraId="62BE97CA" w14:textId="77777777" w:rsidR="0013515C" w:rsidRPr="00DD24FA" w:rsidRDefault="0013515C"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MAF</w:t>
            </w:r>
          </w:p>
        </w:tc>
        <w:tc>
          <w:tcPr>
            <w:tcW w:w="570" w:type="pct"/>
            <w:tcBorders>
              <w:top w:val="single" w:sz="4" w:space="0" w:color="auto"/>
              <w:left w:val="single" w:sz="4" w:space="0" w:color="auto"/>
              <w:bottom w:val="single" w:sz="4" w:space="0" w:color="auto"/>
              <w:right w:val="single" w:sz="4" w:space="0" w:color="auto"/>
            </w:tcBorders>
            <w:hideMark/>
          </w:tcPr>
          <w:p w14:paraId="44D206F6" w14:textId="77777777" w:rsidR="0013515C" w:rsidRPr="00DD24FA" w:rsidRDefault="0013515C"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Supporting</w:t>
            </w:r>
          </w:p>
          <w:p w14:paraId="4861D865" w14:textId="77777777" w:rsidR="0013515C" w:rsidRPr="00DD24FA" w:rsidRDefault="0013515C"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SNPs</w:t>
            </w:r>
          </w:p>
        </w:tc>
        <w:tc>
          <w:tcPr>
            <w:tcW w:w="795" w:type="pct"/>
            <w:tcBorders>
              <w:top w:val="single" w:sz="4" w:space="0" w:color="auto"/>
              <w:left w:val="single" w:sz="4" w:space="0" w:color="auto"/>
              <w:bottom w:val="single" w:sz="4" w:space="0" w:color="auto"/>
              <w:right w:val="single" w:sz="4" w:space="0" w:color="auto"/>
            </w:tcBorders>
            <w:hideMark/>
          </w:tcPr>
          <w:p w14:paraId="6CB76A0A" w14:textId="77777777" w:rsidR="0013515C" w:rsidRPr="00DD24FA" w:rsidRDefault="0013515C"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Positional</w:t>
            </w:r>
          </w:p>
          <w:p w14:paraId="536BE92F" w14:textId="77777777" w:rsidR="0013515C" w:rsidRPr="00DD24FA" w:rsidRDefault="0013515C"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Candidate</w:t>
            </w:r>
          </w:p>
          <w:p w14:paraId="6DDD8B1C" w14:textId="77777777" w:rsidR="0013515C" w:rsidRPr="00DD24FA" w:rsidRDefault="0013515C"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Genes</w:t>
            </w:r>
          </w:p>
        </w:tc>
        <w:tc>
          <w:tcPr>
            <w:tcW w:w="472" w:type="pct"/>
            <w:tcBorders>
              <w:top w:val="single" w:sz="4" w:space="0" w:color="auto"/>
              <w:left w:val="single" w:sz="4" w:space="0" w:color="auto"/>
              <w:bottom w:val="single" w:sz="4" w:space="0" w:color="auto"/>
              <w:right w:val="single" w:sz="4" w:space="0" w:color="auto"/>
            </w:tcBorders>
            <w:hideMark/>
          </w:tcPr>
          <w:p w14:paraId="672EA59C" w14:textId="77777777" w:rsidR="0013515C" w:rsidRPr="00DD24FA" w:rsidRDefault="0013515C"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Lead SNP</w:t>
            </w:r>
          </w:p>
          <w:p w14:paraId="03943601" w14:textId="77777777" w:rsidR="0013515C" w:rsidRPr="00DD24FA" w:rsidRDefault="0013515C"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Location</w:t>
            </w:r>
          </w:p>
        </w:tc>
        <w:tc>
          <w:tcPr>
            <w:tcW w:w="1416" w:type="pct"/>
            <w:tcBorders>
              <w:top w:val="single" w:sz="4" w:space="0" w:color="auto"/>
              <w:left w:val="single" w:sz="4" w:space="0" w:color="auto"/>
              <w:bottom w:val="single" w:sz="4" w:space="0" w:color="auto"/>
              <w:right w:val="single" w:sz="4" w:space="0" w:color="auto"/>
            </w:tcBorders>
            <w:hideMark/>
          </w:tcPr>
          <w:p w14:paraId="67E88027" w14:textId="77777777" w:rsidR="0013515C" w:rsidRPr="00DD24FA" w:rsidRDefault="0013515C" w:rsidP="00267B98">
            <w:pPr>
              <w:spacing w:after="0" w:line="240" w:lineRule="auto"/>
              <w:contextualSpacing/>
              <w:jc w:val="center"/>
              <w:rPr>
                <w:rFonts w:ascii="Times New Roman" w:hAnsi="Times New Roman" w:cs="Times New Roman"/>
                <w:b/>
                <w:sz w:val="18"/>
                <w:szCs w:val="18"/>
              </w:rPr>
            </w:pPr>
            <w:r w:rsidRPr="00DD24FA">
              <w:rPr>
                <w:rFonts w:ascii="Times New Roman" w:hAnsi="Times New Roman" w:cs="Times New Roman"/>
                <w:b/>
                <w:sz w:val="18"/>
                <w:szCs w:val="18"/>
              </w:rPr>
              <w:t>Scientific Precedence [reference]; organism; trait</w:t>
            </w:r>
          </w:p>
        </w:tc>
      </w:tr>
      <w:tr w:rsidR="00DD24FA" w14:paraId="04FF8D99"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78C5498B" w14:textId="1A792C13" w:rsidR="0013515C" w:rsidRPr="00DD24FA" w:rsidRDefault="0013515C"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8_15</w:t>
            </w:r>
            <w:r w:rsidR="001C4707" w:rsidRPr="00DD24FA">
              <w:rPr>
                <w:rFonts w:ascii="Times New Roman" w:hAnsi="Times New Roman" w:cs="Times New Roman"/>
                <w:i/>
                <w:sz w:val="18"/>
                <w:szCs w:val="18"/>
                <w:vertAlign w:val="superscript"/>
              </w:rPr>
              <w:t>a</w:t>
            </w:r>
          </w:p>
        </w:tc>
        <w:tc>
          <w:tcPr>
            <w:tcW w:w="369" w:type="pct"/>
            <w:tcBorders>
              <w:top w:val="single" w:sz="4" w:space="0" w:color="auto"/>
              <w:left w:val="single" w:sz="4" w:space="0" w:color="auto"/>
              <w:bottom w:val="single" w:sz="4" w:space="0" w:color="auto"/>
              <w:right w:val="single" w:sz="4" w:space="0" w:color="auto"/>
            </w:tcBorders>
            <w:hideMark/>
          </w:tcPr>
          <w:p w14:paraId="43A3514E"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6.201</w:t>
            </w:r>
          </w:p>
        </w:tc>
        <w:tc>
          <w:tcPr>
            <w:tcW w:w="554" w:type="pct"/>
            <w:tcBorders>
              <w:top w:val="single" w:sz="4" w:space="0" w:color="auto"/>
              <w:left w:val="single" w:sz="4" w:space="0" w:color="auto"/>
              <w:bottom w:val="single" w:sz="4" w:space="0" w:color="auto"/>
              <w:right w:val="single" w:sz="4" w:space="0" w:color="auto"/>
            </w:tcBorders>
            <w:hideMark/>
          </w:tcPr>
          <w:p w14:paraId="6B730842"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228.864</w:t>
            </w:r>
          </w:p>
        </w:tc>
        <w:tc>
          <w:tcPr>
            <w:tcW w:w="328" w:type="pct"/>
            <w:tcBorders>
              <w:top w:val="single" w:sz="4" w:space="0" w:color="auto"/>
              <w:left w:val="single" w:sz="4" w:space="0" w:color="auto"/>
              <w:bottom w:val="single" w:sz="4" w:space="0" w:color="auto"/>
              <w:right w:val="single" w:sz="4" w:space="0" w:color="auto"/>
            </w:tcBorders>
            <w:hideMark/>
          </w:tcPr>
          <w:p w14:paraId="3710AD89"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0.025</w:t>
            </w:r>
          </w:p>
        </w:tc>
        <w:tc>
          <w:tcPr>
            <w:tcW w:w="570" w:type="pct"/>
            <w:tcBorders>
              <w:top w:val="single" w:sz="4" w:space="0" w:color="auto"/>
              <w:left w:val="single" w:sz="4" w:space="0" w:color="auto"/>
              <w:bottom w:val="single" w:sz="4" w:space="0" w:color="auto"/>
              <w:right w:val="single" w:sz="4" w:space="0" w:color="auto"/>
            </w:tcBorders>
            <w:hideMark/>
          </w:tcPr>
          <w:p w14:paraId="15DE276E"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w:t>
            </w:r>
          </w:p>
        </w:tc>
        <w:tc>
          <w:tcPr>
            <w:tcW w:w="795" w:type="pct"/>
            <w:tcBorders>
              <w:top w:val="single" w:sz="4" w:space="0" w:color="auto"/>
              <w:left w:val="single" w:sz="4" w:space="0" w:color="auto"/>
              <w:bottom w:val="single" w:sz="4" w:space="0" w:color="auto"/>
              <w:right w:val="single" w:sz="4" w:space="0" w:color="auto"/>
            </w:tcBorders>
            <w:hideMark/>
          </w:tcPr>
          <w:p w14:paraId="069B6574" w14:textId="77777777" w:rsidR="0013515C" w:rsidRPr="00DD24FA" w:rsidRDefault="0013515C" w:rsidP="00267B98">
            <w:pPr>
              <w:spacing w:after="0" w:line="240" w:lineRule="auto"/>
              <w:contextualSpacing/>
              <w:jc w:val="center"/>
              <w:rPr>
                <w:rFonts w:ascii="Times New Roman" w:hAnsi="Times New Roman" w:cs="Times New Roman"/>
                <w:i/>
                <w:iCs/>
                <w:color w:val="000000"/>
                <w:sz w:val="18"/>
                <w:szCs w:val="18"/>
              </w:rPr>
            </w:pPr>
            <w:r w:rsidRPr="00DD24FA">
              <w:rPr>
                <w:rFonts w:ascii="Times New Roman" w:hAnsi="Times New Roman" w:cs="Times New Roman"/>
                <w:i/>
                <w:color w:val="000000"/>
                <w:sz w:val="18"/>
                <w:szCs w:val="18"/>
              </w:rPr>
              <w:t>LOC112447774</w:t>
            </w:r>
          </w:p>
        </w:tc>
        <w:tc>
          <w:tcPr>
            <w:tcW w:w="472" w:type="pct"/>
            <w:tcBorders>
              <w:top w:val="single" w:sz="4" w:space="0" w:color="auto"/>
              <w:left w:val="single" w:sz="4" w:space="0" w:color="auto"/>
              <w:bottom w:val="single" w:sz="4" w:space="0" w:color="auto"/>
              <w:right w:val="single" w:sz="4" w:space="0" w:color="auto"/>
            </w:tcBorders>
            <w:hideMark/>
          </w:tcPr>
          <w:p w14:paraId="128FD95A"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3’ UTR</w:t>
            </w:r>
          </w:p>
        </w:tc>
        <w:tc>
          <w:tcPr>
            <w:tcW w:w="1416" w:type="pct"/>
            <w:tcBorders>
              <w:top w:val="single" w:sz="4" w:space="0" w:color="auto"/>
              <w:left w:val="single" w:sz="4" w:space="0" w:color="auto"/>
              <w:bottom w:val="single" w:sz="4" w:space="0" w:color="auto"/>
              <w:right w:val="single" w:sz="4" w:space="0" w:color="auto"/>
            </w:tcBorders>
            <w:hideMark/>
          </w:tcPr>
          <w:p w14:paraId="33920CBD" w14:textId="16D5D06A" w:rsidR="0013515C" w:rsidRPr="00DD24FA" w:rsidRDefault="0013515C"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745C58" w:rsidRPr="00DD24FA">
              <w:rPr>
                <w:rFonts w:ascii="Times New Roman" w:hAnsi="Times New Roman" w:cs="Times New Roman"/>
                <w:sz w:val="18"/>
                <w:szCs w:val="18"/>
              </w:rPr>
              <w:instrText>ADDIN CSL_CITATION {"citationItems":[{"id":"ITEM-1","itemData":{"DOI":"10.1038/srep31109","ISSN":"20452322","PMID":"27506634","abstract":"High-throughput sequencing technologies have increased the ability to detect sequence variations for complex trait improvement. A high throughput genome wide genotyping-by-sequencing (GBS) method was used to generate 515,787 single nucleotide polymorphisms (SNPs), from which 76,355 SNPs with call rates &gt;85% and minor allele frequency ≥1.5% were used in genome wide association study (GWAS) of 44 milk traits in 1,246 Canadian Holstein cows. GWAS was accomplished with a mixed linear model procedure implementing the additive and dominant models. A strong signal within the centromeric region of bovine chromosome 14 was associated with test day fat percentage. Several SNPs were associated with eicosapentaenoic acid, docosapentaenoic acid, arachidonic acid, CLA:9c11t and gamma linolenic acid. Most of the significant SNPs for 44 traits studied are novel and located in intergenic regions or introns of genes. Novel potential candidate genes for milk traits or mammary gland functions include ERCC6, TONSL, NPAS2, ACER3, ITGB4, GGT6, ACOX3, MECR, ADAM12, ACHE, LRRC14, FUK, NPRL3, EVL, SLCO3A1, PSMA4, FTO, ADCK5, PP1R16A and TEP1. Our study further demonstrates the utility of the GBS approach for identifying population-specific SNPs for use in improvement of complex dairy traits.","author":[{"dropping-particle":"","family":"Ibeagha-Awemu","given":"Eveline M.","non-dropping-particle":"","parse-names":false,"suffix":""},{"dropping-particle":"","family":"Peters","given":"Sunday O.","non-dropping-particle":"","parse-names":false,"suffix":""},{"dropping-particle":"","family":"Akwanji","given":"Kingsley A.","non-dropping-particle":"","parse-names":false,"suffix":""},{"dropping-particle":"","family":"Imumorin","given":"Ikhide G.","non-dropping-particle":"","parse-names":false,"suffix":""},{"dropping-particle":"","family":"Zhao","given":"Xin","non-dropping-particle":"","parse-names":false,"suffix":""}],"container-title":"Scientific Reports","id":"ITEM-1","issue":"1","issued":{"date-parts":[["2016","8","10"]]},"page":"1-18","publisher":"Nature Publishing Group","title":"High density genome wide genotyping-by-sequencing and association identifies common and low frequency SNPs, and novel candidate genes influencing cow milk traits","type":"article-journal","volume":"6"},"uris":["http://www.mendeley.com/documents/?uuid=62cbc5cd-f96c-37d4-9eff-49acc72ad82b"]},{"id":"ITEM-2","itemData":{"DOI":"10.1371/journal.pone.0139906","ISSN":"1932-6203","abstract":"Understanding the genetic architecture of beef cattle growth cannot be limited simply to the genome-wide association study (GWAS) for body weight at any specific ages, but should be extended to a more general purpose by considering the whole growth trajectory over time using a growth curve approach. For such an approach, the parameters that are used to describe growth curves were treated as phenotypes under a GWAS model. Data from 1,255 Brahman cattle that were weighed at birth, 6, 12, 15, 18, and 24 months of age were analyzed. Parameter estimates, such as mature weight (A) and maturity rate (K) from nonlinear models are utilized as substitutes for the original body weights for the GWAS analysis. We chose the best nonlinear model to describe the weight-age data, and the estimated parameters were used as phenotypes in a multi-trait GWAS. Our aims were to identify and characterize associated SNP markers to indicate SNP-derived candidate genes and annotate their function as related to growth processes in beef cattle. The Brody model presented the best goodness of fit, and the heritability values for the parameter estimates for mature weight (A) and maturity rate (K) were 0.23 and 0.32, respectively, proving that these traits can be a feasible alternative when the objective is to change the shape of growth curves within genetic improvement programs. The genetic correlation between A and K was -0.84, indicating that animals with lower mature body weights reached that weight at younger ages. One hundred and sixty seven (167) and two hundred and sixty two (262) significant SNPs were associated with A and K, respectively. The annotated genes closest to the most significant SNPs for A had direct biological functions related to muscle development (RAB28), myogenic induction (BTG1), fetal growth (IL2), and body weights (APEX2); K genes were functionally associated with body weight, body height, average daily gain (TMEM18), and skeletal muscle development (SMN1). Candidate genes emerging from this GWAS may inform the search for causative mutations that could underpin genomic breeding for improved growth rates. Copyright:","author":[{"dropping-particle":"","family":"Crispim","given":"Aline Camporez","non-dropping-particle":"","parse-names":false,"suffix":""},{"dropping-particle":"","family":"Kelly","given":"Matthew John","non-dropping-particle":"","parse-names":false,"suffix":""},{"dropping-particle":"","family":"Guimarães","given":"Simone Eliza Facioni","non-dropping-particle":"","parse-names":false,"suffix":""},{"dropping-particle":"","family":"e Silva","given":"Fabyano Fonseca","non-dropping-particle":"","parse-names":false,"suffix":""},{"dropping-particle":"","family":"Fortes","given":"Marina Rufino Salinas","non-dropping-particle":"","parse-names":false,"suffix":""},{"dropping-particle":"","family":"Wenceslau","given":"Raphael Rocha","non-dropping-particle":"","parse-names":false,"suffix":""},{"dropping-particle":"","family":"Moore","given":"Stephen","non-dropping-particle":"","parse-names":false,"suffix":""}],"container-title":"PLOS ONE","editor":[{"dropping-particle":"","family":"Wu","given":"Rongling","non-dropping-particle":"","parse-names":false,"suffix":""}],"id":"ITEM-2","issue":"10","issued":{"date-parts":[["2015","10","7"]]},"page":"e0139906","publisher":"Public Library of Science","title":"Multi-Trait GWAS and New Candidate Genes Annotation for Growth Curve Parameters in Brahman Cattle","type":"article-journal","volume":"10"},"uris":["http://www.mendeley.com/documents/?uuid=a625c335-e6e2-3d56-9700-f72ce8d1ba77"]}],"mendeley":{"formattedCitation":"[2, 59]","plainTextFormattedCitation":"[2, 59]","previouslyFormattedCitation":"[2, 59]"},"properties":{"noteIndex":0},"schema":"https://github.com/citation-style-language/schema/raw/master/csl-citation.json"}</w:instrText>
            </w:r>
            <w:r w:rsidRPr="00DD24FA">
              <w:rPr>
                <w:rFonts w:ascii="Times New Roman" w:hAnsi="Times New Roman" w:cs="Times New Roman"/>
                <w:sz w:val="18"/>
                <w:szCs w:val="18"/>
              </w:rPr>
              <w:fldChar w:fldCharType="separate"/>
            </w:r>
            <w:r w:rsidR="00745C58" w:rsidRPr="00DD24FA">
              <w:rPr>
                <w:rFonts w:ascii="Times New Roman" w:hAnsi="Times New Roman" w:cs="Times New Roman"/>
                <w:noProof/>
                <w:sz w:val="18"/>
                <w:szCs w:val="18"/>
              </w:rPr>
              <w:t>[2, 59]</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Milk fatty acid association, conception rate</w:t>
            </w:r>
          </w:p>
        </w:tc>
      </w:tr>
      <w:tr w:rsidR="00DD24FA" w14:paraId="022CAE06"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360DAEA9" w14:textId="54142149" w:rsidR="0013515C" w:rsidRPr="00DD24FA" w:rsidRDefault="0013515C"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lastRenderedPageBreak/>
              <w:t>8_18</w:t>
            </w:r>
            <w:r w:rsidR="001C4707" w:rsidRPr="00DD24FA">
              <w:rPr>
                <w:rFonts w:ascii="Times New Roman" w:hAnsi="Times New Roman" w:cs="Times New Roman"/>
                <w:i/>
                <w:sz w:val="18"/>
                <w:szCs w:val="18"/>
                <w:vertAlign w:val="superscript"/>
              </w:rPr>
              <w:t>a</w:t>
            </w:r>
          </w:p>
        </w:tc>
        <w:tc>
          <w:tcPr>
            <w:tcW w:w="369" w:type="pct"/>
            <w:tcBorders>
              <w:top w:val="single" w:sz="4" w:space="0" w:color="auto"/>
              <w:left w:val="single" w:sz="4" w:space="0" w:color="auto"/>
              <w:bottom w:val="single" w:sz="4" w:space="0" w:color="auto"/>
              <w:right w:val="single" w:sz="4" w:space="0" w:color="auto"/>
            </w:tcBorders>
            <w:hideMark/>
          </w:tcPr>
          <w:p w14:paraId="45F26794"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6.156</w:t>
            </w:r>
          </w:p>
        </w:tc>
        <w:tc>
          <w:tcPr>
            <w:tcW w:w="554" w:type="pct"/>
            <w:tcBorders>
              <w:top w:val="single" w:sz="4" w:space="0" w:color="auto"/>
              <w:left w:val="single" w:sz="4" w:space="0" w:color="auto"/>
              <w:bottom w:val="single" w:sz="4" w:space="0" w:color="auto"/>
              <w:right w:val="single" w:sz="4" w:space="0" w:color="auto"/>
            </w:tcBorders>
            <w:hideMark/>
          </w:tcPr>
          <w:p w14:paraId="7F7C7EF7"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207.614</w:t>
            </w:r>
          </w:p>
        </w:tc>
        <w:tc>
          <w:tcPr>
            <w:tcW w:w="328" w:type="pct"/>
            <w:tcBorders>
              <w:top w:val="single" w:sz="4" w:space="0" w:color="auto"/>
              <w:left w:val="single" w:sz="4" w:space="0" w:color="auto"/>
              <w:bottom w:val="single" w:sz="4" w:space="0" w:color="auto"/>
              <w:right w:val="single" w:sz="4" w:space="0" w:color="auto"/>
            </w:tcBorders>
            <w:hideMark/>
          </w:tcPr>
          <w:p w14:paraId="661FC0A4"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0.024</w:t>
            </w:r>
          </w:p>
        </w:tc>
        <w:tc>
          <w:tcPr>
            <w:tcW w:w="570" w:type="pct"/>
            <w:tcBorders>
              <w:top w:val="single" w:sz="4" w:space="0" w:color="auto"/>
              <w:left w:val="single" w:sz="4" w:space="0" w:color="auto"/>
              <w:bottom w:val="single" w:sz="4" w:space="0" w:color="auto"/>
              <w:right w:val="single" w:sz="4" w:space="0" w:color="auto"/>
            </w:tcBorders>
            <w:hideMark/>
          </w:tcPr>
          <w:p w14:paraId="6B2E379B"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w:t>
            </w:r>
          </w:p>
        </w:tc>
        <w:tc>
          <w:tcPr>
            <w:tcW w:w="795" w:type="pct"/>
            <w:tcBorders>
              <w:top w:val="single" w:sz="4" w:space="0" w:color="auto"/>
              <w:left w:val="single" w:sz="4" w:space="0" w:color="auto"/>
              <w:bottom w:val="single" w:sz="4" w:space="0" w:color="auto"/>
              <w:right w:val="single" w:sz="4" w:space="0" w:color="auto"/>
            </w:tcBorders>
            <w:hideMark/>
          </w:tcPr>
          <w:p w14:paraId="671821F4" w14:textId="77777777" w:rsidR="0013515C" w:rsidRPr="00DD24FA" w:rsidRDefault="0013515C" w:rsidP="00267B98">
            <w:pPr>
              <w:spacing w:after="0" w:line="240" w:lineRule="auto"/>
              <w:contextualSpacing/>
              <w:jc w:val="center"/>
              <w:rPr>
                <w:rFonts w:ascii="Times New Roman" w:hAnsi="Times New Roman" w:cs="Times New Roman"/>
                <w:i/>
                <w:iCs/>
                <w:color w:val="000000"/>
                <w:sz w:val="18"/>
                <w:szCs w:val="18"/>
              </w:rPr>
            </w:pPr>
            <w:r w:rsidRPr="00DD24FA">
              <w:rPr>
                <w:rFonts w:ascii="Times New Roman" w:hAnsi="Times New Roman" w:cs="Times New Roman"/>
                <w:i/>
                <w:color w:val="000000"/>
                <w:sz w:val="18"/>
                <w:szCs w:val="18"/>
              </w:rPr>
              <w:t>LOC101904667, LOC112447778</w:t>
            </w:r>
          </w:p>
        </w:tc>
        <w:tc>
          <w:tcPr>
            <w:tcW w:w="472" w:type="pct"/>
            <w:tcBorders>
              <w:top w:val="single" w:sz="4" w:space="0" w:color="auto"/>
              <w:left w:val="single" w:sz="4" w:space="0" w:color="auto"/>
              <w:bottom w:val="single" w:sz="4" w:space="0" w:color="auto"/>
              <w:right w:val="single" w:sz="4" w:space="0" w:color="auto"/>
            </w:tcBorders>
            <w:hideMark/>
          </w:tcPr>
          <w:p w14:paraId="23DB762B"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Intergenic</w:t>
            </w:r>
          </w:p>
        </w:tc>
        <w:tc>
          <w:tcPr>
            <w:tcW w:w="1416" w:type="pct"/>
            <w:tcBorders>
              <w:top w:val="single" w:sz="4" w:space="0" w:color="auto"/>
              <w:left w:val="single" w:sz="4" w:space="0" w:color="auto"/>
              <w:bottom w:val="single" w:sz="4" w:space="0" w:color="auto"/>
              <w:right w:val="single" w:sz="4" w:space="0" w:color="auto"/>
            </w:tcBorders>
            <w:hideMark/>
          </w:tcPr>
          <w:p w14:paraId="35511202" w14:textId="4CB3EE09" w:rsidR="0013515C" w:rsidRPr="00DD24FA" w:rsidRDefault="0013515C"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4A3276" w:rsidRPr="00DD24FA">
              <w:rPr>
                <w:rFonts w:ascii="Times New Roman" w:hAnsi="Times New Roman" w:cs="Times New Roman"/>
                <w:sz w:val="18"/>
                <w:szCs w:val="18"/>
              </w:rPr>
              <w:instrText>ADDIN CSL_CITATION {"citationItems":[{"id":"ITEM-1","itemData":{"DOI":"10.1371/journal.pone.0139906","ISSN":"1932-6203","abstract":"Understanding the genetic architecture of beef cattle growth cannot be limited simply to the genome-wide association study (GWAS) for body weight at any specific ages, but should be extended to a more general purpose by considering the whole growth trajectory over time using a growth curve approach. For such an approach, the parameters that are used to describe growth curves were treated as phenotypes under a GWAS model. Data from 1,255 Brahman cattle that were weighed at birth, 6, 12, 15, 18, and 24 months of age were analyzed. Parameter estimates, such as mature weight (A) and maturity rate (K) from nonlinear models are utilized as substitutes for the original body weights for the GWAS analysis. We chose the best nonlinear model to describe the weight-age data, and the estimated parameters were used as phenotypes in a multi-trait GWAS. Our aims were to identify and characterize associated SNP markers to indicate SNP-derived candidate genes and annotate their function as related to growth processes in beef cattle. The Brody model presented the best goodness of fit, and the heritability values for the parameter estimates for mature weight (A) and maturity rate (K) were 0.23 and 0.32, respectively, proving that these traits can be a feasible alternative when the objective is to change the shape of growth curves within genetic improvement programs. The genetic correlation between A and K was -0.84, indicating that animals with lower mature body weights reached that weight at younger ages. One hundred and sixty seven (167) and two hundred and sixty two (262) significant SNPs were associated with A and K, respectively. The annotated genes closest to the most significant SNPs for A had direct biological functions related to muscle development (RAB28), myogenic induction (BTG1), fetal growth (IL2), and body weights (APEX2); K genes were functionally associated with body weight, body height, average daily gain (TMEM18), and skeletal muscle development (SMN1). Candidate genes emerging from this GWAS may inform the search for causative mutations that could underpin genomic breeding for improved growth rates. Copyright:","author":[{"dropping-particle":"","family":"Crispim","given":"Aline Camporez","non-dropping-particle":"","parse-names":false,"suffix":""},{"dropping-particle":"","family":"Kelly","given":"Matthew John","non-dropping-particle":"","parse-names":false,"suffix":""},{"dropping-particle":"","family":"Guimarães","given":"Simone Eliza Facioni","non-dropping-particle":"","parse-names":false,"suffix":""},{"dropping-particle":"","family":"e Silva","given":"Fabyano Fonseca","non-dropping-particle":"","parse-names":false,"suffix":""},{"dropping-particle":"","family":"Fortes","given":"Marina Rufino Salinas","non-dropping-particle":"","parse-names":false,"suffix":""},{"dropping-particle":"","family":"Wenceslau","given":"Raphael Rocha","non-dropping-particle":"","parse-names":false,"suffix":""},{"dropping-particle":"","family":"Moore","given":"Stephen","non-dropping-particle":"","parse-names":false,"suffix":""}],"container-title":"PLOS ONE","editor":[{"dropping-particle":"","family":"Wu","given":"Rongling","non-dropping-particle":"","parse-names":false,"suffix":""}],"id":"ITEM-1","issue":"10","issued":{"date-parts":[["2015","10","7"]]},"page":"e0139906","publisher":"Public Library of Science","title":"Multi-Trait GWAS and New Candidate Genes Annotation for Growth Curve Parameters in Brahman Cattle","type":"article-journal","volume":"10"},"uris":["http://www.mendeley.com/documents/?uuid=a625c335-e6e2-3d56-9700-f72ce8d1ba77"]},{"id":"ITEM-2","itemData":{"DOI":"10.1186/s12864-019-5935-3","ISSN":"14712164","PMID":"31299913","abstract":"Background: Subfertility is one challenge facing the dairy industry as the average Holstein heifer conception rate (HCR), the proportion of heifers that conceive and maintain a pregnancy per breeding, is estimated at 55-60%. Of the loci associated with HCR, few have been validated in an independent cattle population, limiting their usefulness for selection or furthering our understanding of the mechanisms involved in successful pregnancy. Therefore, the objectives here were to identify loci associated with HCR: 1) to the first artificial insemination (AI) service (HCR1), 2) to repeated AI services required for a heifer to conceive (TBRD) and 3) to validate loci previously associated with fertility. Breeding and health records from 3359 Holstein heifers were obtained after heifers were bred by AI at observed estrus, with pregnancy determined at day 35 via palpation. Heifer DNA was genotyped using the Illumina BovineHD BeadChip, and genome-wide association analyses (GWAA) were performed with additive, dominant and recessive models using the Efficient Mixed Model Association eXpedited (EMMAX) method with a relationship matrix for two phenotypes. The HCR1 GWAA compared heifers that were pregnant after the first AI service (n = 497) to heifers that were open following the first AI service (n = 405), which included those that never conceived. The TBRD GWAA compared only those heifers which did conceive, across variable numbers of AI service (n = 712). Comparison of loci previously associated with fertility, HCR1 or TBRD were considered the same locus for validation when in linkage disequilibrium (D' &gt; 0.7). Results: The HCR1 GWAA identified 116, 187 and 28 loci associated (P &lt; 5 × 10- 8) in additive, dominant and recessive models, respectively. The TBRD GWAA identified 235, 362, and 69 QTL associated (P &lt; 5 × 10- 8) with additive, dominant and recessive models, respectively. Loci previously associated with fertility were in linkage disequilibrium with 22 loci shared with HCR1 and TBRD, 5 HCR1 and 19 TBRD loci. Conclusions: Loci associated with HCR1 and TBRD that have been identified and validated can be used to improve HCR through genomic selection, and to better understand possible mechanisms associated with subfertility.","author":[{"dropping-particle":"","family":"Kiser","given":"Jennifer N.","non-dropping-particle":"","parse-names":false,"suffix":""},{"dropping-particle":"","family":"Keuter","given":"Elizabeth M.","non-dropping-particle":"","parse-names":false,"suffix":""},{"dropping-particle":"","family":"Seabury","given":"Christopher M.","non-dropping-particle":"","parse-names":false,"suffix":""},{"dropping-particle":"","family":"Neupane","given":"Mahesh","non-dropping-particle":"","parse-names":false,"suffix":""},{"dropping-particle":"","family":"Moraes","given":"Joao G.N.","non-dropping-particle":"","parse-names":false,"suffix":""},{"dropping-particle":"","family":"Dalton","given":"Joseph","non-dropping-particle":"","parse-names":false,"suffix":""},{"dropping-particle":"","family":"Burns","given":"Gregory W.","non-dropping-particle":"","parse-names":false,"suffix":""},{"dropping-particle":"","family":"Spencer","given":"Thomas E.","non-dropping-particle":"","parse-names":false,"suffix":""},{"dropping-particle":"","family":"Neibergs","given":"Holly L.","non-dropping-particle":"","parse-names":false,"suffix":""}],"container-title":"BMC Genomics","id":"ITEM-2","issue":"1","issued":{"date-parts":[["2019","7","12"]]},"page":"576","publisher":"BioMed Central Ltd.","title":"Validation of 46 loci associated with female fertility traits in cattle","type":"article-journal","volume":"20"},"uris":["http://www.mendeley.com/documents/?uuid=89eb3da7-d86c-3efc-9759-112ebb7713bc"]},{"id":"ITEM-3","itemData":{"DOI":"10.1186/1471-2164-15-442","ISSN":"14712164","abstract":"Background: The availability of high-density SNP assays including the BovineSNP50 (50 K) enables the identification of novel quantitative trait loci (QTL) and improvement of the resolution of the locations of previously mapped QTL. We performed a series of genome-wide association studies (GWAS) using 50 K genotypes scored in 18,274 animals from 10 US beef cattle breeds with observations for twelve body weights, calving ease and carcass traits.Results: A total of 159 large-effects QTL (defined as 1-Mb genome windows explaining more than 1% of additive genetic variance) were identified. In general, more QTL were identified in analyses with bigger sample sizes. Four large-effect pleiotropic or closely linked QTLs located on BTA6 at 37-42 Mb (primarily at 38 Mb), on BTA7 at 93 Mb, on BTA14 at 23-26 Mb (primarily at 25 Mb) and on BTA20 at 4 Mb were identified in more than one breed. Several breed-specific large-effect pleiotropic or closely linked QTL were also identified. Some identified QTL regions harbor genes known to have large effects on a variety of traits in cattle such as PLAG1 and MSTN and others harbor promising candidate genes including NCAPG, ARRDC3, ERGIC1, SH3PXD2B, HMGA2, MSRB3, LEMD3, TIGAR, SEPT7, and KIRREL3. Gene ontology analysis revealed that genes involved in ossification and in adipose tissue development were over-represented in the identified pleiotropic QTL. Also, the MAPK signaling pathway was identified as a common pathway affected by the genes located near the pleiotropic QTL.Conclusions: This largest GWAS ever performed in beef cattle, led us to discover several novel across-breed and breed-specific large-effect pleiotropic QTL that cumulatively account for a significant percentage of additive genetic variance (e.g. more than a third of additive genetic variance of birth and mature weights; and calving ease direct in Hereford). These results will improve our understanding of the biology of growth and body composition in cattle. © 2014 Saatchi et al.; licensee BioMed Central Ltd.","author":[{"dropping-particle":"","family":"Saatchi","given":"Mahdi","non-dropping-particle":"","parse-names":false,"suffix":""},{"dropping-particle":"","family":"Schnabel","given":"Robert D.","non-dropping-particle":"","parse-names":false,"suffix":""},{"dropping-particle":"","family":"Taylor","given":"Jeremy F.","non-dropping-particle":"","parse-names":false,"suffix":""},{"dropping-particle":"","family":"Garrick","given":"Dorian J.","non-dropping-particle":"","parse-names":false,"suffix":""}],"container-title":"BMC Genomics","id":"ITEM-3","issue":"1","issued":{"date-parts":[["2014","6","6"]]},"publisher":"BioMed Central Ltd.","title":"Large-effect pleiotropic or closely linked QTL segregate within and across ten US cattle breeds","type":"article-journal","volume":"15"},"uris":["http://www.mendeley.com/documents/?uuid=56d0e91b-25fa-3cba-8839-4943cef581f2"]}],"mendeley":{"formattedCitation":"[1–3]","plainTextFormattedCitation":"[1–3]","previouslyFormattedCitation":"[1–3]"},"properties":{"noteIndex":0},"schema":"https://github.com/citation-style-language/schema/raw/master/csl-citation.json"}</w:instrText>
            </w:r>
            <w:r w:rsidRPr="00DD24FA">
              <w:rPr>
                <w:rFonts w:ascii="Times New Roman" w:hAnsi="Times New Roman" w:cs="Times New Roman"/>
                <w:sz w:val="18"/>
                <w:szCs w:val="18"/>
              </w:rPr>
              <w:fldChar w:fldCharType="separate"/>
            </w:r>
            <w:r w:rsidR="004A3276" w:rsidRPr="00DD24FA">
              <w:rPr>
                <w:rFonts w:ascii="Times New Roman" w:hAnsi="Times New Roman" w:cs="Times New Roman"/>
                <w:noProof/>
                <w:sz w:val="18"/>
                <w:szCs w:val="18"/>
              </w:rPr>
              <w:t>[1–3]</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mature weight, conception rate, body structure, calving ease</w:t>
            </w:r>
          </w:p>
        </w:tc>
      </w:tr>
      <w:tr w:rsidR="00DD24FA" w14:paraId="67503C9A"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071CC0C0" w14:textId="7A3C2236" w:rsidR="0013515C" w:rsidRPr="00DD24FA" w:rsidRDefault="0013515C"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12_50</w:t>
            </w:r>
            <w:r w:rsidR="001C4707" w:rsidRPr="00DD24FA">
              <w:rPr>
                <w:rFonts w:ascii="Times New Roman" w:hAnsi="Times New Roman" w:cs="Times New Roman"/>
                <w:i/>
                <w:sz w:val="18"/>
                <w:szCs w:val="18"/>
                <w:vertAlign w:val="superscript"/>
              </w:rPr>
              <w:t>a</w:t>
            </w:r>
          </w:p>
        </w:tc>
        <w:tc>
          <w:tcPr>
            <w:tcW w:w="369" w:type="pct"/>
            <w:tcBorders>
              <w:top w:val="single" w:sz="4" w:space="0" w:color="auto"/>
              <w:left w:val="single" w:sz="4" w:space="0" w:color="auto"/>
              <w:bottom w:val="single" w:sz="4" w:space="0" w:color="auto"/>
              <w:right w:val="single" w:sz="4" w:space="0" w:color="auto"/>
            </w:tcBorders>
            <w:hideMark/>
          </w:tcPr>
          <w:p w14:paraId="751B2B70"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6.062</w:t>
            </w:r>
          </w:p>
        </w:tc>
        <w:tc>
          <w:tcPr>
            <w:tcW w:w="554" w:type="pct"/>
            <w:tcBorders>
              <w:top w:val="single" w:sz="4" w:space="0" w:color="auto"/>
              <w:left w:val="single" w:sz="4" w:space="0" w:color="auto"/>
              <w:bottom w:val="single" w:sz="4" w:space="0" w:color="auto"/>
              <w:right w:val="single" w:sz="4" w:space="0" w:color="auto"/>
            </w:tcBorders>
            <w:hideMark/>
          </w:tcPr>
          <w:p w14:paraId="2E5E6688"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169.881</w:t>
            </w:r>
          </w:p>
        </w:tc>
        <w:tc>
          <w:tcPr>
            <w:tcW w:w="328" w:type="pct"/>
            <w:tcBorders>
              <w:top w:val="single" w:sz="4" w:space="0" w:color="auto"/>
              <w:left w:val="single" w:sz="4" w:space="0" w:color="auto"/>
              <w:bottom w:val="single" w:sz="4" w:space="0" w:color="auto"/>
              <w:right w:val="single" w:sz="4" w:space="0" w:color="auto"/>
            </w:tcBorders>
            <w:hideMark/>
          </w:tcPr>
          <w:p w14:paraId="76904DE3"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0.041</w:t>
            </w:r>
          </w:p>
        </w:tc>
        <w:tc>
          <w:tcPr>
            <w:tcW w:w="570" w:type="pct"/>
            <w:tcBorders>
              <w:top w:val="single" w:sz="4" w:space="0" w:color="auto"/>
              <w:left w:val="single" w:sz="4" w:space="0" w:color="auto"/>
              <w:bottom w:val="single" w:sz="4" w:space="0" w:color="auto"/>
              <w:right w:val="single" w:sz="4" w:space="0" w:color="auto"/>
            </w:tcBorders>
            <w:hideMark/>
          </w:tcPr>
          <w:p w14:paraId="1908FF8B"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4</w:t>
            </w:r>
          </w:p>
        </w:tc>
        <w:tc>
          <w:tcPr>
            <w:tcW w:w="795" w:type="pct"/>
            <w:tcBorders>
              <w:top w:val="single" w:sz="4" w:space="0" w:color="auto"/>
              <w:left w:val="single" w:sz="4" w:space="0" w:color="auto"/>
              <w:bottom w:val="single" w:sz="4" w:space="0" w:color="auto"/>
              <w:right w:val="single" w:sz="4" w:space="0" w:color="auto"/>
            </w:tcBorders>
            <w:hideMark/>
          </w:tcPr>
          <w:p w14:paraId="09403790" w14:textId="77777777" w:rsidR="0013515C" w:rsidRPr="00DD24FA" w:rsidRDefault="0013515C" w:rsidP="00267B98">
            <w:pPr>
              <w:spacing w:after="0" w:line="240" w:lineRule="auto"/>
              <w:contextualSpacing/>
              <w:jc w:val="center"/>
              <w:rPr>
                <w:rFonts w:ascii="Times New Roman" w:hAnsi="Times New Roman" w:cs="Times New Roman"/>
                <w:i/>
                <w:iCs/>
                <w:color w:val="000000"/>
                <w:sz w:val="18"/>
                <w:szCs w:val="18"/>
              </w:rPr>
            </w:pPr>
            <w:r w:rsidRPr="00DD24FA">
              <w:rPr>
                <w:rFonts w:ascii="Times New Roman" w:hAnsi="Times New Roman" w:cs="Times New Roman"/>
                <w:i/>
                <w:color w:val="000000"/>
                <w:sz w:val="18"/>
                <w:szCs w:val="18"/>
              </w:rPr>
              <w:t>TBC1D4</w:t>
            </w:r>
          </w:p>
        </w:tc>
        <w:tc>
          <w:tcPr>
            <w:tcW w:w="472" w:type="pct"/>
            <w:tcBorders>
              <w:top w:val="single" w:sz="4" w:space="0" w:color="auto"/>
              <w:left w:val="single" w:sz="4" w:space="0" w:color="auto"/>
              <w:bottom w:val="single" w:sz="4" w:space="0" w:color="auto"/>
              <w:right w:val="single" w:sz="4" w:space="0" w:color="auto"/>
            </w:tcBorders>
            <w:hideMark/>
          </w:tcPr>
          <w:p w14:paraId="7FA04E66"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Intron</w:t>
            </w:r>
          </w:p>
        </w:tc>
        <w:tc>
          <w:tcPr>
            <w:tcW w:w="1416" w:type="pct"/>
            <w:tcBorders>
              <w:top w:val="single" w:sz="4" w:space="0" w:color="auto"/>
              <w:left w:val="single" w:sz="4" w:space="0" w:color="auto"/>
              <w:bottom w:val="single" w:sz="4" w:space="0" w:color="auto"/>
              <w:right w:val="single" w:sz="4" w:space="0" w:color="auto"/>
            </w:tcBorders>
            <w:hideMark/>
          </w:tcPr>
          <w:p w14:paraId="43EC9D02" w14:textId="29FE0655" w:rsidR="0013515C" w:rsidRPr="00DD24FA" w:rsidRDefault="0013515C"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CD7421" w:rsidRPr="00DD24FA">
              <w:rPr>
                <w:rFonts w:ascii="Times New Roman" w:hAnsi="Times New Roman" w:cs="Times New Roman"/>
                <w:sz w:val="18"/>
                <w:szCs w:val="18"/>
              </w:rPr>
              <w:instrText>ADDIN CSL_CITATION {"citationItems":[{"id":"ITEM-1","itemData":{"DOI":"10.1038/nature13425","ISSN":"14764687","PMID":"25043022","abstract":"TheGreenlandic population, a small and historically isolated founder population comprising about 57,000 inhabitants, has experienced a dramatic increase in type 2 diabetes (T2D) prevalence during the past 25 years 1.Motivated by this,we performedassociationmapping ofT2Drelated quantitative traits in up to 2,575 Greenlandic individuals without knowndiabetes. Using array-based genotyping and exome sequencing, we discovered a nonsense p.Arg684Ter variant (in which arginine is replaced by a termination codon) in the geneTBC1D4 with an allele frequency of 17%.Herewe show that homozygous carriers of this variant havemarkedlyhigherconcentrationsofplasmaglucose(β53.8mmol l-1, P 52.5310-35) and serum insulin (β5165pmoll-1,P51. 5310-20) 2 hours after an oral glucose load compared with individuals with other genotypes (both non-carriers and heterozygous carriers). Furthermore, homozygous carriers have marginally lower concentrations of fasting plasma glucose (β520.18 mmoll-1,P51.1310-6) andfasting serum insulin (β528.3pmoll-1, P50.0014), and their T2D risk is markedly increased (odds ratio (OR)510.3,P 51.6310-24). Heterozygous carriers have amoderately higher plasmaglucose concentration 2 hours after an oral glucose load than non-carriers (β50.43 mmoll -1,P 5 5.3310-5). Analyses of skeletal muscle biopsies showed lower messenger RNA and protein levels of the long isoform of TBC1D4, and lower muscle protein levels of the glucose transporter GLUT4, with increasing number of p.Arg684Ter alleles. These findings are concomitant with a severely decreased insulin-stimulated glucose uptake inmuscle, leading to postprandial hyperglycaemia, impaired glucose tolerance and T2D. The observed effect sizes are several times larger than any previous findings in large-scale genome-wide association studies of these traits2-4 and constitute further proof of the value of conducting genetic association studies outside the traditional setting of large homogeneous populations. © 2014 Macmillan Publishers Limited. All rights reserved.","author":[{"dropping-particle":"","family":"Moltke","given":"Ida","non-dropping-particle":"","parse-names":false,"suffix":""},{"dropping-particle":"","family":"Grarup","given":"Niels","non-dropping-particle":"","parse-names":false,"suffix":""},{"dropping-particle":"","family":"Jørgensen","given":"Marit E.","non-dropping-particle":"","parse-names":false,"suffix":""},{"dropping-particle":"","family":"Bjerregaard","given":"Peter","non-dropping-particle":"","parse-names":false,"suffix":""},{"dropping-particle":"","family":"Treebak","given":"Jonas T.","non-dropping-particle":"","parse-names":false,"suffix":""},{"dropping-particle":"","family":"Fumagalli","given":"Matteo","non-dropping-particle":"","parse-names":false,"suffix":""},{"dropping-particle":"","family":"Korneliussen","given":"Thorfinn S.","non-dropping-particle":"","parse-names":false,"suffix":""},{"dropping-particle":"","family":"Andersen","given":"Marianne A.","non-dropping-particle":"","parse-names":false,"suffix":""},{"dropping-particle":"","family":"Nielsen","given":"Thomas S.","non-dropping-particle":"","parse-names":false,"suffix":""},{"dropping-particle":"","family":"Krarup","given":"Nikolaj T.","non-dropping-particle":"","parse-names":false,"suffix":""},{"dropping-particle":"","family":"Gjesing","given":"Anette P.","non-dropping-particle":"","parse-names":false,"suffix":""},{"dropping-particle":"","family":"Zierath","given":"Juleen R.","non-dropping-particle":"","parse-names":false,"suffix":""},{"dropping-particle":"","family":"Linneberg","given":"Allan","non-dropping-particle":"","parse-names":false,"suffix":""},{"dropping-particle":"","family":"Wu","given":"Xueli","non-dropping-particle":"","parse-names":false,"suffix":""},{"dropping-particle":"","family":"Sun","given":"Guangqing","non-dropping-particle":"","parse-names":false,"suffix":""},{"dropping-particle":"","family":"Jin","given":"Xin","non-dropping-particle":"","parse-names":false,"suffix":""},{"dropping-particle":"","family":"Al-Aama","given":"Jumana","non-dropping-particle":"","parse-names":false,"suffix":""},{"dropping-particle":"","family":"Wang","given":"Jun","non-dropping-particle":"","parse-names":false,"suffix":""},{"dropping-particle":"","family":"Borch-Johnsen","given":"Knut","non-dropping-particle":"","parse-names":false,"suffix":""},{"dropping-particle":"","family":"Pedersen","given":"Oluf","non-dropping-particle":"","parse-names":false,"suffix":""},{"dropping-particle":"","family":"Nielsen","given":"Rasmus","non-dropping-particle":"","parse-names":false,"suffix":""},{"dropping-particle":"","family":"Albrechtsen","given":"Anders","non-dropping-particle":"","parse-names":false,"suffix":""},{"dropping-particle":"","family":"Hansen","given":"Torben","non-dropping-particle":"","parse-names":false,"suffix":""}],"container-title":"Nature","id":"ITEM-1","issue":"7513","issued":{"date-parts":[["2014","8","14"]]},"page":"190-193","publisher":"Nature Publishing Group","title":"A common Greenlandic TBC1D4 variant confers muscle insulin resistance and type 2 diabetes","type":"article-journal","volume":"512"},"uris":["http://www.mendeley.com/documents/?uuid=8913e91f-6685-3424-a25d-b84aa9cc98a8"]},{"id":"ITEM-2","itemData":{"DOI":"10.1186/s12864-019-5935-3","ISSN":"14712164","PMID":"31299913","abstract":"Background: Subfertility is one challenge facing the dairy industry as the average Holstein heifer conception rate (HCR), the proportion of heifers that conceive and maintain a pregnancy per breeding, is estimated at 55-60%. Of the loci associated with HCR, few have been validated in an independent cattle population, limiting their usefulness for selection or furthering our understanding of the mechanisms involved in successful pregnancy. Therefore, the objectives here were to identify loci associated with HCR: 1) to the first artificial insemination (AI) service (HCR1), 2) to repeated AI services required for a heifer to conceive (TBRD) and 3) to validate loci previously associated with fertility. Breeding and health records from 3359 Holstein heifers were obtained after heifers were bred by AI at observed estrus, with pregnancy determined at day 35 via palpation. Heifer DNA was genotyped using the Illumina BovineHD BeadChip, and genome-wide association analyses (GWAA) were performed with additive, dominant and recessive models using the Efficient Mixed Model Association eXpedited (EMMAX) method with a relationship matrix for two phenotypes. The HCR1 GWAA compared heifers that were pregnant after the first AI service (n = 497) to heifers that were open following the first AI service (n = 405), which included those that never conceived. The TBRD GWAA compared only those heifers which did conceive, across variable numbers of AI service (n = 712). Comparison of loci previously associated with fertility, HCR1 or TBRD were considered the same locus for validation when in linkage disequilibrium (D' &gt; 0.7). Results: The HCR1 GWAA identified 116, 187 and 28 loci associated (P &lt; 5 × 10- 8) in additive, dominant and recessive models, respectively. The TBRD GWAA identified 235, 362, and 69 QTL associated (P &lt; 5 × 10- 8) with additive, dominant and recessive models, respectively. Loci previously associated with fertility were in linkage disequilibrium with 22 loci shared with HCR1 and TBRD, 5 HCR1 and 19 TBRD loci. Conclusions: Loci associated with HCR1 and TBRD that have been identified and validated can be used to improve HCR through genomic selection, and to better understand possible mechanisms associated with subfertility.","author":[{"dropping-particle":"","family":"Kiser","given":"Jennifer N.","non-dropping-particle":"","parse-names":false,"suffix":""},{"dropping-particle":"","family":"Keuter","given":"Elizabeth M.","non-dropping-particle":"","parse-names":false,"suffix":""},{"dropping-particle":"","family":"Seabury","given":"Christopher M.","non-dropping-particle":"","parse-names":false,"suffix":""},{"dropping-particle":"","family":"Neupane","given":"Mahesh","non-dropping-particle":"","parse-names":false,"suffix":""},{"dropping-particle":"","family":"Moraes","given":"Joao G.N.","non-dropping-particle":"","parse-names":false,"suffix":""},{"dropping-particle":"","family":"Dalton","given":"Joseph","non-dropping-particle":"","parse-names":false,"suffix":""},{"dropping-particle":"","family":"Burns","given":"Gregory W.","non-dropping-particle":"","parse-names":false,"suffix":""},{"dropping-particle":"","family":"Spencer","given":"Thomas E.","non-dropping-particle":"","parse-names":false,"suffix":""},{"dropping-particle":"","family":"Neibergs","given":"Holly L.","non-dropping-particle":"","parse-names":false,"suffix":""}],"container-title":"BMC Genomics","id":"ITEM-2","issue":"1","issued":{"date-parts":[["2019","7","12"]]},"page":"576","publisher":"BioMed Central Ltd.","title":"Validation of 46 loci associated with female fertility traits in cattle","type":"article-journal","volume":"20"},"uris":["http://www.mendeley.com/documents/?uuid=89eb3da7-d86c-3efc-9759-112ebb7713bc"]},{"id":"ITEM-3","itemData":{"DOI":"10.1186/1471-2156-15-8","ISSN":"14712156","PMID":"24428918","abstract":"Background: The results obtained from genome-wide association studies (GWAS) often show pronounced disagreements. Validation of association studies is therefore desired before marker information is incorporated in selection decisions. A reliable way to confirm a discovered association between genetic markers and phenotypes is to validate the results in different populations. Therefore, the objective of this study was to validate single nucleotide polymorphism (SNP) marker associations to female fertility traits identified in the Nordic Holstein (NH) cattle population in the Nordic Red (NR) and Jersey (JER) cattle breeds. In the present study, we used data from 3,475 NH sires which were genotyped with the BovineSNP50 Beadchip to discover associations between SNP markers and eight female fertility-related traits. The significant SNP markers were then tested in NR and JER cattle.Results: A total of 4,474 significant associations between SNP markers and eight female fertility traits were detected in NH cattle. These significant associations were then validated in the NR (4,998 sires) and JER (1,225 sires) dairy cattle populations. We were able to validate 836 of the SNPs discovered in NH cattle in the NR population, as well as 686 SNPs in the JER population. 152 SNPs could be confirmed in both the NR and JER populations.Conclusions: The present study presents strong evidence for association of SNPs with fertility traits across three cattle breeds. We provide strong evidence that SNPs for many fertility traits are concentrated at certain areas on the genome (BTA1, BTA4, BTA7, BTA9, BTA11 and BTA13), and these areas would be highly suitable for further study in order to identify candidate genes for female fertility traits in dairy cattle. © 2014 Höglund et al.; licensee BioMed Central Ltd.","author":[{"dropping-particle":"","family":"Höglund","given":"Johanna K.","non-dropping-particle":"","parse-names":false,"suffix":""},{"dropping-particle":"","family":"Sahana","given":"Goutam","non-dropping-particle":"","parse-names":false,"suffix":""},{"dropping-particle":"","family":"Guldbrandtsen","given":"Bernt","non-dropping-particle":"","parse-names":false,"suffix":""},{"dropping-particle":"","family":"Lund","given":"Mogens S.","non-dropping-particle":"","parse-names":false,"suffix":""}],"container-title":"BMC Genetics","id":"ITEM-3","issue":"1","issued":{"date-parts":[["2014","1","15"]]},"page":"8","publisher":"BioMed Central","title":"Validation of associations for female fertility traits in Nordic Holstein, Nordic Red and Jersey dairy cattle","type":"article-journal","volume":"15"},"uris":["http://www.mendeley.com/documents/?uuid=b03582bd-0a46-3dc0-a6b9-ad51099c37b4"]},{"id":"ITEM-4","itemData":{"DOI":"10.1111/j.1365-2052.2012.02323.x","ISSN":"0268-9146","abstract":"We performed a genome-wide association study for Warner-Bratzler shear force (WBSF), a measure of meat tenderness, by genotyping 3360 animals from five breeds with 54 790 BovineSNP50 and 96 putative single-nucleotide polymorphisms (SNPs) within μ-calpain [HUGO nomenclature calpain 1, (mu/I) large subunit; CAPN1] and calpastatin (CAST). Within- and across-breed analyses estimated SNP allele substitution effects (ASEs) by genomic best linear unbiased prediction (GBLUP) and variance components by restricted maximum likelihood under an animal model incorporating a genomic relationship matrix. GBLUP estimates of ASEs from the across-breed analysis were moderately correlated (0.31-0.66) with those from the individual within-breed analyses, indicating that prediction equations for molecular estimates of breeding value developed from across-breed analyses should be effective for genomic selection within breeds. We identified 79 genomic regions associated with WBSF in at least three breeds, but only eight were detected in all five breeds, suggesting that the within-breed analyses were underpowered, that different quantitative trait loci (QTL) underlie variation between breeds or that the BovineSNP50 SNP density is insufficient to detect common QTL among breeds. In the across-breed analysis, CAPN1 was followed by CAST as the most strongly associated WBSF QTL genome-wide, and associations with both were detected in all five breeds. We show that none of the four commercialized CAST and CAPN1 SNP diagnostics are causal for associations with WBSF, and we putatively fine-map the CAPN1 causal mutation to a 4581-bp region. We estimate that variation in CAST and CAPN1 explains 1.02 and 1.85% of the phenotypic variation in WBSF respectively. © 2012 The Authors, Animal Genetics © 2012 Stichting International Foundation for Animal Genetics.","author":[{"dropping-particle":"","family":"McClure","given":"M. C.","non-dropping-particle":"","parse-names":false,"suffix":""},{"dropping-particle":"","family":"Ramey","given":"H. R.","non-dropping-particle":"","parse-names":false,"suffix":""},{"dropping-particle":"","family":"Rolf","given":"M. M.","non-dropping-particle":"","parse-names":false,"suffix":""},{"dropping-particle":"","family":"McKay","given":"S. D.","non-dropping-particle":"","parse-names":false,"suffix":""},{"dropping-particle":"","family":"Decker","given":"J. E.","non-dropping-particle":"","parse-names":false,"suffix":""},{"dropping-particle":"","family":"Chapple","given":"R. H.","non-dropping-particle":"","parse-names":false,"suffix":""},{"dropping-particle":"","family":"Kim","given":"J. W.","non-dropping-particle":"","parse-names":false,"suffix":""},{"dropping-particle":"","family":"Taxis","given":"T. M.","non-dropping-particle":"","parse-names":false,"suffix":""},{"dropping-particle":"","family":"Weaber","given":"R. L.","non-dropping-particle":"","parse-names":false,"suffix":""},{"dropping-particle":"","family":"Schnabel","given":"R. D.","non-dropping-particle":"","parse-names":false,"suffix":""},{"dropping-particle":"","family":"Taylor","given":"J. F.","non-dropping-particle":"","parse-names":false,"suffix":""}],"container-title":"Animal Genetics","id":"ITEM-4","issue":"6","issued":{"date-parts":[["2012","12","27"]]},"page":"662-673","publisher":"John Wiley &amp; Sons, Ltd","title":"Genome‐wide association analysis for quantitative trait loci influencing Warner–Bratzler shear force in five taurine cattle breeds","type":"article-journal","volume":"43"},"uris":["http://www.mendeley.com/documents/?uuid=fd591167-602c-341e-be08-a37a781534e5"]},{"id":"ITEM-5","itemData":{"DOI":"10.1186/1471-2164-12-408","author":[{"dropping-particle":"","family":"Cole","given":"John B.","non-dropping-particle":"","parse-names":false,"suffix":""},{"dropping-particle":"","family":"Wiggans","given":"George R.","non-dropping-particle":"","parse-names":false,"suffix":""},{"dropping-particle":"","family":"Ma","given":"Li","non-dropping-particle":"","parse-names":false,"suffix":""},{"dropping-particle":"","family":"Sonstegard","given":"Tad S.","non-dropping-particle":"","parse-names":false,"suffix":""},{"dropping-particle":"","family":"Lawlor","given":"Thomas J.","non-dropping-particle":"","parse-names":false,"suffix":""},{"dropping-particle":"","family":"Crooker","given":"Brian A.","non-dropping-particle":"","parse-names":false,"suffix":""},{"dropping-particle":"","family":"Tassell","given":"Curtis P.","non-dropping-particle":"Van","parse-names":false,"suffix":""},{"dropping-particle":"","family":"Yang","given":"Jing","non-dropping-particle":"","parse-names":false,"suffix":""},{"dropping-particle":"","family":"Wang","given":"Shengwen","non-dropping-particle":"","parse-names":false,"suffix":""},{"dropping-particle":"","family":"Matukumalli","given":"Lakshmi K.","non-dropping-particle":"","parse-names":false,"suffix":""},{"dropping-particle":"","family":"Da","given":"Yang","non-dropping-particle":"","parse-names":false,"suffix":""}],"container-title":"BMC Genomics","id":"ITEM-5","issue":"1","issued":{"date-parts":[["2011","8","11"]]},"page":"408","publisher":"BioMed Central","title":"Genome-wide association analysis of thirty one production, health, reproduction and body conformation traits in contemporary U.S. Holstein cows","type":"article-journal","volume":"12"},"uris":["http://www.mendeley.com/documents/?uuid=b39c2e85-60d5-4133-916f-89443378a092"]}],"mendeley":{"formattedCitation":"[3, 14, 40, 45, 65]","plainTextFormattedCitation":"[3, 14, 40, 45, 65]","previouslyFormattedCitation":"[3, 14, 40, 45, 65]"},"properties":{"noteIndex":0},"schema":"https://github.com/citation-style-language/schema/raw/master/csl-citation.json"}</w:instrText>
            </w:r>
            <w:r w:rsidRPr="00DD24FA">
              <w:rPr>
                <w:rFonts w:ascii="Times New Roman" w:hAnsi="Times New Roman" w:cs="Times New Roman"/>
                <w:sz w:val="18"/>
                <w:szCs w:val="18"/>
              </w:rPr>
              <w:fldChar w:fldCharType="separate"/>
            </w:r>
            <w:r w:rsidR="004A3276" w:rsidRPr="00DD24FA">
              <w:rPr>
                <w:rFonts w:ascii="Times New Roman" w:hAnsi="Times New Roman" w:cs="Times New Roman"/>
                <w:noProof/>
                <w:sz w:val="18"/>
                <w:szCs w:val="18"/>
              </w:rPr>
              <w:t>[3, 14, 40, 45, 65]</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Human, cattle; Insulin and exercise response signaling, mediator of glucose uptake, conception rate, shear force, somatic cell score</w:t>
            </w:r>
          </w:p>
        </w:tc>
      </w:tr>
      <w:tr w:rsidR="00DD24FA" w14:paraId="364AECC5"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0C31C8D9" w14:textId="4E37668E" w:rsidR="0013515C" w:rsidRPr="00DD24FA" w:rsidRDefault="0013515C"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14_18</w:t>
            </w:r>
            <w:r w:rsidR="001C4707" w:rsidRPr="00DD24FA">
              <w:rPr>
                <w:rFonts w:ascii="Times New Roman" w:hAnsi="Times New Roman" w:cs="Times New Roman"/>
                <w:i/>
                <w:sz w:val="18"/>
                <w:szCs w:val="18"/>
                <w:vertAlign w:val="superscript"/>
              </w:rPr>
              <w:t>b</w:t>
            </w:r>
          </w:p>
        </w:tc>
        <w:tc>
          <w:tcPr>
            <w:tcW w:w="369" w:type="pct"/>
            <w:tcBorders>
              <w:top w:val="single" w:sz="4" w:space="0" w:color="auto"/>
              <w:left w:val="single" w:sz="4" w:space="0" w:color="auto"/>
              <w:bottom w:val="single" w:sz="4" w:space="0" w:color="auto"/>
              <w:right w:val="single" w:sz="4" w:space="0" w:color="auto"/>
            </w:tcBorders>
          </w:tcPr>
          <w:p w14:paraId="6CF2EBB2"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6.045</w:t>
            </w:r>
          </w:p>
          <w:p w14:paraId="3E48F4B7"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p>
        </w:tc>
        <w:tc>
          <w:tcPr>
            <w:tcW w:w="554" w:type="pct"/>
            <w:tcBorders>
              <w:top w:val="single" w:sz="4" w:space="0" w:color="auto"/>
              <w:left w:val="single" w:sz="4" w:space="0" w:color="auto"/>
              <w:bottom w:val="single" w:sz="4" w:space="0" w:color="auto"/>
              <w:right w:val="single" w:sz="4" w:space="0" w:color="auto"/>
            </w:tcBorders>
          </w:tcPr>
          <w:p w14:paraId="0FE0DD6F"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-9.269</w:t>
            </w:r>
          </w:p>
          <w:p w14:paraId="409BB3B5"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p>
        </w:tc>
        <w:tc>
          <w:tcPr>
            <w:tcW w:w="328" w:type="pct"/>
            <w:tcBorders>
              <w:top w:val="single" w:sz="4" w:space="0" w:color="auto"/>
              <w:left w:val="single" w:sz="4" w:space="0" w:color="auto"/>
              <w:bottom w:val="single" w:sz="4" w:space="0" w:color="auto"/>
              <w:right w:val="single" w:sz="4" w:space="0" w:color="auto"/>
            </w:tcBorders>
            <w:hideMark/>
          </w:tcPr>
          <w:p w14:paraId="3049EC10"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0.431</w:t>
            </w:r>
          </w:p>
        </w:tc>
        <w:tc>
          <w:tcPr>
            <w:tcW w:w="570" w:type="pct"/>
            <w:tcBorders>
              <w:top w:val="single" w:sz="4" w:space="0" w:color="auto"/>
              <w:left w:val="single" w:sz="4" w:space="0" w:color="auto"/>
              <w:bottom w:val="single" w:sz="4" w:space="0" w:color="auto"/>
              <w:right w:val="single" w:sz="4" w:space="0" w:color="auto"/>
            </w:tcBorders>
            <w:hideMark/>
          </w:tcPr>
          <w:p w14:paraId="1EF1FC54"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4</w:t>
            </w:r>
          </w:p>
        </w:tc>
        <w:tc>
          <w:tcPr>
            <w:tcW w:w="795" w:type="pct"/>
            <w:tcBorders>
              <w:top w:val="single" w:sz="4" w:space="0" w:color="auto"/>
              <w:left w:val="single" w:sz="4" w:space="0" w:color="auto"/>
              <w:bottom w:val="single" w:sz="4" w:space="0" w:color="auto"/>
              <w:right w:val="single" w:sz="4" w:space="0" w:color="auto"/>
            </w:tcBorders>
          </w:tcPr>
          <w:p w14:paraId="4469E62D"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LOC100139328</w:t>
            </w:r>
          </w:p>
          <w:p w14:paraId="2DB02703" w14:textId="77777777" w:rsidR="0013515C" w:rsidRPr="00DD24FA" w:rsidRDefault="0013515C" w:rsidP="00267B98">
            <w:pPr>
              <w:spacing w:after="0" w:line="240" w:lineRule="auto"/>
              <w:contextualSpacing/>
              <w:jc w:val="center"/>
              <w:rPr>
                <w:rFonts w:ascii="Times New Roman" w:hAnsi="Times New Roman" w:cs="Times New Roman"/>
                <w:i/>
                <w:color w:val="000000"/>
                <w:sz w:val="18"/>
                <w:szCs w:val="18"/>
              </w:rPr>
            </w:pPr>
          </w:p>
        </w:tc>
        <w:tc>
          <w:tcPr>
            <w:tcW w:w="472" w:type="pct"/>
            <w:tcBorders>
              <w:top w:val="single" w:sz="4" w:space="0" w:color="auto"/>
              <w:left w:val="single" w:sz="4" w:space="0" w:color="auto"/>
              <w:bottom w:val="single" w:sz="4" w:space="0" w:color="auto"/>
              <w:right w:val="single" w:sz="4" w:space="0" w:color="auto"/>
            </w:tcBorders>
            <w:hideMark/>
          </w:tcPr>
          <w:p w14:paraId="59D56FAF"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Intron</w:t>
            </w:r>
          </w:p>
        </w:tc>
        <w:tc>
          <w:tcPr>
            <w:tcW w:w="1416" w:type="pct"/>
            <w:tcBorders>
              <w:top w:val="single" w:sz="4" w:space="0" w:color="auto"/>
              <w:left w:val="single" w:sz="4" w:space="0" w:color="auto"/>
              <w:bottom w:val="single" w:sz="4" w:space="0" w:color="auto"/>
              <w:right w:val="single" w:sz="4" w:space="0" w:color="auto"/>
            </w:tcBorders>
            <w:hideMark/>
          </w:tcPr>
          <w:p w14:paraId="6C2A855B" w14:textId="08AB366C" w:rsidR="0013515C" w:rsidRPr="00DD24FA" w:rsidRDefault="0013515C"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CD7421" w:rsidRPr="00DD24FA">
              <w:rPr>
                <w:rFonts w:ascii="Times New Roman" w:hAnsi="Times New Roman" w:cs="Times New Roman"/>
                <w:sz w:val="18"/>
                <w:szCs w:val="18"/>
              </w:rPr>
              <w:instrText>ADDIN CSL_CITATION {"citationItems":[{"id":"ITEM-1","itemData":{"DOI":"10.3168/jds.2019-16676","ISSN":"15253198","PMID":"31563305","abstract":"In genome-wide association studies (GWAS), sample size is the most important factor affecting statistical power that is under control of the investigator, posing a major challenge in understanding the genetics underlying difficult-to-measure traits. Combining data sets available from different populations for joint or meta-analysis is a promising alternative to increasing sample sizes available for GWAS. Simulation studies indicate statistical advantages from combining raw data or GWAS summaries in enhancing quantitative trait loci (QTL) detection power. However, the complexity of genetics underlying most quantitative traits, which itself is not fully understood, is difficult to fully capture in simulated data sets. In this study, population-specific and combined-population GWAS as well as a meta-analysis of the population-specific GWAS summaries were carried out with the objective of assessing the advantages and challenges of different data-combining strategies in enhancing detection power of GWAS using milk fatty acid (FA) traits as examples. Gas chromatography (GC) quantified milk FA samples and high-density (HD) genotypes were available from 1,566 Dutch, 614 Danish, and 700 Chinese Holstein Friesian cows. Using the joint GWAS, 28 additional genomic regions were detected, with significant associations to at least 1 FA, compared with the population-specific analyses. Some of these additional regions were also detected using the implemented meta-analysis. Furthermore, using the frequently reported variants of the diacylglycerol acyltransferase 1 (DGAT1) and stearoyl-CoA desaturase (SCD1) genes, we show that significant associations were established with more FA traits in the joint GWAS than the remaining scenarios. However, there were few regions detected in the population-specific analyses that were not detected using the joint GWAS or the meta-analyses. Our results show that combining multi-population data set can be a powerful tool to enhance detection power in GWAS for seldom-recorded traits. Detection of a higher number of regions using the meta-analysis, compared with any of the population-specific analyses also emphasizes the utility of these methods in the absence of raw multi-population data sets to undertake joint GWAS.","author":[{"dropping-particle":"","family":"Gebreyesus","given":"G.","non-dropping-particle":"","parse-names":false,"suffix":""},{"dropping-particle":"","family":"Buitenhuis","given":"A. J.","non-dropping-particle":"","parse-names":false,"suffix":""},{"dropping-particle":"","family":"Poulsen","given":"N. A.","non-dropping-particle":"","parse-names":false,"suffix":""},{"dropping-particle":"","family":"Visker","given":"M. H.P.W.","non-dropping-particle":"","parse-names":false,"suffix":""},{"dropping-particle":"","family":"Zhang","given":"Q.","non-dropping-particle":"","parse-names":false,"suffix":""},{"dropping-particle":"","family":"Valenberg","given":"H. J.F.","non-dropping-particle":"van","parse-names":false,"suffix":""},{"dropping-particle":"","family":"Sun","given":"D.","non-dropping-particle":"","parse-names":false,"suffix":""},{"dropping-particle":"","family":"Bovenhuis","given":"H.","non-dropping-particle":"","parse-names":false,"suffix":""}],"container-title":"Journal of Dairy Science","id":"ITEM-1","issue":"12","issued":{"date-parts":[["2019","12","1"]]},"page":"11124-11141","publisher":"Elsevier Inc.","title":"Combining multi-population datasets for joint genome-wide association and meta-analyses: The case of bovine milk fat composition traits","type":"article-journal","volume":"102"},"uris":["http://www.mendeley.com/documents/?uuid=a52c39b3-07ae-3094-a4b5-cac9ddfe6774"]},{"id":"ITEM-2","itemData":{"DOI":"10.1186/s12864-019-5935-3","ISSN":"14712164","PMID":"31299913","abstract":"Background: Subfertility is one challenge facing the dairy industry as the average Holstein heifer conception rate (HCR), the proportion of heifers that conceive and maintain a pregnancy per breeding, is estimated at 55-60%. Of the loci associated with HCR, few have been validated in an independent cattle population, limiting their usefulness for selection or furthering our understanding of the mechanisms involved in successful pregnancy. Therefore, the objectives here were to identify loci associated with HCR: 1) to the first artificial insemination (AI) service (HCR1), 2) to repeated AI services required for a heifer to conceive (TBRD) and 3) to validate loci previously associated with fertility. Breeding and health records from 3359 Holstein heifers were obtained after heifers were bred by AI at observed estrus, with pregnancy determined at day 35 via palpation. Heifer DNA was genotyped using the Illumina BovineHD BeadChip, and genome-wide association analyses (GWAA) were performed with additive, dominant and recessive models using the Efficient Mixed Model Association eXpedited (EMMAX) method with a relationship matrix for two phenotypes. The HCR1 GWAA compared heifers that were pregnant after the first AI service (n = 497) to heifers that were open following the first AI service (n = 405), which included those that never conceived. The TBRD GWAA compared only those heifers which did conceive, across variable numbers of AI service (n = 712). Comparison of loci previously associated with fertility, HCR1 or TBRD were considered the same locus for validation when in linkage disequilibrium (D' &gt; 0.7). Results: The HCR1 GWAA identified 116, 187 and 28 loci associated (P &lt; 5 × 10- 8) in additive, dominant and recessive models, respectively. The TBRD GWAA identified 235, 362, and 69 QTL associated (P &lt; 5 × 10- 8) with additive, dominant and recessive models, respectively. Loci previously associated with fertility were in linkage disequilibrium with 22 loci shared with HCR1 and TBRD, 5 HCR1 and 19 TBRD loci. Conclusions: Loci associated with HCR1 and TBRD that have been identified and validated can be used to improve HCR through genomic selection, and to better understand possible mechanisms associated with subfertility.","author":[{"dropping-particle":"","family":"Kiser","given":"Jennifer N.","non-dropping-particle":"","parse-names":false,"suffix":""},{"dropping-particle":"","family":"Keuter","given":"Elizabeth M.","non-dropping-particle":"","parse-names":false,"suffix":""},{"dropping-particle":"","family":"Seabury","given":"Christopher M.","non-dropping-particle":"","parse-names":false,"suffix":""},{"dropping-particle":"","family":"Neupane","given":"Mahesh","non-dropping-particle":"","parse-names":false,"suffix":""},{"dropping-particle":"","family":"Moraes","given":"Joao G.N.","non-dropping-particle":"","parse-names":false,"suffix":""},{"dropping-particle":"","family":"Dalton","given":"Joseph","non-dropping-particle":"","parse-names":false,"suffix":""},{"dropping-particle":"","family":"Burns","given":"Gregory W.","non-dropping-particle":"","parse-names":false,"suffix":""},{"dropping-particle":"","family":"Spencer","given":"Thomas E.","non-dropping-particle":"","parse-names":false,"suffix":""},{"dropping-particle":"","family":"Neibergs","given":"Holly L.","non-dropping-particle":"","parse-names":false,"suffix":""}],"container-title":"BMC Genomics","id":"ITEM-2","issue":"1","issued":{"date-parts":[["2019","7","12"]]},"page":"576","publisher":"BioMed Central Ltd.","title":"Validation of 46 loci associated with female fertility traits in cattle","type":"article-journal","volume":"20"},"uris":["http://www.mendeley.com/documents/?uuid=89eb3da7-d86c-3efc-9759-112ebb7713bc"]},{"id":"ITEM-3","itemData":{"DOI":"10.1186/s40104-017-0199-8","ISSN":"20491891","abstract":"Background: Beef cattle breeding programs in Brazil have placed greater emphasis on the genomic study of reproductive traits of males and females due to their economic importance. In this study, genome-wide associations were assessed for scrotal circumference at 210d of age, scrotal circumference at 420d of age, age at first calving, and age at second calving, in Canchim beef cattle. Data quality control was conducted resulting in 672,778 SNPs and 392 animals. Results: Associated SNPs were observed for scrotal circumference at 420d of age (435 SNPs), followed by scrotal circumference at 210d of age (12 SNPs), age at first calving (six SNPs), and age at second calving (four SNPs). We investigated whether significant SNPs were within genic or surrounding regions. Biological processes of genes were associated with immune system, multicellular organismal process, response to stimulus, apoptotic process, cellular component organization or biogenesis, biological adhesion, and reproduction. Conclusions: Few associations were observed for scrotal circumference at 210d of age, age at first calving, and age at second calving, reinforcing their polygenic inheritance and the complexity of understanding the genetic architecture of reproductive traits. Finding many associations for scrotal circumference at 420d of age in various regions of the Canchim genome also reveals the difficulty of targeting specific candidate genes that could act on fertility; nonetheless, the high linkage disequilibrium between loci herein estimated could aid to overcome this issue. Therefore, all relevant information about genomic regions influencing reproductive traits may contribute to target candidate genes for further investigation of causal mutations and aid in future genomic studies in Canchim cattle to improve the breeding program.","author":[{"dropping-particle":"","family":"Buzanskas","given":"Marcos Eli","non-dropping-particle":"","parse-names":false,"suffix":""},{"dropping-particle":"","family":"Grossi","given":"Daniela do Amaral","non-dropping-particle":"","parse-names":false,"suffix":""},{"dropping-particle":"","family":"Ventura","given":"Ricardo Vieira","non-dropping-particle":"","parse-names":false,"suffix":""},{"dropping-particle":"","family":"Schenkel","given":"Flavio Schramm","non-dropping-particle":"","parse-names":false,"suffix":""},{"dropping-particle":"","family":"Chud","given":"Tatiane Cristina Seleguim","non-dropping-particle":"","parse-names":false,"suffix":""},{"dropping-particle":"","family":"Stafuzza","given":"Nedenia Bonvino","non-dropping-particle":"","parse-names":false,"suffix":""},{"dropping-particle":"","family":"Rola","given":"Luciana Diniz","non-dropping-particle":"","parse-names":false,"suffix":""},{"dropping-particle":"","family":"Meirelles","given":"Sarah Laguna Conceição","non-dropping-particle":"","parse-names":false,"suffix":""},{"dropping-particle":"","family":"Mokry","given":"Fabiana Barichello","non-dropping-particle":"","parse-names":false,"suffix":""},{"dropping-particle":"","family":"Mudadu","given":"Maurício de Alvarenga","non-dropping-particle":"","parse-names":false,"suffix":""},{"dropping-particle":"","family":"Higa","given":"Roberto Hiroshi","non-dropping-particle":"","parse-names":false,"suffix":""},{"dropping-particle":"","family":"Silva","given":"Marcos Vinícius Gualberto Barbosa","non-dropping-particle":"da","parse-names":false,"suffix":""},{"dropping-particle":"","family":"Alencar","given":"Maurício Mello","non-dropping-particle":"de","parse-names":false,"suffix":""},{"dropping-particle":"","family":"Regitano","given":"Luciana Correia de Almeida","non-dropping-particle":"","parse-names":false,"suffix":""},{"dropping-particle":"","family":"Munari","given":"Danísio Prado","non-dropping-particle":"","parse-names":false,"suffix":""}],"container-title":"Journal of Animal Science and Biotechnology","id":"ITEM-3","issue":"1","issued":{"date-parts":[["2017","8","23"]]},"page":"67","publisher":"BioMed Central Ltd.","title":"Candidate genes for male and female reproductive traits in Canchim beef cattle","type":"article-journal","volume":"8"},"uris":["http://www.mendeley.com/documents/?uuid=0dc0158c-982c-37bd-b840-427b6ee70493"]},{"id":"ITEM-4","itemData":{"DOI":"10.3390/genes11030316","ISSN":"20734425","PMID":"32188084","abstract":"Non-synonymous SNPs and protein coding SNPs within the promoter region of genes (regulatory SNPs) might have a significant effect on carcass traits. Imputed sequence level data of 10,215 Hanwoo bulls, annotated and filtered to include only regulatory SNPs (450,062 SNPs), were used in a genome-wide association study (GWAS) to identify loci associated with backfat thickness (BFT), carcass weight (CWT), eye muscle area (EMA), and marbling score (MS). A total of 15, 176, and 1 SNPs were found to be significantly associated (p &lt; 1.11 × 10−7) with BFT, CWT, and EMA, respectively. The significant loci were BTA4 (CWT), BTA6 (CWT), BTA14 (CWT and EMA), and BTA19 (BFT). BayesR estimated that 1.1%~1.9% of the SNPs contributed to more than 0.01% of the phenotypic variance. So, the GWAS was complemented by a gene-set enrichment (GSEA) and protein–protein interaction network (PPIN) analysis in identifying the pathways affecting carcass traits. At p &lt; 0.005 (~2,261 SNPs), 25 GO and 18 KEGG categories, including calcium signaling, cell proliferation, and folate biosynthesis, were found to be enriched through GSEA. The PPIN analysis showed enrichment for 81 candidate genes involved in various pathways, including the PI3K-AKT, calcium, and FoxO signaling pathways. Our finding provides insight into the effects of regulatory SNPs on carcass traits.","author":[{"dropping-particle":"","family":"Srikanth","given":"Krishnamoorthy","non-dropping-particle":"","parse-names":false,"suffix":""},{"dropping-particle":"","family":"Lee","given":"Seung Hwan","non-dropping-particle":"","parse-names":false,"suffix":""},{"dropping-particle":"","family":"Chung","given":"Ki Yong","non-dropping-particle":"","parse-names":false,"suffix":""},{"dropping-particle":"","family":"Park","given":"Jong Eun","non-dropping-particle":"","parse-names":false,"suffix":""},{"dropping-particle":"","family":"Jang","given":"Gul Won","non-dropping-particle":"","parse-names":false,"suffix":""},{"dropping-particle":"","family":"Park","given":"Mi Rim","non-dropping-particle":"","parse-names":false,"suffix":""},{"dropping-particle":"","family":"Kim","given":"Na Yeon","non-dropping-particle":"","parse-names":false,"suffix":""},{"dropping-particle":"","family":"Kim","given":"Tae Hun","non-dropping-particle":"","parse-names":false,"suffix":""},{"dropping-particle":"","family":"Chai","given":"Han Ha","non-dropping-particle":"","parse-names":false,"suffix":""},{"dropping-particle":"","family":"Park","given":"Won Cheoul","non-dropping-particle":"","parse-names":false,"suffix":""},{"dropping-particle":"","family":"Lim","given":"Dajeong","non-dropping-particle":"","parse-names":false,"suffix":""}],"container-title":"Genes","id":"ITEM-4","issue":"3","issued":{"date-parts":[["2020","3","1"]]},"page":"316","publisher":"MDPI AG","title":"A gene-set enrichment and protein–protein interaction network-based gwas with regulatory snps identifies candidate genes and pathways associated with carcass traits in hanwoo cattle","type":"article-journal","volume":"11"},"uris":["http://www.mendeley.com/documents/?uuid=dfcef1de-b445-324f-a1e7-9765d5f7bdce"]},{"id":"ITEM-5","itemData":{"DOI":"10.2527/jas2016-0632","ISSN":"0021-8812","abstract":"Carcass traits measured after slaughter are economically relevant traits in beef cattle. In general, the slaughter house payment system is based on HCW. Ribeye area (REA) is associated with the amount of the meat in the carcass, and a minimum of backfat thickness (BFT) is necessary to protect the carcass during cooling. The aim of this study was to identify potential genomic regions harboring candidate genes affecting those traits in Nellore cattle. The data set used in the present study consisted of 1,756 Nellore males with phenotype records. A subset of 1,604 animals had both genotypic and phenotypic information. Genotypes were generated based on a panel with 777,962 SNPs from the Illumina Bovine HD chip. The SNP effects were calculated based on the genomic breeding values obtained by using the single-step GBLUP approach and a genomic matrix re-weighting procedure. The proportion of the variance explained by moving windows of 100 consecutive SNPs was used to assess potential genomic regions harboring genes with major effects on each trait. The top 10 non-overlapping SNP-windows explained 8.72%, 11.38%, and 9.31% of the genetic variance for REA, BFT, and HCW, respectively. These windows are located on chromosomes 5, 7, 8, 10, 12, 20, and 29 for REA; chromosomes 6, 8, 10, 13, 16, 17, 18, and 24 for BFT; and chromosomes 4, 6, 7, 8, 14, 16, 17, and 21 for HCW. For REA, there were identified genes (CDKN2A and CDKN2B) involved in the cell cycle biological process which affects many aspects of animal growth and development. The SLC38A1 and SLC38A2 genes, both from SLC38 AA transporter family, was also associated with REA. The AA transporters are essential for cell growth and proliferation, acting as carriers of tissue nutrient supplies. Various genes identified for BFT (SORCS2, AQP3, AQP7, CDC42BPA, ASIP, and ACSS2) have been associated with lipid metabolism in different mammal species. One of the most promising genes identified for HCW was the PLAG1. There is evidence, in the literature, that this gene is located in putative QTL affecting carcass weight in beef cattle. Our results showed several genomic regions containing plausible candidate genes that may be associated with carcass traits in Nellore cattle. Besides contributing to a better understanding of the genetic control of carcass traits, the identified genes can also be helpful for further functional genomic studies.","author":[{"dropping-particle":"","family":"Júnior","given":"G. A. Fernandes","non-dropping-particle":"","parse-names":false,"suffix":""},{"dropping-particle":"","family":"Costa","given":"R. B.","non-dropping-particle":"","parse-names":false,"suffix":""},{"dropping-particle":"","family":"Camargo","given":"G. M. F.","non-dropping-particle":"de","parse-names":false,"suffix":""},{"dropping-particle":"","family":"Carvalheiro","given":"R.","non-dropping-particle":"","parse-names":false,"suffix":""},{"dropping-particle":"","family":"Rosa","given":"G. J. M.","non-dropping-particle":"","parse-names":false,"suffix":""},{"dropping-particle":"","family":"Baldi","given":"F.","non-dropping-particle":"","parse-names":false,"suffix":""},{"dropping-particle":"","family":"Garcia","given":"D. A.","non-dropping-particle":"","parse-names":false,"suffix":""},{"dropping-particle":"","family":"Gordo","given":"D. G. M.","non-dropping-particle":"","parse-names":false,"suffix":""},{"dropping-particle":"","family":"Espigolan","given":"R.","non-dropping-particle":"","parse-names":false,"suffix":""},{"dropping-particle":"","family":"Takada","given":"L.","non-dropping-particle":"","parse-names":false,"suffix":""},{"dropping-particle":"","family":"Magalhães","given":"A. F. B.","non-dropping-particle":"","parse-names":false,"suffix":""},{"dropping-particle":"","family":"Bresolin","given":"T.","non-dropping-particle":"","parse-names":false,"suffix":""},{"dropping-particle":"","family":"Feitosa","given":"F. L. B.","non-dropping-particle":"","parse-names":false,"suffix":""},{"dropping-particle":"","family":"Chardulo","given":"L. A. L.","non-dropping-particle":"","parse-names":false,"suffix":""},{"dropping-particle":"","family":"Oliveira","given":"H. N.","non-dropping-particle":"de","parse-names":false,"suffix":""},{"dropping-particle":"","family":"Albuquerque","given":"L. G.","non-dropping-particle":"de","parse-names":false,"suffix":""}],"container-title":"Journal of Animal Science","id":"ITEM-5","issue":"10","issued":{"date-parts":[["2016","10","1"]]},"page":"4087-4095","publisher":"American Society of Animal Science","title":"Genome scan for postmortem carcass traits in Nellore cattle","type":"article-journal","volume":"94"},"uris":["http://www.mendeley.com/documents/?uuid=978a2fdf-a71d-4479-862c-172d7d311f6d"]},{"id":"ITEM-6","itemData":{"DOI":"10.1038/emboj.2012.70","ISSN":"02614189","abstract":"Mitochondria are dynamic subcellular organelles that convert nutrient intermediates into readily available energy equivalents. Optimal mitochondrial function is ensured by a highly evolved quality control system, coordinated by protein machinery that regulates a process of continual fusion and fission. In this work, we provide in vivo evidence that the ATP-independent metalloprotease OMA1 plays an essential role in the proteolytic inactivation of the dynamin-related GTPase OPA1 (optic atrophy 1). We also show that OMA1 deficiency causes a profound perturbation of the mitochondrial fusion-fission equilibrium that has important implications for metabolic homeostasis. Thus, ablation of OMA1 in mice results in marked transcriptional changes in genes of lipid and glucose metabolic pathways and substantial alterations in circulating blood parameters. Additionally, Oma1-mutant mice exhibit an increase in body weight due to increased adipose mass, hepatic steatosis, decreased energy expenditure and impaired thermogenenesis. These alterations are especially significant under metabolic stress conditions, indicating that an intact OMA1-OPA1 system is essential for developing the appropriate adaptive response to different metabolic stressors such as a high-fat diet or cold-shock. This study provides the first description of an unexpected role in energy metabolism for the metalloprotease OMA1 and reinforces the importance of mitochondrial quality control for normal metabolic function. © 2012 European Molecular Biology Organization | All Rights Reserved.","author":[{"dropping-particle":"","family":"Quirós","given":"Pedro M","non-dropping-particle":"","parse-names":false,"suffix":""},{"dropping-particle":"","family":"Ramsay","given":"Andrew J","non-dropping-particle":"","parse-names":false,"suffix":""},{"dropping-particle":"","family":"Sala","given":"David","non-dropping-particle":"","parse-names":false,"suffix":""},{"dropping-particle":"","family":"Fernández-Vizarra","given":"Erika","non-dropping-particle":"","parse-names":false,"suffix":""},{"dropping-particle":"","family":"Rodríguez","given":"Francisco","non-dropping-particle":"","parse-names":false,"suffix":""},{"dropping-particle":"","family":"Peinado","given":"Juan R","non-dropping-particle":"","parse-names":false,"suffix":""},{"dropping-particle":"","family":"Fernández-García","given":"Maria Soledad","non-dropping-particle":"","parse-names":false,"suffix":""},{"dropping-particle":"","family":"Vega","given":"José A","non-dropping-particle":"","parse-names":false,"suffix":""},{"dropping-particle":"","family":"Enríquez","given":"José A","non-dropping-particle":"","parse-names":false,"suffix":""},{"dropping-particle":"","family":"Zorzano","given":"Antonio","non-dropping-particle":"","parse-names":false,"suffix":""},{"dropping-particle":"","family":"López-Otín","given":"Carlos","non-dropping-particle":"","parse-names":false,"suffix":""}],"container-title":"The EMBO Journal","id":"ITEM-6","issue":"9","issued":{"date-parts":[["2012","5","2"]]},"page":"2117-2133","publisher":"John Wiley &amp; Sons, Ltd","title":"Loss of mitochondrial protease OMA1 alters processing of the GTPase OPA1 and causes obesity and defective thermogenesis in mice","type":"article-journal","volume":"31"},"uris":["http://www.mendeley.com/documents/?uuid=331b931d-b6a2-3abe-9ff2-1976e28efeaf"]}],"mendeley":{"formattedCitation":"[3, 62, 66–69]","plainTextFormattedCitation":"[3, 62, 66–69]","previouslyFormattedCitation":"[3, 62, 66–69]"},"properties":{"noteIndex":0},"schema":"https://github.com/citation-style-language/schema/raw/master/csl-citation.json"}</w:instrText>
            </w:r>
            <w:r w:rsidRPr="00DD24FA">
              <w:rPr>
                <w:rFonts w:ascii="Times New Roman" w:hAnsi="Times New Roman" w:cs="Times New Roman"/>
                <w:sz w:val="18"/>
                <w:szCs w:val="18"/>
              </w:rPr>
              <w:fldChar w:fldCharType="separate"/>
            </w:r>
            <w:r w:rsidR="00CD7421" w:rsidRPr="00DD24FA">
              <w:rPr>
                <w:rFonts w:ascii="Times New Roman" w:hAnsi="Times New Roman" w:cs="Times New Roman"/>
                <w:noProof/>
                <w:sz w:val="18"/>
                <w:szCs w:val="18"/>
              </w:rPr>
              <w:t>[3, 62, 66–69]</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mice; Milk fatty acid, conception rate, scrotal circumference</w:t>
            </w:r>
            <w:r w:rsidR="00CD7421" w:rsidRPr="00DD24FA">
              <w:rPr>
                <w:rFonts w:ascii="Times New Roman" w:hAnsi="Times New Roman" w:cs="Times New Roman"/>
                <w:sz w:val="18"/>
                <w:szCs w:val="18"/>
              </w:rPr>
              <w:t>,</w:t>
            </w:r>
            <w:r w:rsidRPr="00DD24FA">
              <w:rPr>
                <w:rFonts w:ascii="Times New Roman" w:hAnsi="Times New Roman" w:cs="Times New Roman"/>
                <w:sz w:val="18"/>
                <w:szCs w:val="18"/>
              </w:rPr>
              <w:t xml:space="preserve"> carcass weight, mitochondrial activity, metabolic homeostasis, and body weight</w:t>
            </w:r>
          </w:p>
        </w:tc>
      </w:tr>
      <w:tr w:rsidR="00DD24FA" w14:paraId="68F464B0"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24926366" w14:textId="71923621" w:rsidR="0013515C" w:rsidRPr="00DD24FA" w:rsidRDefault="0013515C"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24_06</w:t>
            </w:r>
            <w:r w:rsidR="001C4707" w:rsidRPr="00DD24FA">
              <w:rPr>
                <w:rFonts w:ascii="Times New Roman" w:hAnsi="Times New Roman" w:cs="Times New Roman"/>
                <w:i/>
                <w:sz w:val="18"/>
                <w:szCs w:val="18"/>
                <w:vertAlign w:val="superscript"/>
              </w:rPr>
              <w:t>a</w:t>
            </w:r>
          </w:p>
        </w:tc>
        <w:tc>
          <w:tcPr>
            <w:tcW w:w="369" w:type="pct"/>
            <w:tcBorders>
              <w:top w:val="single" w:sz="4" w:space="0" w:color="auto"/>
              <w:left w:val="single" w:sz="4" w:space="0" w:color="auto"/>
              <w:bottom w:val="single" w:sz="4" w:space="0" w:color="auto"/>
              <w:right w:val="single" w:sz="4" w:space="0" w:color="auto"/>
            </w:tcBorders>
          </w:tcPr>
          <w:p w14:paraId="1EFC061D"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5.990</w:t>
            </w:r>
          </w:p>
          <w:p w14:paraId="45835A01"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p>
        </w:tc>
        <w:tc>
          <w:tcPr>
            <w:tcW w:w="554" w:type="pct"/>
            <w:tcBorders>
              <w:top w:val="single" w:sz="4" w:space="0" w:color="auto"/>
              <w:left w:val="single" w:sz="4" w:space="0" w:color="auto"/>
              <w:bottom w:val="single" w:sz="4" w:space="0" w:color="auto"/>
              <w:right w:val="single" w:sz="4" w:space="0" w:color="auto"/>
            </w:tcBorders>
          </w:tcPr>
          <w:p w14:paraId="5B20BF8A"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-204.590</w:t>
            </w:r>
          </w:p>
          <w:p w14:paraId="1260EF8C"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p>
        </w:tc>
        <w:tc>
          <w:tcPr>
            <w:tcW w:w="328" w:type="pct"/>
            <w:tcBorders>
              <w:top w:val="single" w:sz="4" w:space="0" w:color="auto"/>
              <w:left w:val="single" w:sz="4" w:space="0" w:color="auto"/>
              <w:bottom w:val="single" w:sz="4" w:space="0" w:color="auto"/>
              <w:right w:val="single" w:sz="4" w:space="0" w:color="auto"/>
            </w:tcBorders>
          </w:tcPr>
          <w:p w14:paraId="2BD27C3E"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0.019</w:t>
            </w:r>
          </w:p>
          <w:p w14:paraId="44F51AB5"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p>
        </w:tc>
        <w:tc>
          <w:tcPr>
            <w:tcW w:w="570" w:type="pct"/>
            <w:tcBorders>
              <w:top w:val="single" w:sz="4" w:space="0" w:color="auto"/>
              <w:left w:val="single" w:sz="4" w:space="0" w:color="auto"/>
              <w:bottom w:val="single" w:sz="4" w:space="0" w:color="auto"/>
              <w:right w:val="single" w:sz="4" w:space="0" w:color="auto"/>
            </w:tcBorders>
            <w:hideMark/>
          </w:tcPr>
          <w:p w14:paraId="0A0E76D6"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4</w:t>
            </w:r>
          </w:p>
        </w:tc>
        <w:tc>
          <w:tcPr>
            <w:tcW w:w="795" w:type="pct"/>
            <w:tcBorders>
              <w:top w:val="single" w:sz="4" w:space="0" w:color="auto"/>
              <w:left w:val="single" w:sz="4" w:space="0" w:color="auto"/>
              <w:bottom w:val="single" w:sz="4" w:space="0" w:color="auto"/>
              <w:right w:val="single" w:sz="4" w:space="0" w:color="auto"/>
            </w:tcBorders>
          </w:tcPr>
          <w:p w14:paraId="67F1A47D" w14:textId="77777777" w:rsidR="0013515C" w:rsidRPr="00DD24FA" w:rsidRDefault="0013515C" w:rsidP="00267B98">
            <w:pPr>
              <w:spacing w:after="0" w:line="240" w:lineRule="auto"/>
              <w:contextualSpacing/>
              <w:jc w:val="center"/>
              <w:rPr>
                <w:rFonts w:ascii="Times New Roman" w:hAnsi="Times New Roman" w:cs="Times New Roman"/>
                <w:i/>
                <w:color w:val="000000"/>
                <w:sz w:val="18"/>
                <w:szCs w:val="18"/>
              </w:rPr>
            </w:pPr>
            <w:r w:rsidRPr="00DD24FA">
              <w:rPr>
                <w:rFonts w:ascii="Times New Roman" w:hAnsi="Times New Roman" w:cs="Times New Roman"/>
                <w:i/>
                <w:color w:val="000000"/>
                <w:sz w:val="18"/>
                <w:szCs w:val="18"/>
              </w:rPr>
              <w:t>LOC112444205, LOC101907394</w:t>
            </w:r>
          </w:p>
          <w:p w14:paraId="3C404AD1" w14:textId="77777777" w:rsidR="0013515C" w:rsidRPr="00DD24FA" w:rsidRDefault="0013515C" w:rsidP="00267B98">
            <w:pPr>
              <w:spacing w:after="0" w:line="240" w:lineRule="auto"/>
              <w:contextualSpacing/>
              <w:jc w:val="center"/>
              <w:rPr>
                <w:rFonts w:ascii="Times New Roman" w:hAnsi="Times New Roman" w:cs="Times New Roman"/>
                <w:i/>
                <w:iCs/>
                <w:color w:val="000000"/>
                <w:sz w:val="18"/>
                <w:szCs w:val="18"/>
              </w:rPr>
            </w:pPr>
          </w:p>
        </w:tc>
        <w:tc>
          <w:tcPr>
            <w:tcW w:w="472" w:type="pct"/>
            <w:tcBorders>
              <w:top w:val="single" w:sz="4" w:space="0" w:color="auto"/>
              <w:left w:val="single" w:sz="4" w:space="0" w:color="auto"/>
              <w:bottom w:val="single" w:sz="4" w:space="0" w:color="auto"/>
              <w:right w:val="single" w:sz="4" w:space="0" w:color="auto"/>
            </w:tcBorders>
            <w:hideMark/>
          </w:tcPr>
          <w:p w14:paraId="098313FD"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Intergenic</w:t>
            </w:r>
          </w:p>
        </w:tc>
        <w:tc>
          <w:tcPr>
            <w:tcW w:w="1416" w:type="pct"/>
            <w:tcBorders>
              <w:top w:val="single" w:sz="4" w:space="0" w:color="auto"/>
              <w:left w:val="single" w:sz="4" w:space="0" w:color="auto"/>
              <w:bottom w:val="single" w:sz="4" w:space="0" w:color="auto"/>
              <w:right w:val="single" w:sz="4" w:space="0" w:color="auto"/>
            </w:tcBorders>
            <w:hideMark/>
          </w:tcPr>
          <w:p w14:paraId="04A27F25" w14:textId="55A48FBF" w:rsidR="0013515C" w:rsidRPr="00DD24FA" w:rsidRDefault="0013515C"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CD7421" w:rsidRPr="00DD24FA">
              <w:rPr>
                <w:rFonts w:ascii="Times New Roman" w:hAnsi="Times New Roman" w:cs="Times New Roman"/>
                <w:sz w:val="18"/>
                <w:szCs w:val="18"/>
              </w:rPr>
              <w:instrText>ADDIN CSL_CITATION {"citationItems":[{"id":"ITEM-1","itemData":{"DOI":"10.3390/genes11070767","ISSN":"2073-4425","abstract":"&lt;p&gt;Heifer conception rate (HCR) is defined as the percentage of inseminated heifers that become pregnant at each service. The genome-wide association analyses in this study focused on identifying the loci associated with Holstein heifer (n = 2013) conception rate at first service (HCR1) and the number of times bred (TBRD) to achieve a pregnancy. There were 348 unique loci associated (p &amp;lt; 5 × 10−8) with HCR1 and 615 unique loci associated (p &amp;lt; 5 × 10−8) with TBRD. The two phenotypes shared 302 loci, and 56 loci were validated in independent cattle populations. There were 52 transcription factor binding sites (TFBS) and 552 positional candidate genes identified in the HCR1- and TBRD-associated loci. The positional candidate genes and the TFBS associated with HCR1 and TBRD were used in the ingenuity pathway analysis (IPA). In the IPA, 11 pathways, 207 master regulators and 11 upstream regulators were associated (p &amp;lt; 1.23 × 10−5) with HCR1 and TBRD. The validated loci associated with both HCR1 and TBRD make good candidates for genomic selection and further investigations to elucidate the mechanisms associated with subfertility and infertility.&lt;/p&gt;","author":[{"dropping-particle":"","family":"Galliou","given":"Justine M.","non-dropping-particle":"","parse-names":false,"suffix":""},{"dropping-particle":"","family":"Kiser","given":"Jennifer N.","non-dropping-particle":"","parse-names":false,"suffix":""},{"dropping-particle":"","family":"Oliver","given":"Kayleen F.","non-dropping-particle":"","parse-names":false,"suffix":""},{"dropping-particle":"","family":"Seabury","given":"Christopher M.","non-dropping-particle":"","parse-names":false,"suffix":""},{"dropping-particle":"","family":"Moraes","given":"Joao G. N.","non-dropping-particle":"","parse-names":false,"suffix":""},{"dropping-particle":"","family":"Burns","given":"Gregory W.","non-dropping-particle":"","parse-names":false,"suffix":""},{"dropping-particle":"","family":"Spencer","given":"Thomas E.","non-dropping-particle":"","parse-names":false,"suffix":""},{"dropping-particle":"","family":"Dalton","given":"Joseph","non-dropping-particle":"","parse-names":false,"suffix":""},{"dropping-particle":"","family":"Neibergs","given":"Holly L.","non-dropping-particle":"","parse-names":false,"suffix":""}],"container-title":"Genes","id":"ITEM-1","issue":"7","issued":{"date-parts":[["2020","7","8"]]},"page":"767","publisher":"MDPI AG","title":"Identification of Loci and Pathways Associated with Heifer Conception Rate in U.S. Holsteins","type":"article-journal","volume":"11"},"uris":["http://www.mendeley.com/documents/?uuid=3eab597e-823a-3e79-93bb-dd7d1f36ef1d"]},{"id":"ITEM-2","itemData":{"DOI":"10.1186/s12864-019-5573-9","ISSN":"14712164","PMID":"30841852","abstract":"Background: The power of genome-wide association studies (GWAS) is often limited by the sample size available for the analysis. Milk fatty acid (FA) traits are scarcely recorded due to expensive and time-consuming analytical techniques. Combining multi-population datasets can enhance the power of GWAS enabling detection of genomic region explaining medium to low proportions of the genetic variation. GWAS often detect broader genomic regions containing several positional candidate genes making it difficult to untangle the causative candidates. Post-GWAS analyses with data on pathways, ontology and tissue-specific gene expression status might allow prioritization among positional candidate genes. Results: Multi-population GWAS for 16 FA traits quantified using gas chromatography (GC) in sample populations of the Chinese, Danish and Dutch Holstein with high-density (HD) genotypes detects 56 genomic regions significantly associated to at least one of the studied FAs; some of which have not been previously reported. Pathways and gene ontology (GO) analyses suggest promising candidate genes on the novel regions including OSBPL6 and AGPS on Bos taurus autosome (BTA) 2, PRLH on BTA 3, SLC51B on BTA 10, ABCG5/8 on BTA 11 and ALG5 on BTA 12. Novel genes in previously known regions, such as FABP4 on BTA 14, APOA1/5/7 on BTA 15 and MGST2 on BTA 17, are also linked to important FA metabolic processes. Conclusion: Integration of multi-population GWAS and enrichment analyses enabled detection of several novel genomic regions, explaining relatively smaller fractions of the genetic variation, and revealed highly likely candidate genes underlying the effects. Detection of such regions and candidate genes will be crucial in understanding the complex genetic control of FA metabolism. The findings can also be used to augment genomic prediction models with regions collectively capturing most of the genetic variation in the milk FA traits.","author":[{"dropping-particle":"","family":"Gebreyesus","given":"G.","non-dropping-particle":"","parse-names":false,"suffix":""},{"dropping-particle":"","family":"Buitenhuis","given":"A. J.","non-dropping-particle":"","parse-names":false,"suffix":""},{"dropping-particle":"","family":"Poulsen","given":"N. A.","non-dropping-particle":"","parse-names":false,"suffix":""},{"dropping-particle":"","family":"Visker","given":"M. H.P.W.","non-dropping-particle":"","parse-names":false,"suffix":""},{"dropping-particle":"","family":"Zhang","given":"Q.","non-dropping-particle":"","parse-names":false,"suffix":""},{"dropping-particle":"","family":"Valenberg","given":"H. J.F.","non-dropping-particle":"Van","parse-names":false,"suffix":""},{"dropping-particle":"","family":"Sun","given":"D.","non-dropping-particle":"","parse-names":false,"suffix":""},{"dropping-particle":"","family":"Bovenhuis","given":"H.","non-dropping-particle":"","parse-names":false,"suffix":""}],"container-title":"BMC Genomics","id":"ITEM-2","issue":"1","issued":{"date-parts":[["2019","3","6"]]},"page":"178","publisher":"BioMed Central Ltd.","title":"Multi-population GWAS and enrichment analyses reveal novel genomic regions and promising candidate genes underlying bovine milk fatty acid composition","type":"article-journal","volume":"20"},"uris":["http://www.mendeley.com/documents/?uuid=703bd5da-6aff-3e03-8c98-d42b45510232"]},{"id":"ITEM-3","itemData":{"DOI":"10.3168/jds.2019-16676","ISSN":"15253198","PMID":"31563305","abstract":"In genome-wide association studies (GWAS), sample size is the most important factor affecting statistical power that is under control of the investigator, posing a major challenge in understanding the genetics underlying difficult-to-measure traits. Combining data sets available from different populations for joint or meta-analysis is a promising alternative to increasing sample sizes available for GWAS. Simulation studies indicate statistical advantages from combining raw data or GWAS summaries in enhancing quantitative trait loci (QTL) detection power. However, the complexity of genetics underlying most quantitative traits, which itself is not fully understood, is difficult to fully capture in simulated data sets. In this study, population-specific and combined-population GWAS as well as a meta-analysis of the population-specific GWAS summaries were carried out with the objective of assessing the advantages and challenges of different data-combining strategies in enhancing detection power of GWAS using milk fatty acid (FA) traits as examples. Gas chromatography (GC) quantified milk FA samples and high-density (HD) genotypes were available from 1,566 Dutch, 614 Danish, and 700 Chinese Holstein Friesian cows. Using the joint GWAS, 28 additional genomic regions were detected, with significant associations to at least 1 FA, compared with the population-specific analyses. Some of these additional regions were also detected using the implemented meta-analysis. Furthermore, using the frequently reported variants of the diacylglycerol acyltransferase 1 (DGAT1) and stearoyl-CoA desaturase (SCD1) genes, we show that significant associations were established with more FA traits in the joint GWAS than the remaining scenarios. However, there were few regions detected in the population-specific analyses that were not detected using the joint GWAS or the meta-analyses. Our results show that combining multi-population data set can be a powerful tool to enhance detection power in GWAS for seldom-recorded traits. Detection of a higher number of regions using the meta-analysis, compared with any of the population-specific analyses also emphasizes the utility of these methods in the absence of raw multi-population data sets to undertake joint GWAS.","author":[{"dropping-particle":"","family":"Gebreyesus","given":"G.","non-dropping-particle":"","parse-names":false,"suffix":""},{"dropping-particle":"","family":"Buitenhuis","given":"A. J.","non-dropping-particle":"","parse-names":false,"suffix":""},{"dropping-particle":"","family":"Poulsen","given":"N. A.","non-dropping-particle":"","parse-names":false,"suffix":""},{"dropping-particle":"","family":"Visker","given":"M. H.P.W.","non-dropping-particle":"","parse-names":false,"suffix":""},{"dropping-particle":"","family":"Zhang","given":"Q.","non-dropping-particle":"","parse-names":false,"suffix":""},{"dropping-particle":"","family":"Valenberg","given":"H. J.F.","non-dropping-particle":"van","parse-names":false,"suffix":""},{"dropping-particle":"","family":"Sun","given":"D.","non-dropping-particle":"","parse-names":false,"suffix":""},{"dropping-particle":"","family":"Bovenhuis","given":"H.","non-dropping-particle":"","parse-names":false,"suffix":""}],"container-title":"Journal of Dairy Science","id":"ITEM-3","issue":"12","issued":{"date-parts":[["2019","12","1"]]},"page":"11124-11141","publisher":"Elsevier Inc.","title":"Combining multi-population datasets for joint genome-wide association and meta-analyses: The case of bovine milk fat composition traits","type":"article-journal","volume":"102"},"uris":["http://www.mendeley.com/documents/?uuid=a52c39b3-07ae-3094-a4b5-cac9ddfe6774"]},{"id":"ITEM-4","itemData":{"DOI":"10.1186/s12864-019-5935-3","ISSN":"14712164","PMID":"31299913","abstract":"Background: Subfertility is one challenge facing the dairy industry as the average Holstein heifer conception rate (HCR), the proportion of heifers that conceive and maintain a pregnancy per breeding, is estimated at 55-60%. Of the loci associated with HCR, few have been validated in an independent cattle population, limiting their usefulness for selection or furthering our understanding of the mechanisms involved in successful pregnancy. Therefore, the objectives here were to identify loci associated with HCR: 1) to the first artificial insemination (AI) service (HCR1), 2) to repeated AI services required for a heifer to conceive (TBRD) and 3) to validate loci previously associated with fertility. Breeding and health records from 3359 Holstein heifers were obtained after heifers were bred by AI at observed estrus, with pregnancy determined at day 35 via palpation. Heifer DNA was genotyped using the Illumina BovineHD BeadChip, and genome-wide association analyses (GWAA) were performed with additive, dominant and recessive models using the Efficient Mixed Model Association eXpedited (EMMAX) method with a relationship matrix for two phenotypes. The HCR1 GWAA compared heifers that were pregnant after the first AI service (n = 497) to heifers that were open following the first AI service (n = 405), which included those that never conceived. The TBRD GWAA compared only those heifers which did conceive, across variable numbers of AI service (n = 712). Comparison of loci previously associated with fertility, HCR1 or TBRD were considered the same locus for validation when in linkage disequilibrium (D' &gt; 0.7). Results: The HCR1 GWAA identified 116, 187 and 28 loci associated (P &lt; 5 × 10- 8) in additive, dominant and recessive models, respectively. The TBRD GWAA identified 235, 362, and 69 QTL associated (P &lt; 5 × 10- 8) with additive, dominant and recessive models, respectively. Loci previously associated with fertility were in linkage disequilibrium with 22 loci shared with HCR1 and TBRD, 5 HCR1 and 19 TBRD loci. Conclusions: Loci associated with HCR1 and TBRD that have been identified and validated can be used to improve HCR through genomic selection, and to better understand possible mechanisms associated with subfertility.","author":[{"dropping-particle":"","family":"Kiser","given":"Jennifer N.","non-dropping-particle":"","parse-names":false,"suffix":""},{"dropping-particle":"","family":"Keuter","given":"Elizabeth M.","non-dropping-particle":"","parse-names":false,"suffix":""},{"dropping-particle":"","family":"Seabury","given":"Christopher M.","non-dropping-particle":"","parse-names":false,"suffix":""},{"dropping-particle":"","family":"Neupane","given":"Mahesh","non-dropping-particle":"","parse-names":false,"suffix":""},{"dropping-particle":"","family":"Moraes","given":"Joao G.N.","non-dropping-particle":"","parse-names":false,"suffix":""},{"dropping-particle":"","family":"Dalton","given":"Joseph","non-dropping-particle":"","parse-names":false,"suffix":""},{"dropping-particle":"","family":"Burns","given":"Gregory W.","non-dropping-particle":"","parse-names":false,"suffix":""},{"dropping-particle":"","family":"Spencer","given":"Thomas E.","non-dropping-particle":"","parse-names":false,"suffix":""},{"dropping-particle":"","family":"Neibergs","given":"Holly L.","non-dropping-particle":"","parse-names":false,"suffix":""}],"container-title":"BMC Genomics","id":"ITEM-4","issue":"1","issued":{"date-parts":[["2019","7","12"]]},"page":"576","publisher":"BioMed Central Ltd.","title":"Validation of 46 loci associated with female fertility traits in cattle","type":"article-journal","volume":"20"},"uris":["http://www.mendeley.com/documents/?uuid=89eb3da7-d86c-3efc-9759-112ebb7713bc"]}],"mendeley":{"formattedCitation":"[3, 43, 66, 70]","plainTextFormattedCitation":"[3, 43, 66, 70]","previouslyFormattedCitation":"[3, 43, 66, 70]"},"properties":{"noteIndex":0},"schema":"https://github.com/citation-style-language/schema/raw/master/csl-citation.json"}</w:instrText>
            </w:r>
            <w:r w:rsidRPr="00DD24FA">
              <w:rPr>
                <w:rFonts w:ascii="Times New Roman" w:hAnsi="Times New Roman" w:cs="Times New Roman"/>
                <w:sz w:val="18"/>
                <w:szCs w:val="18"/>
              </w:rPr>
              <w:fldChar w:fldCharType="separate"/>
            </w:r>
            <w:r w:rsidR="00CD7421" w:rsidRPr="00DD24FA">
              <w:rPr>
                <w:rFonts w:ascii="Times New Roman" w:hAnsi="Times New Roman" w:cs="Times New Roman"/>
                <w:noProof/>
                <w:sz w:val="18"/>
                <w:szCs w:val="18"/>
              </w:rPr>
              <w:t>[3, 43, 66, 70]</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Conception rate, milk fatty acid association</w:t>
            </w:r>
          </w:p>
        </w:tc>
      </w:tr>
      <w:tr w:rsidR="00DD24FA" w14:paraId="21BE42D2"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398A1827" w14:textId="7F9A574A" w:rsidR="0013515C" w:rsidRPr="00DD24FA" w:rsidRDefault="0013515C"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24_07</w:t>
            </w:r>
            <w:r w:rsidR="001C4707" w:rsidRPr="00DD24FA">
              <w:rPr>
                <w:rFonts w:ascii="Times New Roman" w:hAnsi="Times New Roman" w:cs="Times New Roman"/>
                <w:i/>
                <w:sz w:val="18"/>
                <w:szCs w:val="18"/>
                <w:vertAlign w:val="superscript"/>
              </w:rPr>
              <w:t>a</w:t>
            </w:r>
          </w:p>
        </w:tc>
        <w:tc>
          <w:tcPr>
            <w:tcW w:w="369" w:type="pct"/>
            <w:tcBorders>
              <w:top w:val="single" w:sz="4" w:space="0" w:color="auto"/>
              <w:left w:val="single" w:sz="4" w:space="0" w:color="auto"/>
              <w:bottom w:val="single" w:sz="4" w:space="0" w:color="auto"/>
              <w:right w:val="single" w:sz="4" w:space="0" w:color="auto"/>
            </w:tcBorders>
            <w:hideMark/>
          </w:tcPr>
          <w:p w14:paraId="01CD57BB"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5.900</w:t>
            </w:r>
          </w:p>
        </w:tc>
        <w:tc>
          <w:tcPr>
            <w:tcW w:w="554" w:type="pct"/>
            <w:tcBorders>
              <w:top w:val="single" w:sz="4" w:space="0" w:color="auto"/>
              <w:left w:val="single" w:sz="4" w:space="0" w:color="auto"/>
              <w:bottom w:val="single" w:sz="4" w:space="0" w:color="auto"/>
              <w:right w:val="single" w:sz="4" w:space="0" w:color="auto"/>
            </w:tcBorders>
            <w:hideMark/>
          </w:tcPr>
          <w:p w14:paraId="3DAB3FF4"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203.114</w:t>
            </w:r>
          </w:p>
        </w:tc>
        <w:tc>
          <w:tcPr>
            <w:tcW w:w="328" w:type="pct"/>
            <w:tcBorders>
              <w:top w:val="single" w:sz="4" w:space="0" w:color="auto"/>
              <w:left w:val="single" w:sz="4" w:space="0" w:color="auto"/>
              <w:bottom w:val="single" w:sz="4" w:space="0" w:color="auto"/>
              <w:right w:val="single" w:sz="4" w:space="0" w:color="auto"/>
            </w:tcBorders>
            <w:hideMark/>
          </w:tcPr>
          <w:p w14:paraId="6DC1551F"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0.011</w:t>
            </w:r>
          </w:p>
        </w:tc>
        <w:tc>
          <w:tcPr>
            <w:tcW w:w="570" w:type="pct"/>
            <w:tcBorders>
              <w:top w:val="single" w:sz="4" w:space="0" w:color="auto"/>
              <w:left w:val="single" w:sz="4" w:space="0" w:color="auto"/>
              <w:bottom w:val="single" w:sz="4" w:space="0" w:color="auto"/>
              <w:right w:val="single" w:sz="4" w:space="0" w:color="auto"/>
            </w:tcBorders>
            <w:hideMark/>
          </w:tcPr>
          <w:p w14:paraId="2CEB832B"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3</w:t>
            </w:r>
          </w:p>
        </w:tc>
        <w:tc>
          <w:tcPr>
            <w:tcW w:w="795" w:type="pct"/>
            <w:tcBorders>
              <w:top w:val="single" w:sz="4" w:space="0" w:color="auto"/>
              <w:left w:val="single" w:sz="4" w:space="0" w:color="auto"/>
              <w:bottom w:val="single" w:sz="4" w:space="0" w:color="auto"/>
              <w:right w:val="single" w:sz="4" w:space="0" w:color="auto"/>
            </w:tcBorders>
            <w:hideMark/>
          </w:tcPr>
          <w:p w14:paraId="6213DAAA" w14:textId="77777777" w:rsidR="0013515C" w:rsidRPr="00DD24FA" w:rsidRDefault="0013515C" w:rsidP="00267B98">
            <w:pPr>
              <w:spacing w:after="0" w:line="240" w:lineRule="auto"/>
              <w:contextualSpacing/>
              <w:jc w:val="center"/>
              <w:rPr>
                <w:rFonts w:ascii="Times New Roman" w:hAnsi="Times New Roman" w:cs="Times New Roman"/>
                <w:i/>
                <w:iCs/>
                <w:color w:val="000000"/>
                <w:sz w:val="18"/>
                <w:szCs w:val="18"/>
              </w:rPr>
            </w:pPr>
            <w:r w:rsidRPr="00DD24FA">
              <w:rPr>
                <w:rFonts w:ascii="Times New Roman" w:hAnsi="Times New Roman" w:cs="Times New Roman"/>
                <w:i/>
                <w:color w:val="000000"/>
                <w:sz w:val="18"/>
                <w:szCs w:val="18"/>
              </w:rPr>
              <w:t>SOCS6, RTTN</w:t>
            </w:r>
          </w:p>
        </w:tc>
        <w:tc>
          <w:tcPr>
            <w:tcW w:w="472" w:type="pct"/>
            <w:tcBorders>
              <w:top w:val="single" w:sz="4" w:space="0" w:color="auto"/>
              <w:left w:val="single" w:sz="4" w:space="0" w:color="auto"/>
              <w:bottom w:val="single" w:sz="4" w:space="0" w:color="auto"/>
              <w:right w:val="single" w:sz="4" w:space="0" w:color="auto"/>
            </w:tcBorders>
            <w:hideMark/>
          </w:tcPr>
          <w:p w14:paraId="2EB8A7FE"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Intergenic</w:t>
            </w:r>
          </w:p>
        </w:tc>
        <w:tc>
          <w:tcPr>
            <w:tcW w:w="1416" w:type="pct"/>
            <w:tcBorders>
              <w:top w:val="single" w:sz="4" w:space="0" w:color="auto"/>
              <w:left w:val="single" w:sz="4" w:space="0" w:color="auto"/>
              <w:bottom w:val="single" w:sz="4" w:space="0" w:color="auto"/>
              <w:right w:val="single" w:sz="4" w:space="0" w:color="auto"/>
            </w:tcBorders>
            <w:hideMark/>
          </w:tcPr>
          <w:p w14:paraId="7D1174E4" w14:textId="02676702" w:rsidR="0013515C" w:rsidRPr="00DD24FA" w:rsidRDefault="0013515C"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CD7421" w:rsidRPr="00DD24FA">
              <w:rPr>
                <w:rFonts w:ascii="Times New Roman" w:hAnsi="Times New Roman" w:cs="Times New Roman"/>
                <w:sz w:val="18"/>
                <w:szCs w:val="18"/>
              </w:rPr>
              <w:instrText>ADDIN CSL_CITATION {"citationItems":[{"id":"ITEM-1","itemData":{"DOI":"10.1128/mcb.22.13.4567-4578.2002","ISSN":"0270-7306","PMID":"12052866","abstract":" SOCS-6 is a member of the suppressor of cytokine signaling (SOCS) family of proteins (SOCS-1 to SOCS-7 and CIS) which each contain a central SH2 domain and a carboxyl-terminal SOCS box. SOCS-1, SOCS-2, SOCS-3, and CIS act to negatively regulate cytokine-induced signaling pathways; however, the actions of SOCS-4, SOCS-5, SOCS-6, and SOCS-7 remain less clear. Here we have used both biochemical and genetic approaches to examine the action of SOCS-6. We found that SOCS-6 and SOCS-7 are expressed ubiquitously in murine tissues. Like other SOCS family members, SOCS-6 binds to elongins B and C through its SOCS box, suggesting that it might act as an E3 ubiquitin ligase that targets proteins bound to its SH2 domain for ubiquitination and proteasomal degradation. We investigated the binding specificity of the SOCS-6 and SOCS-7 SH2 domains and found that they preferentially bound to phosphopeptides containing a valine in the phosphotyrosine (pY) +1 position and a hydrophobic residue in the pY +2 and pY +3 positions. In addition, these SH2 domains interacted with a protein complex consisting of insulin receptor substrate 4 (IRS-4), IRS-2, and the p85 regulatory subunit of phosphatidylinositol 3-kinase. To investigate the physiological role of SOCS-6, we generated mice lacking the SOCS-6 gene. SOCS-6 −/− mice were born in a normal Mendelian ratio, were fertile, developed normally, and did not exhibit defects in hematopoiesis or glucose homeostasis. However, both male and female SOCS-6 −/− mice weighed approximately 10% less than wild-type littermates. ","author":[{"dropping-particle":"","family":"Krebs","given":"Danielle L.","non-dropping-particle":"","parse-names":false,"suffix":""},{"dropping-particle":"","family":"Uren","given":"Rachel T.","non-dropping-particle":"","parse-names":false,"suffix":""},{"dropping-particle":"","family":"Metcalf","given":"Donald","non-dropping-particle":"","parse-names":false,"suffix":""},{"dropping-particle":"","family":"Rakar","given":"Steven","non-dropping-particle":"","parse-names":false,"suffix":""},{"dropping-particle":"","family":"Zhang","given":"Jian-Guo","non-dropping-particle":"","parse-names":false,"suffix":""},{"dropping-particle":"","family":"Starr","given":"Robyn","non-dropping-particle":"","parse-names":false,"suffix":""},{"dropping-particle":"","family":"Souza","given":"David P.","non-dropping-particle":"De","parse-names":false,"suffix":""},{"dropping-particle":"","family":"Hanzinikolas","given":"Kathy","non-dropping-particle":"","parse-names":false,"suffix":""},{"dropping-particle":"","family":"Eyles","given":"Jo","non-dropping-particle":"","parse-names":false,"suffix":""},{"dropping-particle":"","family":"Connolly","given":"Lisa M.","non-dropping-particle":"","parse-names":false,"suffix":""},{"dropping-particle":"","family":"Simpson","given":"Richard J.","non-dropping-particle":"","parse-names":false,"suffix":""},{"dropping-particle":"","family":"Nicola","given":"Nicos A.","non-dropping-particle":"","parse-names":false,"suffix":""},{"dropping-particle":"","family":"Nicholson","given":"Sandra E.","non-dropping-particle":"","parse-names":false,"suffix":""},{"dropping-particle":"","family":"Baca","given":"Manuel","non-dropping-particle":"","parse-names":false,"suffix":""},{"dropping-particle":"","family":"Hilton","given":"Douglas J.","non-dropping-particle":"","parse-names":false,"suffix":""},{"dropping-particle":"","family":"Alexander","given":"Warren S.","non-dropping-particle":"","parse-names":false,"suffix":""}],"container-title":"Molecular and Cellular Biology","id":"ITEM-1","issue":"13","issued":{"date-parts":[["2002","7","1"]]},"page":"4567-4578","publisher":"American Society for Microbiology","title":"SOCS-6 Binds to Insulin Receptor Substrate 4, and Mice Lacking the SOCS-6 Gene Exhibit Mild Growth Retardation","type":"article-journal","volume":"22"},"uris":["http://www.mendeley.com/documents/?uuid=124e3927-9c07-3802-b451-a80e7bfb648a"]},{"id":"ITEM-2","itemData":{"DOI":"10.1111/cge.12771","ISSN":"00099163","abstract":"Primary autosomal recessive microcephaly (MCPH) is a developmental disorder characterized by prenatal onset of abnormal brain growth. MCPH occurs both alone and as part of a broad range of neurodevelopmental syndromes with or without cortical malformations and growth retardation. Here we report a consanguineous Moroccan family with two siblings affected by severe primary microcephaly, failure to thrive, congenital dermatitis and severe developmental delay. Brain magnetic resonance imaging showed lissencephaly of frontal lobes and periventricular heterotopia of the gray matter. We performed both Comparative Genomic Hybridization array and whole exome sequencing (WES) analyses of the kindred. No quantitative defects were detected. However, WES identified a new homozygous missense variation in the penultimate nucleotide of exon 23 of RTTN gene (c.2953A&gt;G;pArg985Gly). cDNA sequencing revealed two abnormal spliced products, one lacking only exon 23 and the other lacking exons 22 and 23 (out-of-frame). RTTN is a protein involved in cilia structure and function. Homozygous mutations in RTTN gene have been described in bilateral diffuse isolated polymicrogyria and, more recently, in microcephalic primordial dwarfism (PD). We found a novel homozygous mutation in RTTN associated with microcephalic PD as well as complex brain malformations and congenital dermatitis, thus expanding the phenotypic spectrum of both RTTN-associated diseases and ciliary dysfunction.","author":[{"dropping-particle":"","family":"Grandone","given":"A.","non-dropping-particle":"","parse-names":false,"suffix":""},{"dropping-particle":"","family":"Torella","given":"A.","non-dropping-particle":"","parse-names":false,"suffix":""},{"dropping-particle":"","family":"Santoro","given":"C.","non-dropping-particle":"","parse-names":false,"suffix":""},{"dropping-particle":"","family":"Giugliano","given":"T.","non-dropping-particle":"","parse-names":false,"suffix":""},{"dropping-particle":"","family":"Vecchio Blanco","given":"F.","non-dropping-particle":"del","parse-names":false,"suffix":""},{"dropping-particle":"","family":"Mutarelli","given":"M.","non-dropping-particle":"","parse-names":false,"suffix":""},{"dropping-particle":"","family":"Cirillo","given":"M.","non-dropping-particle":"","parse-names":false,"suffix":""},{"dropping-particle":"","family":"Cirillo","given":"G.","non-dropping-particle":"","parse-names":false,"suffix":""},{"dropping-particle":"","family":"Piluso","given":"G.","non-dropping-particle":"","parse-names":false,"suffix":""},{"dropping-particle":"","family":"Capristo","given":"C.","non-dropping-particle":"","parse-names":false,"suffix":""},{"dropping-particle":"","family":"Festa","given":"A.","non-dropping-particle":"","parse-names":false,"suffix":""},{"dropping-particle":"","family":"Marzuillo","given":"P.","non-dropping-particle":"","parse-names":false,"suffix":""},{"dropping-particle":"","family":"Miraglia del Giudice","given":"E.","non-dropping-particle":"","parse-names":false,"suffix":""},{"dropping-particle":"","family":"Perrone","given":"L.","non-dropping-particle":"","parse-names":false,"suffix":""},{"dropping-particle":"","family":"Nigro","given":"V.","non-dropping-particle":"","parse-names":false,"suffix":""}],"container-title":"Clinical Genetics","id":"ITEM-2","issue":"5","issued":{"date-parts":[["2016","11","1"]]},"page":"445-450","publisher":"Blackwell Publishing Ltd","title":"Expanding the phenotype of &lt;i&gt;RTTN&lt;/i&gt; variations: a new family with primary microcephaly, severe growth failure, brain malformations and dermatitis","type":"article-journal","volume":"90"},"uris":["http://www.mendeley.com/documents/?uuid=d3a8971a-8c15-3fbc-abaf-4c39091dc36e"]},{"id":"ITEM-3","itemData":{"DOI":"10.1186/1471-2164-12-408","author":[{"dropping-particle":"","family":"Cole","given":"John B.","non-dropping-particle":"","parse-names":false,"suffix":""},{"dropping-particle":"","family":"Wiggans","given":"George R.","non-dropping-particle":"","parse-names":false,"suffix":""},{"dropping-particle":"","family":"Ma","given":"Li","non-dropping-particle":"","parse-names":false,"suffix":""},{"dropping-particle":"","family":"Sonstegard","given":"Tad S.","non-dropping-particle":"","parse-names":false,"suffix":""},{"dropping-particle":"","family":"Lawlor","given":"Thomas J.","non-dropping-particle":"","parse-names":false,"suffix":""},{"dropping-particle":"","family":"Crooker","given":"Brian A.","non-dropping-particle":"","parse-names":false,"suffix":""},{"dropping-particle":"","family":"Tassell","given":"Curtis P.","non-dropping-particle":"Van","parse-names":false,"suffix":""},{"dropping-particle":"","family":"Yang","given":"Jing","non-dropping-particle":"","parse-names":false,"suffix":""},{"dropping-particle":"","family":"Wang","given":"Shengwen","non-dropping-particle":"","parse-names":false,"suffix":""},{"dropping-particle":"","family":"Matukumalli","given":"Lakshmi K.","non-dropping-particle":"","parse-names":false,"suffix":""},{"dropping-particle":"","family":"Da","given":"Yang","non-dropping-particle":"","parse-names":false,"suffix":""}],"container-title":"BMC Genomics","id":"ITEM-3","issue":"1","issued":{"date-parts":[["2011","8","11"]]},"page":"408","publisher":"BioMed Central","title":"Genome-wide association analysis of thirty one production, health, reproduction and body conformation traits in contemporary U.S. Holstein cows","type":"article-journal","volume":"12"},"uris":["http://www.mendeley.com/documents/?uuid=b39c2e85-60d5-4133-916f-89443378a092"]},{"id":"ITEM-4","itemData":{"DOI":"10.3390/genes11070767","ISSN":"2073-4425","abstract":"&lt;p&gt;Heifer conception rate (HCR) is defined as the percentage of inseminated heifers that become pregnant at each service. The genome-wide association analyses in this study focused on identifying the loci associated with Holstein heifer (n = 2013) conception rate at first service (HCR1) and the number of times bred (TBRD) to achieve a pregnancy. There were 348 unique loci associated (p &amp;lt; 5 × 10−8) with HCR1 and 615 unique loci associated (p &amp;lt; 5 × 10−8) with TBRD. The two phenotypes shared 302 loci, and 56 loci were validated in independent cattle populations. There were 52 transcription factor binding sites (TFBS) and 552 positional candidate genes identified in the HCR1- and TBRD-associated loci. The positional candidate genes and the TFBS associated with HCR1 and TBRD were used in the ingenuity pathway analysis (IPA). In the IPA, 11 pathways, 207 master regulators and 11 upstream regulators were associated (p &amp;lt; 1.23 × 10−5) with HCR1 and TBRD. The validated loci associated with both HCR1 and TBRD make good candidates for genomic selection and further investigations to elucidate the mechanisms associated with subfertility and infertility.&lt;/p&gt;","author":[{"dropping-particle":"","family":"Galliou","given":"Justine M.","non-dropping-particle":"","parse-names":false,"suffix":""},{"dropping-particle":"","family":"Kiser","given":"Jennifer N.","non-dropping-particle":"","parse-names":false,"suffix":""},{"dropping-particle":"","family":"Oliver","given":"Kayleen F.","non-dropping-particle":"","parse-names":false,"suffix":""},{"dropping-particle":"","family":"Seabury","given":"Christopher M.","non-dropping-particle":"","parse-names":false,"suffix":""},{"dropping-particle":"","family":"Moraes","given":"Joao G. N.","non-dropping-particle":"","parse-names":false,"suffix":""},{"dropping-particle":"","family":"Burns","given":"Gregory W.","non-dropping-particle":"","parse-names":false,"suffix":""},{"dropping-particle":"","family":"Spencer","given":"Thomas E.","non-dropping-particle":"","parse-names":false,"suffix":""},{"dropping-particle":"","family":"Dalton","given":"Joseph","non-dropping-particle":"","parse-names":false,"suffix":""},{"dropping-particle":"","family":"Neibergs","given":"Holly L.","non-dropping-particle":"","parse-names":false,"suffix":""}],"container-title":"Genes","id":"ITEM-4","issue":"7","issued":{"date-parts":[["2020","7","8"]]},"page":"767","publisher":"MDPI AG","title":"Identification of Loci and Pathways Associated with Heifer Conception Rate in U.S. Holsteins","type":"article-journal","volume":"11"},"uris":["http://www.mendeley.com/documents/?uuid=3eab597e-823a-3e79-93bb-dd7d1f36ef1d"]},{"id":"ITEM-5","itemData":{"DOI":"10.3168/jds.2019-16676","ISSN":"15253198","PMID":"31563305","abstract":"In genome-wide association studies (GWAS), sample size is the most important factor affecting statistical power that is under control of the investigator, posing a major challenge in understanding the genetics underlying difficult-to-measure traits. Combining data sets available from different populations for joint or meta-analysis is a promising alternative to increasing sample sizes available for GWAS. Simulation studies indicate statistical advantages from combining raw data or GWAS summaries in enhancing quantitative trait loci (QTL) detection power. However, the complexity of genetics underlying most quantitative traits, which itself is not fully understood, is difficult to fully capture in simulated data sets. In this study, population-specific and combined-population GWAS as well as a meta-analysis of the population-specific GWAS summaries were carried out with the objective of assessing the advantages and challenges of different data-combining strategies in enhancing detection power of GWAS using milk fatty acid (FA) traits as examples. Gas chromatography (GC) quantified milk FA samples and high-density (HD) genotypes were available from 1,566 Dutch, 614 Danish, and 700 Chinese Holstein Friesian cows. Using the joint GWAS, 28 additional genomic regions were detected, with significant associations to at least 1 FA, compared with the population-specific analyses. Some of these additional regions were also detected using the implemented meta-analysis. Furthermore, using the frequently reported variants of the diacylglycerol acyltransferase 1 (DGAT1) and stearoyl-CoA desaturase (SCD1) genes, we show that significant associations were established with more FA traits in the joint GWAS than the remaining scenarios. However, there were few regions detected in the population-specific analyses that were not detected using the joint GWAS or the meta-analyses. Our results show that combining multi-population data set can be a powerful tool to enhance detection power in GWAS for seldom-recorded traits. Detection of a higher number of regions using the meta-analysis, compared with any of the population-specific analyses also emphasizes the utility of these methods in the absence of raw multi-population data sets to undertake joint GWAS.","author":[{"dropping-particle":"","family":"Gebreyesus","given":"G.","non-dropping-particle":"","parse-names":false,"suffix":""},{"dropping-particle":"","family":"Buitenhuis","given":"A. J.","non-dropping-particle":"","parse-names":false,"suffix":""},{"dropping-particle":"","family":"Poulsen","given":"N. A.","non-dropping-particle":"","parse-names":false,"suffix":""},{"dropping-particle":"","family":"Visker","given":"M. H.P.W.","non-dropping-particle":"","parse-names":false,"suffix":""},{"dropping-particle":"","family":"Zhang","given":"Q.","non-dropping-particle":"","parse-names":false,"suffix":""},{"dropping-particle":"","family":"Valenberg","given":"H. J.F.","non-dropping-particle":"van","parse-names":false,"suffix":""},{"dropping-particle":"","family":"Sun","given":"D.","non-dropping-particle":"","parse-names":false,"suffix":""},{"dropping-particle":"","family":"Bovenhuis","given":"H.","non-dropping-particle":"","parse-names":false,"suffix":""}],"container-title":"Journal of Dairy Science","id":"ITEM-5","issue":"12","issued":{"date-parts":[["2019","12","1"]]},"page":"11124-11141","publisher":"Elsevier Inc.","title":"Combining multi-population datasets for joint genome-wide association and meta-analyses: The case of bovine milk fat composition traits","type":"article-journal","volume":"102"},"uris":["http://www.mendeley.com/documents/?uuid=a52c39b3-07ae-3094-a4b5-cac9ddfe6774"]}],"mendeley":{"formattedCitation":"[14, 43, 66, 71, 72]","plainTextFormattedCitation":"[14, 43, 66, 71, 72]","previouslyFormattedCitation":"[14, 43, 66, 71, 72]"},"properties":{"noteIndex":0},"schema":"https://github.com/citation-style-language/schema/raw/master/csl-citation.json"}</w:instrText>
            </w:r>
            <w:r w:rsidRPr="00DD24FA">
              <w:rPr>
                <w:rFonts w:ascii="Times New Roman" w:hAnsi="Times New Roman" w:cs="Times New Roman"/>
                <w:sz w:val="18"/>
                <w:szCs w:val="18"/>
              </w:rPr>
              <w:fldChar w:fldCharType="separate"/>
            </w:r>
            <w:r w:rsidR="00CD7421" w:rsidRPr="00DD24FA">
              <w:rPr>
                <w:rFonts w:ascii="Times New Roman" w:hAnsi="Times New Roman" w:cs="Times New Roman"/>
                <w:noProof/>
                <w:sz w:val="18"/>
                <w:szCs w:val="18"/>
              </w:rPr>
              <w:t>[14, 43, 66, 71, 72]</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Mouse, human, cattle; Cell growth suppressor, embryonic development, response to insulin stimulation implicated in regulation of food intake and body weight, neuronal differentiation, brain development, severe growth failure, milk protein percentage and fatty acids, conception rate</w:t>
            </w:r>
          </w:p>
        </w:tc>
      </w:tr>
      <w:tr w:rsidR="00DD24FA" w14:paraId="7C4930DE"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46359D8D" w14:textId="10EEAFD1" w:rsidR="0013515C" w:rsidRPr="00DD24FA" w:rsidRDefault="0013515C"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23_38</w:t>
            </w:r>
            <w:r w:rsidR="001C4707" w:rsidRPr="00DD24FA">
              <w:rPr>
                <w:rFonts w:ascii="Times New Roman" w:hAnsi="Times New Roman" w:cs="Times New Roman"/>
                <w:i/>
                <w:sz w:val="18"/>
                <w:szCs w:val="18"/>
                <w:vertAlign w:val="superscript"/>
              </w:rPr>
              <w:t>c</w:t>
            </w:r>
          </w:p>
        </w:tc>
        <w:tc>
          <w:tcPr>
            <w:tcW w:w="369" w:type="pct"/>
            <w:tcBorders>
              <w:top w:val="single" w:sz="4" w:space="0" w:color="auto"/>
              <w:left w:val="single" w:sz="4" w:space="0" w:color="auto"/>
              <w:bottom w:val="single" w:sz="4" w:space="0" w:color="auto"/>
              <w:right w:val="single" w:sz="4" w:space="0" w:color="auto"/>
            </w:tcBorders>
            <w:hideMark/>
          </w:tcPr>
          <w:p w14:paraId="11E9FF0B"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5.672</w:t>
            </w:r>
          </w:p>
        </w:tc>
        <w:tc>
          <w:tcPr>
            <w:tcW w:w="554" w:type="pct"/>
            <w:tcBorders>
              <w:top w:val="single" w:sz="4" w:space="0" w:color="auto"/>
              <w:left w:val="single" w:sz="4" w:space="0" w:color="auto"/>
              <w:bottom w:val="single" w:sz="4" w:space="0" w:color="auto"/>
              <w:right w:val="single" w:sz="4" w:space="0" w:color="auto"/>
            </w:tcBorders>
            <w:hideMark/>
          </w:tcPr>
          <w:p w14:paraId="58EA1426"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-10.683</w:t>
            </w:r>
          </w:p>
        </w:tc>
        <w:tc>
          <w:tcPr>
            <w:tcW w:w="328" w:type="pct"/>
            <w:tcBorders>
              <w:top w:val="single" w:sz="4" w:space="0" w:color="auto"/>
              <w:left w:val="single" w:sz="4" w:space="0" w:color="auto"/>
              <w:bottom w:val="single" w:sz="4" w:space="0" w:color="auto"/>
              <w:right w:val="single" w:sz="4" w:space="0" w:color="auto"/>
            </w:tcBorders>
            <w:hideMark/>
          </w:tcPr>
          <w:p w14:paraId="2713D6C4"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0.348</w:t>
            </w:r>
          </w:p>
        </w:tc>
        <w:tc>
          <w:tcPr>
            <w:tcW w:w="570" w:type="pct"/>
            <w:tcBorders>
              <w:top w:val="single" w:sz="4" w:space="0" w:color="auto"/>
              <w:left w:val="single" w:sz="4" w:space="0" w:color="auto"/>
              <w:bottom w:val="single" w:sz="4" w:space="0" w:color="auto"/>
              <w:right w:val="single" w:sz="4" w:space="0" w:color="auto"/>
            </w:tcBorders>
            <w:hideMark/>
          </w:tcPr>
          <w:p w14:paraId="3F22D254"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w:t>
            </w:r>
          </w:p>
        </w:tc>
        <w:tc>
          <w:tcPr>
            <w:tcW w:w="795" w:type="pct"/>
            <w:tcBorders>
              <w:top w:val="single" w:sz="4" w:space="0" w:color="auto"/>
              <w:left w:val="single" w:sz="4" w:space="0" w:color="auto"/>
              <w:bottom w:val="single" w:sz="4" w:space="0" w:color="auto"/>
              <w:right w:val="single" w:sz="4" w:space="0" w:color="auto"/>
            </w:tcBorders>
            <w:hideMark/>
          </w:tcPr>
          <w:p w14:paraId="35EBB20A" w14:textId="77777777" w:rsidR="0013515C" w:rsidRPr="00DD24FA" w:rsidRDefault="0013515C" w:rsidP="00267B98">
            <w:pPr>
              <w:spacing w:after="0" w:line="240" w:lineRule="auto"/>
              <w:contextualSpacing/>
              <w:jc w:val="center"/>
              <w:rPr>
                <w:rFonts w:ascii="Times New Roman" w:hAnsi="Times New Roman" w:cs="Times New Roman"/>
                <w:i/>
                <w:iCs/>
                <w:color w:val="000000"/>
                <w:sz w:val="18"/>
                <w:szCs w:val="18"/>
              </w:rPr>
            </w:pPr>
            <w:r w:rsidRPr="00DD24FA">
              <w:rPr>
                <w:rFonts w:ascii="Times New Roman" w:hAnsi="Times New Roman" w:cs="Times New Roman"/>
                <w:i/>
                <w:iCs/>
                <w:color w:val="000000"/>
                <w:sz w:val="18"/>
                <w:szCs w:val="18"/>
              </w:rPr>
              <w:t>MBOAT1</w:t>
            </w:r>
          </w:p>
        </w:tc>
        <w:tc>
          <w:tcPr>
            <w:tcW w:w="472" w:type="pct"/>
            <w:tcBorders>
              <w:top w:val="single" w:sz="4" w:space="0" w:color="auto"/>
              <w:left w:val="single" w:sz="4" w:space="0" w:color="auto"/>
              <w:bottom w:val="single" w:sz="4" w:space="0" w:color="auto"/>
              <w:right w:val="single" w:sz="4" w:space="0" w:color="auto"/>
            </w:tcBorders>
            <w:hideMark/>
          </w:tcPr>
          <w:p w14:paraId="2E19F516"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Intron</w:t>
            </w:r>
          </w:p>
        </w:tc>
        <w:tc>
          <w:tcPr>
            <w:tcW w:w="1416" w:type="pct"/>
            <w:tcBorders>
              <w:top w:val="single" w:sz="4" w:space="0" w:color="auto"/>
              <w:left w:val="single" w:sz="4" w:space="0" w:color="auto"/>
              <w:bottom w:val="single" w:sz="4" w:space="0" w:color="auto"/>
              <w:right w:val="single" w:sz="4" w:space="0" w:color="auto"/>
            </w:tcBorders>
            <w:hideMark/>
          </w:tcPr>
          <w:p w14:paraId="34DC2376" w14:textId="2435A073" w:rsidR="0013515C" w:rsidRPr="00DD24FA" w:rsidRDefault="0013515C"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CD7421" w:rsidRPr="00DD24FA">
              <w:rPr>
                <w:rFonts w:ascii="Times New Roman" w:hAnsi="Times New Roman" w:cs="Times New Roman"/>
                <w:sz w:val="18"/>
                <w:szCs w:val="18"/>
              </w:rPr>
              <w:instrText>ADDIN CSL_CITATION {"citationItems":[{"id":"ITEM-1","itemData":{"DOI":"10.1096/fj.201500097R","abstract":"Glycerophospholipids, which are components of biomembranes, are formed de novo by the Kennedy pathway and subsequently mature through the Lands cycle. Lysophospholipid acyltransferases (LPLATs) are key enzymes in both pathways and influence the fatty acid composition of biomembranes. Neuronal differentiation is characterized by neurite outgrowth, which requires biomembrane biosynthesis. However, the role of LPLATs in neuronal differentiation remains unknown. In this study, we examined whether LPLATs are involved in neuronal differentiation using all-trans-retinoic acid (ATRA)-treated P19C6 cells. In these cells, mRNA levels of lysophos-phatidylethanolamine acyltransferase (LPEAT)-1/membrane-bound O-acyltransferase (MBOAT)-1 were higher than those in undifferentiated cells. LPEAT enzymatic activity increased with 16:0-and 18:1-CoA as acyl donors. When LPEAT1/MBOAT1 was knocked down with small interfering RNA (siRNA), outgrowth of neurites and expression of neuronal markers decreased in ATRA-treated P19C6 cells. Voltage-dependent calcium channel activity was also suppressed in these cells transfected with LPEAT1/MBOAT1 siRNA. These results suggest that LPEAT1/MBOAT1 plays an important role in neurite outgrowth and function.-Tabe, S.","author":[{"dropping-particle":"","family":"Tabe","given":"Shirou","non-dropping-particle":"","parse-names":false,"suffix":""},{"dropping-particle":"","family":"Hikiji","given":"Hisako","non-dropping-particle":"","parse-names":false,"suffix":""},{"dropping-particle":"","family":"Ariyoshi","given":"Wataru","non-dropping-particle":"","parse-names":false,"suffix":""},{"dropping-particle":"","family":"Hashidate-Yoshida","given":"Tomomi","non-dropping-particle":"","parse-names":false,"suffix":""},{"dropping-particle":"","family":"Shindou","given":"Hideo","non-dropping-particle":"","parse-names":false,"suffix":""},{"dropping-particle":"","family":"Okinaga","given":"Toshinori","non-dropping-particle":"","parse-names":false,"suffix":""},{"dropping-particle":"","family":"Shimizu","given":"Takao","non-dropping-particle":"","parse-names":false,"suffix":""},{"dropping-particle":"","family":"Tominaga","given":"Kazuhiro","non-dropping-particle":"","parse-names":false,"suffix":""},{"dropping-particle":"","family":"Nishihara","given":"Tatsuji","non-dropping-particle":"","parse-names":false,"suffix":""}],"container-title":"FASEB Journal","id":"ITEM-1","issued":{"date-parts":[["2016"]]},"page":"2591-2601","title":"Lysophosphatidylethanolamine acyltransferase 1/membrane-bound O-acyltransferase 1 regulates morphology and function of P19C6 cell-derived neurons","type":"article-journal","volume":"30"},"uris":["http://www.mendeley.com/documents/?uuid=37227fd7-ee68-3eb2-977b-e4c9ba1efd73"]},{"id":"ITEM-2","itemData":{"DOI":"10.1073/pnas.0712245105","ISSN":"00278424","PMID":"18287005","abstract":"All organisms consist of cells that are enclosed by a cell membrane containing bipolar lipids and proteins. Glycerophospholipids are important not only as structural and functional components of cellular membrane but also as precursors of various lipid mediators. Polyunsaturated fatty acids comprising arachidonic acid or eicosapentaenoic acid are located at sn-2 position, but not at sn-1 position of glycerophospholipids in an asymmetrical manner. In addition to the asymmetry, the membrane diversity is important for membrane fluidity and curvature. To explain the asymmetrical distribution of fatty acids, the rapid turnover of sn-2 position was proposed in 1958 by Lands [Lands WE (1958) Metabolism of glycerolipides: A comparison of lecithin and triglyceride synthesis. J Biol Chem 231:883-888]. However, the molecular mechanisms and biological significance of the asymmetry remained unknown. Here,wedescribe a putative enzyme superfamily consisting mainly of three gene families, which catalyzes the transfer of acyl-CoAs to lysophospholipids to produce different classes of phospholipids. Among them, we characterized three important enzymes with different substrate specificities and tissue distributions; one, termed lysophosphatidylcholine acyltransferase-3 (a mammalian homologue of Drosophila nessy critical for embryogenesis), prefers arachidonoyl-CoA, and the other two enzymes incorporate oleoyl-CoAs to lysophosphatidylethanolamine and lysophosphatidylserine. Thus, we propose that the membrane diversity is produced by the concerted and overlapped reactions with multiple enzymes that recognize both the polar head group of glycerophospholipids and various acyl-CoAs. Our findings constitute a critical milestone for our understanding about how membrane diversity and asymmetry are established and their biological significance. glycerophospholipids Lands' cycle membrane remodeling phospholipase A2 acyl-CoA. © 2008 by The National Academy of Sciences of the USA.","author":[{"dropping-particle":"","family":"Hishikawa","given":"Daisuke","non-dropping-particle":"","parse-names":false,"suffix":""},{"dropping-particle":"","family":"Shindou","given":"Hideo","non-dropping-particle":"","parse-names":false,"suffix":""},{"dropping-particle":"","family":"Kobayashi","given":"Saori","non-dropping-particle":"","parse-names":false,"suffix":""},{"dropping-particle":"","family":"Nakanishi","given":"Hiroki","non-dropping-particle":"","parse-names":false,"suffix":""},{"dropping-particle":"","family":"Taguchi","given":"Ryo","non-dropping-particle":"","parse-names":false,"suffix":""},{"dropping-particle":"","family":"Shimizu","given":"Takao","non-dropping-particle":"","parse-names":false,"suffix":""}],"container-title":"Proceedings of the National Academy of Sciences of the United States of America","id":"ITEM-2","issue":"8","issued":{"date-parts":[["2008","2","26"]]},"page":"2830-2835","publisher":"National Academy of Sciences","title":"Discovery of a lysophospholipid acyltransferase family essential for membrane asymmetry and diversity","type":"article-journal","volume":"105"},"uris":["http://www.mendeley.com/documents/?uuid=a28c4429-b635-32c4-99fa-3ec85b692090"]},{"id":"ITEM-3","itemData":{"DOI":"10.2527/jas.2012-5716","ISSN":"0021-8812","abstract":"A genome-wide association study using the Illumina 50K BeadChip included 38,745 SNP on 29 BTA analyzed on 751 animals, including 33 purebreds and 718 crossbred cattle. Genotypes and 6 production traits: birth weight (BWT), weaning weight (WWT), ADG, DMI, midtest metabolic BW (MMWT), and residual feed intake (RFI), were used to estimate effects of individual SNP on the traits. At the genome-wide level false discovery rate (FDR &lt; 10%), 41 and 5 SNP were found significantly associated with BWT and WWT, respectively. Thirty-three of them were located on BTA6. At a less stringent significance level (P &lt; 0.001), 277 and 27 SNP were in association with single traits and multiple traits, respectively. Seventy-three SNP on BTA6 and were mostly associated with BW-related traits, and heavily located around 30 to 50Mb. Markers that significantly affected multiple traits appeared to impact them in same direction. In terms of the size of SNP effect, the significant SNP (P &lt; 0.001) explained between 0.26 and 8.06% of the phenotypic variation in the traits. Pairs of traits with low genetic correlation, such as ADG vs. RFI or DMI vs. BWT, appeared to be controlled by 2 groups of SNP; 1 of them affected the traits in same direction, the other worked in opposite direction. This study provides useful information to further assist the identification of chromosome regions and subsequently genes affecting growth and feed efficiency traits in beef cattle. © 2013 American Society of Animal Science. All rights reserved.","author":[{"dropping-particle":"","family":"Lu","given":"D.","non-dropping-particle":"","parse-names":false,"suffix":""},{"dropping-particle":"","family":"Miller","given":"S.","non-dropping-particle":"","parse-names":false,"suffix":""},{"dropping-particle":"","family":"Sargolzaei","given":"M.","non-dropping-particle":"","parse-names":false,"suffix":""},{"dropping-particle":"","family":"Kelly","given":"M.","non-dropping-particle":"","parse-names":false,"suffix":""},{"dropping-particle":"","family":"Voort","given":"G.","non-dropping-particle":"Vander","parse-names":false,"suffix":""},{"dropping-particle":"","family":"Caldwell","given":"T.","non-dropping-particle":"","parse-names":false,"suffix":""},{"dropping-particle":"","family":"Wang","given":"Z.","non-dropping-particle":"","parse-names":false,"suffix":""},{"dropping-particle":"","family":"Plastow","given":"G.","non-dropping-particle":"","parse-names":false,"suffix":""},{"dropping-particle":"","family":"Moore","given":"S.","non-dropping-particle":"","parse-names":false,"suffix":""}],"container-title":"Journal of Animal Science","id":"ITEM-3","issue":"8","issued":{"date-parts":[["2013","8","1"]]},"page":"3612-3633","publisher":"Oxford Academic","title":"Genome-wide association analyses for growth and feed efficiency traits in beef cattle","type":"article-journal","volume":"91"},"uris":["http://www.mendeley.com/documents/?uuid=772ba886-36b3-322a-94cb-4819a8c84066"]}],"mendeley":{"formattedCitation":"[54, 73, 74]","plainTextFormattedCitation":"[54, 73, 74]","previouslyFormattedCitation":"[54, 73, 74]"},"properties":{"noteIndex":0},"schema":"https://github.com/citation-style-language/schema/raw/master/csl-citation.json"}</w:instrText>
            </w:r>
            <w:r w:rsidRPr="00DD24FA">
              <w:rPr>
                <w:rFonts w:ascii="Times New Roman" w:hAnsi="Times New Roman" w:cs="Times New Roman"/>
                <w:sz w:val="18"/>
                <w:szCs w:val="18"/>
              </w:rPr>
              <w:fldChar w:fldCharType="separate"/>
            </w:r>
            <w:r w:rsidR="00CD7421" w:rsidRPr="00DD24FA">
              <w:rPr>
                <w:rFonts w:ascii="Times New Roman" w:hAnsi="Times New Roman" w:cs="Times New Roman"/>
                <w:noProof/>
                <w:sz w:val="18"/>
                <w:szCs w:val="18"/>
              </w:rPr>
              <w:t>[54, 73, 74]</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Mouse, cattle; Neurite outgrowth and function, cell membrane biogenesis, mid-test metabolic weight test association</w:t>
            </w:r>
          </w:p>
        </w:tc>
      </w:tr>
      <w:tr w:rsidR="00DD24FA" w14:paraId="77E07929"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1EE4AE09" w14:textId="150B2942" w:rsidR="0013515C" w:rsidRPr="00DD24FA" w:rsidRDefault="0013515C"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11_30</w:t>
            </w:r>
            <w:r w:rsidR="001C4707" w:rsidRPr="00DD24FA">
              <w:rPr>
                <w:rFonts w:ascii="Times New Roman" w:hAnsi="Times New Roman" w:cs="Times New Roman"/>
                <w:i/>
                <w:sz w:val="18"/>
                <w:szCs w:val="18"/>
                <w:vertAlign w:val="superscript"/>
              </w:rPr>
              <w:t>c</w:t>
            </w:r>
          </w:p>
        </w:tc>
        <w:tc>
          <w:tcPr>
            <w:tcW w:w="369" w:type="pct"/>
            <w:tcBorders>
              <w:top w:val="single" w:sz="4" w:space="0" w:color="auto"/>
              <w:left w:val="single" w:sz="4" w:space="0" w:color="auto"/>
              <w:bottom w:val="single" w:sz="4" w:space="0" w:color="auto"/>
              <w:right w:val="single" w:sz="4" w:space="0" w:color="auto"/>
            </w:tcBorders>
            <w:hideMark/>
          </w:tcPr>
          <w:p w14:paraId="45F54CA3"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5.648</w:t>
            </w:r>
          </w:p>
        </w:tc>
        <w:tc>
          <w:tcPr>
            <w:tcW w:w="554" w:type="pct"/>
            <w:tcBorders>
              <w:top w:val="single" w:sz="4" w:space="0" w:color="auto"/>
              <w:left w:val="single" w:sz="4" w:space="0" w:color="auto"/>
              <w:bottom w:val="single" w:sz="4" w:space="0" w:color="auto"/>
              <w:right w:val="single" w:sz="4" w:space="0" w:color="auto"/>
            </w:tcBorders>
            <w:hideMark/>
          </w:tcPr>
          <w:p w14:paraId="6E89D9FC"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-9.976</w:t>
            </w:r>
          </w:p>
        </w:tc>
        <w:tc>
          <w:tcPr>
            <w:tcW w:w="328" w:type="pct"/>
            <w:tcBorders>
              <w:top w:val="single" w:sz="4" w:space="0" w:color="auto"/>
              <w:left w:val="single" w:sz="4" w:space="0" w:color="auto"/>
              <w:bottom w:val="single" w:sz="4" w:space="0" w:color="auto"/>
              <w:right w:val="single" w:sz="4" w:space="0" w:color="auto"/>
            </w:tcBorders>
            <w:hideMark/>
          </w:tcPr>
          <w:p w14:paraId="397C9168"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0.474</w:t>
            </w:r>
          </w:p>
        </w:tc>
        <w:tc>
          <w:tcPr>
            <w:tcW w:w="570" w:type="pct"/>
            <w:tcBorders>
              <w:top w:val="single" w:sz="4" w:space="0" w:color="auto"/>
              <w:left w:val="single" w:sz="4" w:space="0" w:color="auto"/>
              <w:bottom w:val="single" w:sz="4" w:space="0" w:color="auto"/>
              <w:right w:val="single" w:sz="4" w:space="0" w:color="auto"/>
            </w:tcBorders>
            <w:hideMark/>
          </w:tcPr>
          <w:p w14:paraId="7AE31C2B"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w:t>
            </w:r>
          </w:p>
        </w:tc>
        <w:tc>
          <w:tcPr>
            <w:tcW w:w="795" w:type="pct"/>
            <w:tcBorders>
              <w:top w:val="single" w:sz="4" w:space="0" w:color="auto"/>
              <w:left w:val="single" w:sz="4" w:space="0" w:color="auto"/>
              <w:bottom w:val="single" w:sz="4" w:space="0" w:color="auto"/>
              <w:right w:val="single" w:sz="4" w:space="0" w:color="auto"/>
            </w:tcBorders>
            <w:hideMark/>
          </w:tcPr>
          <w:p w14:paraId="75BC9235" w14:textId="77777777" w:rsidR="0013515C" w:rsidRPr="00DD24FA" w:rsidRDefault="0013515C" w:rsidP="00267B98">
            <w:pPr>
              <w:spacing w:after="0" w:line="240" w:lineRule="auto"/>
              <w:contextualSpacing/>
              <w:jc w:val="center"/>
              <w:rPr>
                <w:rFonts w:ascii="Times New Roman" w:hAnsi="Times New Roman" w:cs="Times New Roman"/>
                <w:i/>
                <w:iCs/>
                <w:color w:val="000000"/>
                <w:sz w:val="18"/>
                <w:szCs w:val="18"/>
              </w:rPr>
            </w:pPr>
            <w:r w:rsidRPr="00DD24FA">
              <w:rPr>
                <w:rFonts w:ascii="Times New Roman" w:hAnsi="Times New Roman" w:cs="Times New Roman"/>
                <w:i/>
                <w:iCs/>
                <w:color w:val="000000"/>
                <w:sz w:val="18"/>
                <w:szCs w:val="18"/>
              </w:rPr>
              <w:t>LOC112448871, TRNAC-GCA</w:t>
            </w:r>
          </w:p>
        </w:tc>
        <w:tc>
          <w:tcPr>
            <w:tcW w:w="472" w:type="pct"/>
            <w:tcBorders>
              <w:top w:val="single" w:sz="4" w:space="0" w:color="auto"/>
              <w:left w:val="single" w:sz="4" w:space="0" w:color="auto"/>
              <w:bottom w:val="single" w:sz="4" w:space="0" w:color="auto"/>
              <w:right w:val="single" w:sz="4" w:space="0" w:color="auto"/>
            </w:tcBorders>
            <w:hideMark/>
          </w:tcPr>
          <w:p w14:paraId="5E41ED5E"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Intergenic</w:t>
            </w:r>
          </w:p>
        </w:tc>
        <w:tc>
          <w:tcPr>
            <w:tcW w:w="1416" w:type="pct"/>
            <w:tcBorders>
              <w:top w:val="single" w:sz="4" w:space="0" w:color="auto"/>
              <w:left w:val="single" w:sz="4" w:space="0" w:color="auto"/>
              <w:bottom w:val="single" w:sz="4" w:space="0" w:color="auto"/>
              <w:right w:val="single" w:sz="4" w:space="0" w:color="auto"/>
            </w:tcBorders>
            <w:hideMark/>
          </w:tcPr>
          <w:p w14:paraId="223C2191" w14:textId="28833F8C" w:rsidR="0013515C" w:rsidRPr="00DD24FA" w:rsidRDefault="0013515C"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3E225D" w:rsidRPr="00DD24FA">
              <w:rPr>
                <w:rFonts w:ascii="Times New Roman" w:hAnsi="Times New Roman" w:cs="Times New Roman"/>
                <w:sz w:val="18"/>
                <w:szCs w:val="18"/>
              </w:rPr>
              <w:instrText>ADDIN CSL_CITATION {"citationItems":[{"id":"ITEM-1","itemData":{"DOI":"10.3390/genes11070767","ISSN":"2073-4425","abstract":"&lt;p&gt;Heifer conception rate (HCR) is defined as the percentage of inseminated heifers that become pregnant at each service. The genome-wide association analyses in this study focused on identifying the loci associated with Holstein heifer (n = 2013) conception rate at first service (HCR1) and the number of times bred (TBRD) to achieve a pregnancy. There were 348 unique loci associated (p &amp;lt; 5 × 10−8) with HCR1 and 615 unique loci associated (p &amp;lt; 5 × 10−8) with TBRD. The two phenotypes shared 302 loci, and 56 loci were validated in independent cattle populations. There were 52 transcription factor binding sites (TFBS) and 552 positional candidate genes identified in the HCR1- and TBRD-associated loci. The positional candidate genes and the TFBS associated with HCR1 and TBRD were used in the ingenuity pathway analysis (IPA). In the IPA, 11 pathways, 207 master regulators and 11 upstream regulators were associated (p &amp;lt; 1.23 × 10−5) with HCR1 and TBRD. The validated loci associated with both HCR1 and TBRD make good candidates for genomic selection and further investigations to elucidate the mechanisms associated with subfertility and infertility.&lt;/p&gt;","author":[{"dropping-particle":"","family":"Galliou","given":"Justine M.","non-dropping-particle":"","parse-names":false,"suffix":""},{"dropping-particle":"","family":"Kiser","given":"Jennifer N.","non-dropping-particle":"","parse-names":false,"suffix":""},{"dropping-particle":"","family":"Oliver","given":"Kayleen F.","non-dropping-particle":"","parse-names":false,"suffix":""},{"dropping-particle":"","family":"Seabury","given":"Christopher M.","non-dropping-particle":"","parse-names":false,"suffix":""},{"dropping-particle":"","family":"Moraes","given":"Joao G. N.","non-dropping-particle":"","parse-names":false,"suffix":""},{"dropping-particle":"","family":"Burns","given":"Gregory W.","non-dropping-particle":"","parse-names":false,"suffix":""},{"dropping-particle":"","family":"Spencer","given":"Thomas E.","non-dropping-particle":"","parse-names":false,"suffix":""},{"dropping-particle":"","family":"Dalton","given":"Joseph","non-dropping-particle":"","parse-names":false,"suffix":""},{"dropping-particle":"","family":"Neibergs","given":"Holly L.","non-dropping-particle":"","parse-names":false,"suffix":""}],"container-title":"Genes","id":"ITEM-1","issue":"7","issued":{"date-parts":[["2020","7","8"]]},"page":"767","publisher":"MDPI AG","title":"Identification of Loci and Pathways Associated with Heifer Conception Rate in U.S. Holsteins","type":"article-journal","volume":"11"},"uris":["http://www.mendeley.com/documents/?uuid=3eab597e-823a-3e79-93bb-dd7d1f36ef1d"]},{"id":"ITEM-2","itemData":{"DOI":"10.3389/fgene.2018.00522","ISSN":"1664-8021","abstract":"A within-breed genome-wide association study (GWAS) is useful when identifying the QTL that segregates in a breed. However, an across-breed meta-analysis can be used to increase the power of identification and precise localization of QTL that segregate in multiple breeds. Precise localization will allow including QTL information from other breeds in genomic prediction due to the persistence of the linkage phase between the causal variant and the marker. This study aimed to identify and confirm QTL detected in within-breed GWAS through a meta-analysis in three French dairy cattle breeds. A set of sequence variants selected based on their functional annotations were imputed into 50 k genotypes for 46,732 Holstein, 20,096 Montbeliarde, and 11,944 Normande cows to identify QTL for milk production, the success rate at insemination of cows (fertility) and stature. We conducted within-breed GWAS followed by across-breed meta-analysis using a weighted Z-scores model on the GWAS summary data (i.e., P-values, effect direction, and sample size). After Bonferroni correction, the GWAS result identified 21,956 significantly associated SNP (PFWER &lt; 0.05), while meta-analysis result identified 9,604 significant SNP (PFWER &lt; 0.05) associated with the phenotypes. The meta-analysis identified 36 QTL for milk yield, 48 QTL for fat yield and percentage, 29 QTL for protein yield and percentage, 13 QTL for fertility, and 16 QTL for stature. Some of these QTL were not significant in the within-breed GWAS. Some previously identified causal variants were confirmed, e.g., BTA14:1802265 (fat percentage, P = 1.5 × 10−760; protein percentage, P = 7.61 × 10−348) both mapping the DGAT1-K232A mutation and BTA14:25006125 (P = 8.58 × 10−140) mapping PLAG1 gene was confirmed for stature in Montbeliarde. New QTL lead SNP shared between breeds included the intronic variant rs109205829 (NFIB gene), and the intergenic variant rs41592357 (1.38 Mb upstream of the CNTN6 gene and 0.65 Mb downstream of the CNTN4 gene). Rs110425867 (ZFAT gene) was the top variant associated with fertility, and new QTL lead SNP included rs109483390 (0.1 Mb upstream of the TNFAIP3 gene and 0.07 Mb downstream of PERP gene), and rs42412333 (0.45 Mb downstream of the RPL10L gene). An across-breed meta-analysis had greater power to detect QTL as opposed to a within breed GWAS. The QTL detected here can be incorporated in routine genomic predictions.","author":[{"dropping-particle":"","family":"Marete","given":"Andrew G.","non-dropping-particle":"","parse-names":false,"suffix":""},{"dropping-particle":"","family":"Guldbrandtsen","given":"Bernt","non-dropping-particle":"","parse-names":false,"suffix":""},{"dropping-particle":"","family":"Lund","given":"Mogens S.","non-dropping-particle":"","parse-names":false,"suffix":""},{"dropping-particle":"","family":"Fritz","given":"Sébastien","non-dropping-particle":"","parse-names":false,"suffix":""},{"dropping-particle":"","family":"Sahana","given":"Goutam","non-dropping-particle":"","parse-names":false,"suffix":""},{"dropping-particle":"","family":"Boichard","given":"Didier","non-dropping-particle":"","parse-names":false,"suffix":""}],"container-title":"Frontiers in Genetics","id":"ITEM-2","issued":{"date-parts":[["2018","11","6"]]},"page":"522","publisher":"Frontiers Media S.A.","title":"A Meta-Analysis Including Pre-selected Sequence Variants Associated With Seven Traits in Three French Dairy Cattle Populations","type":"article-journal","volume":"9"},"uris":["http://www.mendeley.com/documents/?uuid=e4797c9a-2c84-35de-b871-ed2b276d7bab"]},{"id":"ITEM-3","itemData":{"DOI":"10.1186/1471-2156-13-21","ISSN":"14712156","PMID":"22449276","abstract":"Background: Contemporary dairy breeding goals have broadened to include, along with milk production traits, a number of non-production-related traits in an effort to improve the overall functionality of the dairy cow. Increased indirect selection for resistance to mastitis, one of the most important production-related diseases in the dairy sector, via selection for reduced somatic cell count has been part of these broadened goals. A number of genome-wide association studies have identified genetic variants associated with milk production traits and mastitis resistance, however the majority of these studies have been based on animals which were predominantly kept in confinement and fed a concentrate-based diet (i.e. high-input production systems). This genome-wide association study aims to detect associations using genotypic and phenotypic data from Irish Holstein-Friesian cattle fed predominantly grazed grass in a pasture-based production system (low-input).Results: Significant associations were detected for milk yield, fat yield, protein yield, fat percentage, protein percentage and somatic cell score using separate single-locus, frequentist and multi-locus, Bayesian approaches. These associations were detected using two separate populations of Holstein-Friesian sires and cows. In total, 1,529 and 37 associations were detected in the sires using a single SNP regression and a Bayesian method, respectively. There were 103 associations in common between the sires and cows across all the traits. As well as detecting associations within known QTL regions, a number of novel associations were detected; the most notable of these was a region of chromosome 13 associated with milk yield in the population of Holstein-Friesian sires.Conclusions: A total of 276 of novel SNPs were detected in the sires using a single SNP regression approach. Although obvious candidate genes may not be initially forthcoming, this study provides a preliminary framework upon which to identify the causal mechanisms underlying the various milk production traits and somatic cell score. Consequently this will deepen our understanding of how these traits are expressed. © 2012 Meredith et al; licensee BioMed Central Ltd.","author":[{"dropping-particle":"","family":"Meredith","given":"Brian K.","non-dropping-particle":"","parse-names":false,"suffix":""},{"dropping-particle":"","family":"Kearney","given":"Francis J.","non-dropping-particle":"","parse-names":false,"suffix":""},{"dropping-particle":"","family":"Finlay","given":"Emma K.","non-dropping-particle":"","parse-names":false,"suffix":""},{"dropping-particle":"","family":"Bradley","given":"Daniel G.","non-dropping-particle":"","parse-names":false,"suffix":""},{"dropping-particle":"","family":"Fahey","given":"Alan G.","non-dropping-particle":"","parse-names":false,"suffix":""},{"dropping-particle":"","family":"Berry","given":"Donagh P.","non-dropping-particle":"","parse-names":false,"suffix":""},{"dropping-particle":"","family":"Lynn","given":"David J.","non-dropping-particle":"","parse-names":false,"suffix":""}],"container-title":"BMC Genetics","id":"ITEM-3","issue":"1","issued":{"date-parts":[["2012","3","26"]]},"page":"21","publisher":"BioMed Central","title":"Genome-wide associations for milk production and somatic cell score in Holstein-Friesian cattle in Ireland","type":"article-journal","volume":"13"},"uris":["http://www.mendeley.com/documents/?uuid=120c3a2d-4807-3f2e-b4ba-7fbf90b7964d"]},{"id":"ITEM-4","itemData":{"DOI":"10.1186/1471-2156-15-8","ISSN":"14712156","PMID":"24428918","abstract":"Background: The results obtained from genome-wide association studies (GWAS) often show pronounced disagreements. Validation of association studies is therefore desired before marker information is incorporated in selection decisions. A reliable way to confirm a discovered association between genetic markers and phenotypes is to validate the results in different populations. Therefore, the objective of this study was to validate single nucleotide polymorphism (SNP) marker associations to female fertility traits identified in the Nordic Holstein (NH) cattle population in the Nordic Red (NR) and Jersey (JER) cattle breeds. In the present study, we used data from 3,475 NH sires which were genotyped with the BovineSNP50 Beadchip to discover associations between SNP markers and eight female fertility-related traits. The significant SNP markers were then tested in NR and JER cattle.Results: A total of 4,474 significant associations between SNP markers and eight female fertility traits were detected in NH cattle. These significant associations were then validated in the NR (4,998 sires) and JER (1,225 sires) dairy cattle populations. We were able to validate 836 of the SNPs discovered in NH cattle in the NR population, as well as 686 SNPs in the JER population. 152 SNPs could be confirmed in both the NR and JER populations.Conclusions: The present study presents strong evidence for association of SNPs with fertility traits across three cattle breeds. We provide strong evidence that SNPs for many fertility traits are concentrated at certain areas on the genome (BTA1, BTA4, BTA7, BTA9, BTA11 and BTA13), and these areas would be highly suitable for further study in order to identify candidate genes for female fertility traits in dairy cattle. © 2014 Höglund et al.; licensee BioMed Central Ltd.","author":[{"dropping-particle":"","family":"Höglund","given":"Johanna K.","non-dropping-particle":"","parse-names":false,"suffix":""},{"dropping-particle":"","family":"Sahana","given":"Goutam","non-dropping-particle":"","parse-names":false,"suffix":""},{"dropping-particle":"","family":"Guldbrandtsen","given":"Bernt","non-dropping-particle":"","parse-names":false,"suffix":""},{"dropping-particle":"","family":"Lund","given":"Mogens S.","non-dropping-particle":"","parse-names":false,"suffix":""}],"container-title":"BMC Genetics","id":"ITEM-4","issue":"1","issued":{"date-parts":[["2014","1","15"]]},"page":"8","publisher":"BioMed Central","title":"Validation of associations for female fertility traits in Nordic Holstein, Nordic Red and Jersey dairy cattle","type":"article-journal","volume":"15"},"uris":["http://www.mendeley.com/documents/?uuid=b03582bd-0a46-3dc0-a6b9-ad51099c37b4"]}],"mendeley":{"formattedCitation":"[7, 27, 40, 43]","plainTextFormattedCitation":"[7, 27, 40, 43]","previouslyFormattedCitation":"[7, 27, 40, 43]"},"properties":{"noteIndex":0},"schema":"https://github.com/citation-style-language/schema/raw/master/csl-citation.json"}</w:instrText>
            </w:r>
            <w:r w:rsidRPr="00DD24FA">
              <w:rPr>
                <w:rFonts w:ascii="Times New Roman" w:hAnsi="Times New Roman" w:cs="Times New Roman"/>
                <w:sz w:val="18"/>
                <w:szCs w:val="18"/>
              </w:rPr>
              <w:fldChar w:fldCharType="separate"/>
            </w:r>
            <w:r w:rsidR="003E225D" w:rsidRPr="00DD24FA">
              <w:rPr>
                <w:rFonts w:ascii="Times New Roman" w:hAnsi="Times New Roman" w:cs="Times New Roman"/>
                <w:noProof/>
                <w:sz w:val="18"/>
                <w:szCs w:val="18"/>
              </w:rPr>
              <w:t>[7, 27, 40, 43]</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Conception rate, milk fat yield and percentage, milk protein percentage</w:t>
            </w:r>
          </w:p>
        </w:tc>
      </w:tr>
      <w:tr w:rsidR="00DD24FA" w14:paraId="14F198B3"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799510A7" w14:textId="29298445" w:rsidR="0013515C" w:rsidRPr="00DD24FA" w:rsidRDefault="0013515C"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11_53</w:t>
            </w:r>
            <w:r w:rsidR="001C4707" w:rsidRPr="00DD24FA">
              <w:rPr>
                <w:rFonts w:ascii="Times New Roman" w:hAnsi="Times New Roman" w:cs="Times New Roman"/>
                <w:i/>
                <w:sz w:val="18"/>
                <w:szCs w:val="18"/>
                <w:vertAlign w:val="superscript"/>
              </w:rPr>
              <w:t>d</w:t>
            </w:r>
          </w:p>
        </w:tc>
        <w:tc>
          <w:tcPr>
            <w:tcW w:w="369" w:type="pct"/>
            <w:tcBorders>
              <w:top w:val="single" w:sz="4" w:space="0" w:color="auto"/>
              <w:left w:val="single" w:sz="4" w:space="0" w:color="auto"/>
              <w:bottom w:val="single" w:sz="4" w:space="0" w:color="auto"/>
              <w:right w:val="single" w:sz="4" w:space="0" w:color="auto"/>
            </w:tcBorders>
            <w:hideMark/>
          </w:tcPr>
          <w:p w14:paraId="66ACD31F"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5.563</w:t>
            </w:r>
          </w:p>
        </w:tc>
        <w:tc>
          <w:tcPr>
            <w:tcW w:w="554" w:type="pct"/>
            <w:tcBorders>
              <w:top w:val="single" w:sz="4" w:space="0" w:color="auto"/>
              <w:left w:val="single" w:sz="4" w:space="0" w:color="auto"/>
              <w:bottom w:val="single" w:sz="4" w:space="0" w:color="auto"/>
              <w:right w:val="single" w:sz="4" w:space="0" w:color="auto"/>
            </w:tcBorders>
            <w:hideMark/>
          </w:tcPr>
          <w:p w14:paraId="0F2C413A"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11.977</w:t>
            </w:r>
          </w:p>
        </w:tc>
        <w:tc>
          <w:tcPr>
            <w:tcW w:w="328" w:type="pct"/>
            <w:tcBorders>
              <w:top w:val="single" w:sz="4" w:space="0" w:color="auto"/>
              <w:left w:val="single" w:sz="4" w:space="0" w:color="auto"/>
              <w:bottom w:val="single" w:sz="4" w:space="0" w:color="auto"/>
              <w:right w:val="single" w:sz="4" w:space="0" w:color="auto"/>
            </w:tcBorders>
            <w:hideMark/>
          </w:tcPr>
          <w:p w14:paraId="2FCF164D"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0.133</w:t>
            </w:r>
          </w:p>
        </w:tc>
        <w:tc>
          <w:tcPr>
            <w:tcW w:w="570" w:type="pct"/>
            <w:tcBorders>
              <w:top w:val="single" w:sz="4" w:space="0" w:color="auto"/>
              <w:left w:val="single" w:sz="4" w:space="0" w:color="auto"/>
              <w:bottom w:val="single" w:sz="4" w:space="0" w:color="auto"/>
              <w:right w:val="single" w:sz="4" w:space="0" w:color="auto"/>
            </w:tcBorders>
            <w:hideMark/>
          </w:tcPr>
          <w:p w14:paraId="369765B5"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w:t>
            </w:r>
          </w:p>
        </w:tc>
        <w:tc>
          <w:tcPr>
            <w:tcW w:w="795" w:type="pct"/>
            <w:tcBorders>
              <w:top w:val="single" w:sz="4" w:space="0" w:color="auto"/>
              <w:left w:val="single" w:sz="4" w:space="0" w:color="auto"/>
              <w:bottom w:val="single" w:sz="4" w:space="0" w:color="auto"/>
              <w:right w:val="single" w:sz="4" w:space="0" w:color="auto"/>
            </w:tcBorders>
            <w:hideMark/>
          </w:tcPr>
          <w:p w14:paraId="6925B382" w14:textId="77777777" w:rsidR="0013515C" w:rsidRPr="00DD24FA" w:rsidRDefault="0013515C" w:rsidP="00267B98">
            <w:pPr>
              <w:spacing w:after="0" w:line="240" w:lineRule="auto"/>
              <w:contextualSpacing/>
              <w:jc w:val="center"/>
              <w:rPr>
                <w:rFonts w:ascii="Times New Roman" w:hAnsi="Times New Roman" w:cs="Times New Roman"/>
                <w:i/>
                <w:iCs/>
                <w:color w:val="000000"/>
                <w:sz w:val="18"/>
                <w:szCs w:val="18"/>
              </w:rPr>
            </w:pPr>
            <w:r w:rsidRPr="00DD24FA">
              <w:rPr>
                <w:rFonts w:ascii="Times New Roman" w:hAnsi="Times New Roman" w:cs="Times New Roman"/>
                <w:i/>
                <w:iCs/>
                <w:color w:val="000000"/>
                <w:sz w:val="18"/>
                <w:szCs w:val="18"/>
              </w:rPr>
              <w:t>LOC112448898, LOC101903989</w:t>
            </w:r>
          </w:p>
        </w:tc>
        <w:tc>
          <w:tcPr>
            <w:tcW w:w="472" w:type="pct"/>
            <w:tcBorders>
              <w:top w:val="single" w:sz="4" w:space="0" w:color="auto"/>
              <w:left w:val="single" w:sz="4" w:space="0" w:color="auto"/>
              <w:bottom w:val="single" w:sz="4" w:space="0" w:color="auto"/>
              <w:right w:val="single" w:sz="4" w:space="0" w:color="auto"/>
            </w:tcBorders>
            <w:hideMark/>
          </w:tcPr>
          <w:p w14:paraId="66646B80"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Intergenic</w:t>
            </w:r>
          </w:p>
        </w:tc>
        <w:tc>
          <w:tcPr>
            <w:tcW w:w="1416" w:type="pct"/>
            <w:tcBorders>
              <w:top w:val="single" w:sz="4" w:space="0" w:color="auto"/>
              <w:left w:val="single" w:sz="4" w:space="0" w:color="auto"/>
              <w:bottom w:val="single" w:sz="4" w:space="0" w:color="auto"/>
              <w:right w:val="single" w:sz="4" w:space="0" w:color="auto"/>
            </w:tcBorders>
            <w:hideMark/>
          </w:tcPr>
          <w:p w14:paraId="357CEF35" w14:textId="5533146E" w:rsidR="0013515C" w:rsidRPr="00DD24FA" w:rsidRDefault="0013515C"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317FD1" w:rsidRPr="00DD24FA">
              <w:rPr>
                <w:rFonts w:ascii="Times New Roman" w:hAnsi="Times New Roman" w:cs="Times New Roman"/>
                <w:sz w:val="18"/>
                <w:szCs w:val="18"/>
              </w:rPr>
              <w:instrText>ADDIN CSL_CITATION {"citationItems":[{"id":"ITEM-1","itemData":{"DOI":"10.1007/s13353-018-0436-7","abstract":"The aim of this study was to analyze the association between the copy number variation regions (CNVRs) and fatty acid profile phenotypes for saturated (SFA), monosaturated (MUFA), polyunsaturated (PUFA), ω6 and ω3 fatty acids, PUFA/SFA and ω6/ ω3 ratios, as well as for their sums, in Nellore cattle (Bos primigenius indicus). A total of 963 males were finished in feedlot and slaughtered with approximately 2 years of age. Animals were genotyped with the BovineHD BeadChip (Illumina Inc., San Diego, CA, USA). The copy number variation (CNV) detection was performed using the PennCNValgorithm. Log R ratio (LRR) and allele B frequency (BAF) were used to estimate the CNVs. The association analyses were done using the CNVRuler software and applying a logistic regression model. The phenotype was adjusted using a linear model considering the fixed effects of contemporary group and the animal age at slaughter. The fatty acid profile was analyzed on samples of longissimus thoracis muscle using gas chromatography with a 100-m capillary column. For the association analysis, the adjusted phenotypic values were considered for the traits, while the data was adjusted for the effects of the farm and year of birth, management groups at birth, weaning, and superannuation. A total of 186 CNVRs were significant for SFA (43), MUFA (42), PUFA (66), and omega fatty acid (35) groups, totaling 278 known genes. On the basis of the results, several genes were associated with several fatty acids of different saturations. Olfactory receptor genes were associated with C12:0, C14:0, and C18:0 fatty acids. The SAMD8 and","author":[{"dropping-particle":"","family":"Vinicius","given":"Marcos","non-dropping-particle":"","parse-names":false,"suffix":""},{"dropping-particle":"","family":"Lemos","given":"Antunes","non-dropping-particle":"De","parse-names":false,"suffix":""},{"dropping-particle":"","family":"Peripolli","given":"Elisa","non-dropping-particle":"","parse-names":false,"suffix":""},{"dropping-particle":"","family":"Piatto Berton","given":"Mariana","non-dropping-particle":"","parse-names":false,"suffix":""},{"dropping-particle":"","family":"Loise","given":"Fabiele","non-dropping-particle":"","parse-names":false,"suffix":""},{"dropping-particle":"","family":"Feitosa","given":"Braga","non-dropping-particle":"","parse-names":false,"suffix":""},{"dropping-particle":"","family":"Ferreira Olivieri","given":"Bianca","non-dropping-particle":"","parse-names":false,"suffix":""},{"dropping-particle":"","family":"Bonvino Stafuzza","given":"Nedenia","non-dropping-particle":"","parse-names":false,"suffix":""},{"dropping-particle":"","family":"Lara Tonussi","given":"Rafael","non-dropping-particle":"","parse-names":false,"suffix":""},{"dropping-particle":"","family":"Kluska","given":"Sabrina","non-dropping-particle":"","parse-names":false,"suffix":""},{"dropping-particle":"","family":"Lucas","given":"Hermenegildo","non-dropping-particle":"","parse-names":false,"suffix":""},{"dropping-particle":"","family":"Chiaia","given":"Justino","non-dropping-particle":"","parse-names":false,"suffix":""},{"dropping-particle":"","family":"Mueller","given":"Lenise","non-dropping-particle":"","parse-names":false,"suffix":""},{"dropping-particle":"","family":"Adrielli","given":"&amp;","non-dropping-particle":"","parse-names":false,"suffix":""},{"dropping-particle":"","family":"Ferrinho","given":"Mathias","non-dropping-particle":"","parse-names":false,"suffix":""},{"dropping-particle":"","family":"Simone","given":"Angelica","non-dropping-particle":"","parse-names":false,"suffix":""},{"dropping-particle":"","family":"Prereira","given":"Cravo","non-dropping-particle":"","parse-names":false,"suffix":""},{"dropping-particle":"","family":"Nunes De Oliveira","given":"Henrique","non-dropping-particle":"","parse-names":false,"suffix":""},{"dropping-particle":"","family":"Galvão De Albuquerque","given":"Lucia","non-dropping-particle":"","parse-names":false,"suffix":""},{"dropping-particle":"","family":"Baldi","given":"Fernando","non-dropping-particle":"","parse-names":false,"suffix":""},{"dropping-particle":"","family":"Szydlowski","given":"Maciej","non-dropping-particle":"","parse-names":false,"suffix":""},{"dropping-particle":"","family":"Berton","given":"Mariana Piatto","non-dropping-particle":"","parse-names":false,"suffix":""},{"dropping-particle":"","family":"Stafuzza","given":"Nedenia Bonvino","non-dropping-particle":"","parse-names":false,"suffix":""},{"dropping-particle":"","family":"Tonussi","given":"Rafael Lara","non-dropping-particle":"","parse-names":false,"suffix":""},{"dropping-particle":"","family":"Ferrinho","given":"Adrielli Mathias","non-dropping-particle":"","parse-names":false,"suffix":""},{"dropping-particle":"","family":"Br","given":"Angelpereira@usp","non-dropping-particle":"","parse-names":false,"suffix":""}],"container-title":"Journal of Applied Genetics","id":"ITEM-1","issued":{"date-parts":[["2018"]]},"page":"203-223","title":"Association study between copy number variation and beef fatty acid profile of Nellore cattle","type":"article-journal","volume":"59"},"uris":["http://www.mendeley.com/documents/?uuid=79f410f1-3933-3922-a0bb-e34e2266479e"]},{"id":"ITEM-2","itemData":{"DOI":"10.1111/j.1365-2052.2012.02323.x","ISSN":"0268-9146","abstract":"We performed a genome-wide association study for Warner-Bratzler shear force (WBSF), a measure of meat tenderness, by genotyping 3360 animals from five breeds with 54 790 BovineSNP50 and 96 putative single-nucleotide polymorphisms (SNPs) within μ-calpain [HUGO nomenclature calpain 1, (mu/I) large subunit; CAPN1] and calpastatin (CAST). Within- and across-breed analyses estimated SNP allele substitution effects (ASEs) by genomic best linear unbiased prediction (GBLUP) and variance components by restricted maximum likelihood under an animal model incorporating a genomic relationship matrix. GBLUP estimates of ASEs from the across-breed analysis were moderately correlated (0.31-0.66) with those from the individual within-breed analyses, indicating that prediction equations for molecular estimates of breeding value developed from across-breed analyses should be effective for genomic selection within breeds. We identified 79 genomic regions associated with WBSF in at least three breeds, but only eight were detected in all five breeds, suggesting that the within-breed analyses were underpowered, that different quantitative trait loci (QTL) underlie variation between breeds or that the BovineSNP50 SNP density is insufficient to detect common QTL among breeds. In the across-breed analysis, CAPN1 was followed by CAST as the most strongly associated WBSF QTL genome-wide, and associations with both were detected in all five breeds. We show that none of the four commercialized CAST and CAPN1 SNP diagnostics are causal for associations with WBSF, and we putatively fine-map the CAPN1 causal mutation to a 4581-bp region. We estimate that variation in CAST and CAPN1 explains 1.02 and 1.85% of the phenotypic variation in WBSF respectively. © 2012 The Authors, Animal Genetics © 2012 Stichting International Foundation for Animal Genetics.","author":[{"dropping-particle":"","family":"McClure","given":"M. C.","non-dropping-particle":"","parse-names":false,"suffix":""},{"dropping-particle":"","family":"Ramey","given":"H. R.","non-dropping-particle":"","parse-names":false,"suffix":""},{"dropping-particle":"","family":"Rolf","given":"M. M.","non-dropping-particle":"","parse-names":false,"suffix":""},{"dropping-particle":"","family":"McKay","given":"S. D.","non-dropping-particle":"","parse-names":false,"suffix":""},{"dropping-particle":"","family":"Decker","given":"J. E.","non-dropping-particle":"","parse-names":false,"suffix":""},{"dropping-particle":"","family":"Chapple","given":"R. H.","non-dropping-particle":"","parse-names":false,"suffix":""},{"dropping-particle":"","family":"Kim","given":"J. W.","non-dropping-particle":"","parse-names":false,"suffix":""},{"dropping-particle":"","family":"Taxis","given":"T. M.","non-dropping-particle":"","parse-names":false,"suffix":""},{"dropping-particle":"","family":"Weaber","given":"R. L.","non-dropping-particle":"","parse-names":false,"suffix":""},{"dropping-particle":"","family":"Schnabel","given":"R. D.","non-dropping-particle":"","parse-names":false,"suffix":""},{"dropping-particle":"","family":"Taylor","given":"J. F.","non-dropping-particle":"","parse-names":false,"suffix":""}],"container-title":"Animal Genetics","id":"ITEM-2","issue":"6","issued":{"date-parts":[["2012","12","27"]]},"page":"662-673","publisher":"John Wiley &amp; Sons, Ltd","title":"Genome‐wide association analysis for quantitative trait loci influencing Warner–Bratzler shear force in five taurine cattle breeds","type":"article-journal","volume":"43"},"uris":["http://www.mendeley.com/documents/?uuid=fd591167-602c-341e-be08-a37a781534e5"]},{"id":"ITEM-3","itemData":{"DOI":"10.1186/1471-2156-15-8","ISSN":"14712156","PMID":"24428918","abstract":"Background: The results obtained from genome-wide association studies (GWAS) often show pronounced disagreements. Validation of association studies is therefore desired before marker information is incorporated in selection decisions. A reliable way to confirm a discovered association between genetic markers and phenotypes is to validate the results in different populations. Therefore, the objective of this study was to validate single nucleotide polymorphism (SNP) marker associations to female fertility traits identified in the Nordic Holstein (NH) cattle population in the Nordic Red (NR) and Jersey (JER) cattle breeds. In the present study, we used data from 3,475 NH sires which were genotyped with the BovineSNP50 Beadchip to discover associations between SNP markers and eight female fertility-related traits. The significant SNP markers were then tested in NR and JER cattle.Results: A total of 4,474 significant associations between SNP markers and eight female fertility traits were detected in NH cattle. These significant associations were then validated in the NR (4,998 sires) and JER (1,225 sires) dairy cattle populations. We were able to validate 836 of the SNPs discovered in NH cattle in the NR population, as well as 686 SNPs in the JER population. 152 SNPs could be confirmed in both the NR and JER populations.Conclusions: The present study presents strong evidence for association of SNPs with fertility traits across three cattle breeds. We provide strong evidence that SNPs for many fertility traits are concentrated at certain areas on the genome (BTA1, BTA4, BTA7, BTA9, BTA11 and BTA13), and these areas would be highly suitable for further study in order to identify candidate genes for female fertility traits in dairy cattle. © 2014 Höglund et al.; licensee BioMed Central Ltd.","author":[{"dropping-particle":"","family":"Höglund","given":"Johanna K.","non-dropping-particle":"","parse-names":false,"suffix":""},{"dropping-particle":"","family":"Sahana","given":"Goutam","non-dropping-particle":"","parse-names":false,"suffix":""},{"dropping-particle":"","family":"Guldbrandtsen","given":"Bernt","non-dropping-particle":"","parse-names":false,"suffix":""},{"dropping-particle":"","family":"Lund","given":"Mogens S.","non-dropping-particle":"","parse-names":false,"suffix":""}],"container-title":"BMC Genetics","id":"ITEM-3","issue":"1","issued":{"date-parts":[["2014","1","15"]]},"page":"8","publisher":"BioMed Central","title":"Validation of associations for female fertility traits in Nordic Holstein, Nordic Red and Jersey dairy cattle","type":"article-journal","volume":"15"},"uris":["http://www.mendeley.com/documents/?uuid=b03582bd-0a46-3dc0-a6b9-ad51099c37b4"]}],"mendeley":{"formattedCitation":"[40, 45, 75]","plainTextFormattedCitation":"[40, 45, 75]","previouslyFormattedCitation":"[40, 45, 75]"},"properties":{"noteIndex":0},"schema":"https://github.com/citation-style-language/schema/raw/master/csl-citation.json"}</w:instrText>
            </w:r>
            <w:r w:rsidRPr="00DD24FA">
              <w:rPr>
                <w:rFonts w:ascii="Times New Roman" w:hAnsi="Times New Roman" w:cs="Times New Roman"/>
                <w:sz w:val="18"/>
                <w:szCs w:val="18"/>
              </w:rPr>
              <w:fldChar w:fldCharType="separate"/>
            </w:r>
            <w:r w:rsidR="00CD7421" w:rsidRPr="00DD24FA">
              <w:rPr>
                <w:rFonts w:ascii="Times New Roman" w:hAnsi="Times New Roman" w:cs="Times New Roman"/>
                <w:noProof/>
                <w:sz w:val="18"/>
                <w:szCs w:val="18"/>
              </w:rPr>
              <w:t>[40, 45, 75]</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Fatty acid in intramuscular fat, shear force, milk fatty acid, conception rate</w:t>
            </w:r>
          </w:p>
        </w:tc>
      </w:tr>
      <w:tr w:rsidR="00DD24FA" w14:paraId="71B17290"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137BD9B5" w14:textId="77777777" w:rsidR="0013515C" w:rsidRPr="00DD24FA" w:rsidRDefault="0013515C"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2_76</w:t>
            </w:r>
            <w:r w:rsidRPr="00DD24FA">
              <w:rPr>
                <w:rFonts w:ascii="Times New Roman" w:hAnsi="Times New Roman" w:cs="Times New Roman"/>
                <w:i/>
                <w:sz w:val="18"/>
                <w:szCs w:val="18"/>
                <w:vertAlign w:val="superscript"/>
              </w:rPr>
              <w:t>e</w:t>
            </w:r>
          </w:p>
        </w:tc>
        <w:tc>
          <w:tcPr>
            <w:tcW w:w="369" w:type="pct"/>
            <w:tcBorders>
              <w:top w:val="single" w:sz="4" w:space="0" w:color="auto"/>
              <w:left w:val="single" w:sz="4" w:space="0" w:color="auto"/>
              <w:bottom w:val="single" w:sz="4" w:space="0" w:color="auto"/>
              <w:right w:val="single" w:sz="4" w:space="0" w:color="auto"/>
            </w:tcBorders>
            <w:hideMark/>
          </w:tcPr>
          <w:p w14:paraId="115B9D98"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5.386</w:t>
            </w:r>
          </w:p>
        </w:tc>
        <w:tc>
          <w:tcPr>
            <w:tcW w:w="554" w:type="pct"/>
            <w:tcBorders>
              <w:top w:val="single" w:sz="4" w:space="0" w:color="auto"/>
              <w:left w:val="single" w:sz="4" w:space="0" w:color="auto"/>
              <w:bottom w:val="single" w:sz="4" w:space="0" w:color="auto"/>
              <w:right w:val="single" w:sz="4" w:space="0" w:color="auto"/>
            </w:tcBorders>
            <w:hideMark/>
          </w:tcPr>
          <w:p w14:paraId="02B98379"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10.244</w:t>
            </w:r>
          </w:p>
        </w:tc>
        <w:tc>
          <w:tcPr>
            <w:tcW w:w="328" w:type="pct"/>
            <w:tcBorders>
              <w:top w:val="single" w:sz="4" w:space="0" w:color="auto"/>
              <w:left w:val="single" w:sz="4" w:space="0" w:color="auto"/>
              <w:bottom w:val="single" w:sz="4" w:space="0" w:color="auto"/>
              <w:right w:val="single" w:sz="4" w:space="0" w:color="auto"/>
            </w:tcBorders>
            <w:hideMark/>
          </w:tcPr>
          <w:p w14:paraId="21F575BA"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0.485</w:t>
            </w:r>
          </w:p>
        </w:tc>
        <w:tc>
          <w:tcPr>
            <w:tcW w:w="570" w:type="pct"/>
            <w:tcBorders>
              <w:top w:val="single" w:sz="4" w:space="0" w:color="auto"/>
              <w:left w:val="single" w:sz="4" w:space="0" w:color="auto"/>
              <w:bottom w:val="single" w:sz="4" w:space="0" w:color="auto"/>
              <w:right w:val="single" w:sz="4" w:space="0" w:color="auto"/>
            </w:tcBorders>
            <w:hideMark/>
          </w:tcPr>
          <w:p w14:paraId="60B21FF6"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3</w:t>
            </w:r>
          </w:p>
        </w:tc>
        <w:tc>
          <w:tcPr>
            <w:tcW w:w="795" w:type="pct"/>
            <w:tcBorders>
              <w:top w:val="single" w:sz="4" w:space="0" w:color="auto"/>
              <w:left w:val="single" w:sz="4" w:space="0" w:color="auto"/>
              <w:bottom w:val="single" w:sz="4" w:space="0" w:color="auto"/>
              <w:right w:val="single" w:sz="4" w:space="0" w:color="auto"/>
            </w:tcBorders>
            <w:hideMark/>
          </w:tcPr>
          <w:p w14:paraId="2C810479" w14:textId="77777777" w:rsidR="0013515C" w:rsidRPr="00DD24FA" w:rsidRDefault="0013515C" w:rsidP="00267B98">
            <w:pPr>
              <w:spacing w:after="0" w:line="240" w:lineRule="auto"/>
              <w:contextualSpacing/>
              <w:jc w:val="center"/>
              <w:rPr>
                <w:rFonts w:ascii="Times New Roman" w:hAnsi="Times New Roman" w:cs="Times New Roman"/>
                <w:i/>
                <w:iCs/>
                <w:color w:val="000000"/>
                <w:sz w:val="18"/>
                <w:szCs w:val="18"/>
              </w:rPr>
            </w:pPr>
            <w:r w:rsidRPr="00DD24FA">
              <w:rPr>
                <w:rFonts w:ascii="Times New Roman" w:hAnsi="Times New Roman" w:cs="Times New Roman"/>
                <w:i/>
                <w:iCs/>
                <w:color w:val="000000"/>
                <w:sz w:val="18"/>
                <w:szCs w:val="18"/>
              </w:rPr>
              <w:t>LOC101902632, CNTNAP5</w:t>
            </w:r>
          </w:p>
        </w:tc>
        <w:tc>
          <w:tcPr>
            <w:tcW w:w="472" w:type="pct"/>
            <w:tcBorders>
              <w:top w:val="single" w:sz="4" w:space="0" w:color="auto"/>
              <w:left w:val="single" w:sz="4" w:space="0" w:color="auto"/>
              <w:bottom w:val="single" w:sz="4" w:space="0" w:color="auto"/>
              <w:right w:val="single" w:sz="4" w:space="0" w:color="auto"/>
            </w:tcBorders>
            <w:hideMark/>
          </w:tcPr>
          <w:p w14:paraId="6C956335"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Intergenic</w:t>
            </w:r>
          </w:p>
        </w:tc>
        <w:tc>
          <w:tcPr>
            <w:tcW w:w="1416" w:type="pct"/>
            <w:tcBorders>
              <w:top w:val="single" w:sz="4" w:space="0" w:color="auto"/>
              <w:left w:val="single" w:sz="4" w:space="0" w:color="auto"/>
              <w:bottom w:val="single" w:sz="4" w:space="0" w:color="auto"/>
              <w:right w:val="single" w:sz="4" w:space="0" w:color="auto"/>
            </w:tcBorders>
            <w:hideMark/>
          </w:tcPr>
          <w:p w14:paraId="3A0BCC82" w14:textId="533DAB80" w:rsidR="0013515C" w:rsidRPr="00DD24FA" w:rsidRDefault="0013515C"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317FD1" w:rsidRPr="00DD24FA">
              <w:rPr>
                <w:rFonts w:ascii="Times New Roman" w:hAnsi="Times New Roman" w:cs="Times New Roman"/>
                <w:sz w:val="18"/>
                <w:szCs w:val="18"/>
              </w:rPr>
              <w:instrText>ADDIN CSL_CITATION {"citationItems":[{"id":"ITEM-1","itemData":{"DOI":"10.1186/s12864-020-07170-0","ISSN":"14712164","PMID":"33176675","abstract":"Background: Specific adaptive features including disease resistance and growth abilities in harsh environments are attributed to indigenous cattle breeds of Benin, but these breeds are endangered due to crossbreeding. So far, there is a lack of systematic trait recording, being the basis for breed characterizations, and for structured breeding program designs aiming on conservation. Bridging this gap, own phenotyping for morphological traits considered measurements for height at withers (HAW), sacrum height (SH), heart girth (HG), hip width (HW), body length (BL) and ear length (EL), including 449 cattle from the four indigenous Benin breeds Lagune, Somba, Borgou and Pabli. In order to utilize recent genomic tools for breed characterizations and genetic evaluations, phenotypes for novel traits were merged with high-density SNP marker data. Multi-breed genetic parameter estimations and genome-wide association studies (GWAS) for the six morphometric traits were carried out. Continuatively, we aimed on inferring genomic regions and functional loci potentially associated with conformation, carcass and adaptive traits. Results: SNP-based heritability estimates for the morphometric traits ranged between 0.46 ± 0.14 (HG) and 0.74 ± 0.13 (HW). Phenotypic and genetic correlations ranged from 0.25 ± 0.05 (HW-BL) to 0.89 ± 0.01 (HAW-SH), and from 0.14 ± 0.10 (HW-BL) to 0.85 ± 0.02 (HAW-SH), respectively. Three genome-wide and 25 chromosome-wide significant SNP positioned on different chromosomes were detected, located in very close chromosomal distance (±25 kb) to 15 genes (or located within the genes). The genes PIK3R6 and PIK3R1 showed direct functional associations with height and body size. We inferred the potential candidate genes VEPH1, CNTNAP5, GYPC for conformation, growth and carcass traits including body weight and body fat deposition. According to their functional annotations, detected potential candidate genes were associated with stress or immune response (genes PTAFR, PBRM1, ADAMTS12) and with feed efficiency (genes MEGF11 SLC16A4, CCDC117). Conclusions: Accurate measurements contributed to large SNP heritabilities for some morphological traits, even for a small mixed-breed sample size. Multi-breed GWAS detected different loci associated with conformation or carcass traits. The identified potential candidate genes for immune response or feed efficiency indicators reflect the evolutionary development and adaptability features of the breeds.","author":[{"dropping-particle":"","family":"Vanvanhossou","given":"Sèyi Fridaïus Ulrich","non-dropping-particle":"","parse-names":false,"suffix":""},{"dropping-particle":"","family":"Scheper","given":"Carsten","non-dropping-particle":"","parse-names":false,"suffix":""},{"dropping-particle":"","family":"Dossa","given":"Luc Hippolyte","non-dropping-particle":"","parse-names":false,"suffix":""},{"dropping-particle":"","family":"Yin","given":"Tong","non-dropping-particle":"","parse-names":false,"suffix":""},{"dropping-particle":"","family":"Brügemann","given":"Kerstin","non-dropping-particle":"","parse-names":false,"suffix":""},{"dropping-particle":"","family":"König","given":"Sven","non-dropping-particle":"","parse-names":false,"suffix":""}],"container-title":"BMC Genomics","id":"ITEM-1","issue":"1","issued":{"date-parts":[["2020","12","1"]]},"publisher":"BioMed Central Ltd","title":"A multi-breed GWAS for morphometric traits in four Beninese indigenous cattle breeds reveals loci associated with conformation, carcass and adaptive traits","type":"article-journal","volume":"21"},"uris":["http://www.mendeley.com/documents/?uuid=0b54691b-a865-31f3-8c18-bada10f14e89"]},{"id":"ITEM-2","itemData":{"DOI":"10.1093/jas/skaa068","ISSN":"15253163","PMID":"32115622","abstract":"Body size plays a key role in production, health, selection, and environmental adaptation of animals, but the genetic basis of body size variation is not clearly understood. Here, we conducted genome-wide association studies (GWAS) of 15 body size traits using autosomal single nucleotide polymorphisms (SNPs) derived from whole-genome sequences of 31 Brahman cattle and 131 Yunling cattle and identified 20 significant loci, which implicated 18 candidate genes. For ischium width, the most significant SNP was assigned to LCORL, a famous gene controlling body size. For chest width, the most significant SNP was located upstream of BMP5, a secreted ligand of transformation growth factor-beta superfamily of proteins involved in bone and cartilage development. Subsequently, we detected selective sweeps in Brahman cattle using integrated Haplotype Score, composite likelihood ratio, and nucleotide diversity. The results showed CNTNAP5 locus associated with hip cross height and LIMCH1 locus associated with forehead size were in selective signals, which were consistent with higher hip cross height and higher forehead size in Brahman cattle compared with Yunling cattle. Our findings provide genetic insights into variation and selection of body size using GWAS and selective signals and will accelerate future efforts aimed at cattle improvement.","author":[{"dropping-particle":"","family":"Chen","given":"Qiuming","non-dropping-particle":"","parse-names":false,"suffix":""},{"dropping-particle":"","family":"Huang","given":"Bizhi","non-dropping-particle":"","parse-names":false,"suffix":""},{"dropping-particle":"","family":"Zhan","given":"Jingxi","non-dropping-particle":"","parse-names":false,"suffix":""},{"dropping-particle":"","family":"Wang","given":"Junjie","non-dropping-particle":"","parse-names":false,"suffix":""},{"dropping-particle":"","family":"Qu","given":"Kaixing","non-dropping-particle":"","parse-names":false,"suffix":""},{"dropping-particle":"","family":"Zhang","given":"Fengwei","non-dropping-particle":"","parse-names":false,"suffix":""},{"dropping-particle":"","family":"Shen","given":"Jiafei","non-dropping-particle":"","parse-names":false,"suffix":""},{"dropping-particle":"","family":"Jia","given":"Peng","non-dropping-particle":"","parse-names":false,"suffix":""},{"dropping-particle":"","family":"Ning","given":"Qingqing","non-dropping-particle":"","parse-names":false,"suffix":""},{"dropping-particle":"","family":"Zhang","given":"Jicai","non-dropping-particle":"","parse-names":false,"suffix":""},{"dropping-particle":"","family":"Chen","given":"Ningbo","non-dropping-particle":"","parse-names":false,"suffix":""},{"dropping-particle":"","family":"Chen","given":"Hong","non-dropping-particle":"","parse-names":false,"suffix":""},{"dropping-particle":"","family":"Lei","given":"Chuzhao","non-dropping-particle":"","parse-names":false,"suffix":""}],"container-title":"Journal of animal science","id":"ITEM-2","issue":"3","issued":{"date-parts":[["2020","3","1"]]},"page":"1-8","publisher":"NLM (Medline)","title":"Whole-genome analyses identify loci and selective signals associated with body size in cattle","type":"article-journal","volume":"98"},"uris":["http://www.mendeley.com/documents/?uuid=1fc65e19-1ad0-344c-9eb4-fd305375df60"]},{"id":"ITEM-3","itemData":{"DOI":"10.2527/jas.2012-5716","ISSN":"0021-8812","abstract":"A genome-wide association study using the Illumina 50K BeadChip included 38,745 SNP on 29 BTA analyzed on 751 animals, including 33 purebreds and 718 crossbred cattle. Genotypes and 6 production traits: birth weight (BWT), weaning weight (WWT), ADG, DMI, midtest metabolic BW (MMWT), and residual feed intake (RFI), were used to estimate effects of individual SNP on the traits. At the genome-wide level false discovery rate (FDR &lt; 10%), 41 and 5 SNP were found significantly associated with BWT and WWT, respectively. Thirty-three of them were located on BTA6. At a less stringent significance level (P &lt; 0.001), 277 and 27 SNP were in association with single traits and multiple traits, respectively. Seventy-three SNP on BTA6 and were mostly associated with BW-related traits, and heavily located around 30 to 50Mb. Markers that significantly affected multiple traits appeared to impact them in same direction. In terms of the size of SNP effect, the significant SNP (P &lt; 0.001) explained between 0.26 and 8.06% of the phenotypic variation in the traits. Pairs of traits with low genetic correlation, such as ADG vs. RFI or DMI vs. BWT, appeared to be controlled by 2 groups of SNP; 1 of them affected the traits in same direction, the other worked in opposite direction. This study provides useful information to further assist the identification of chromosome regions and subsequently genes affecting growth and feed efficiency traits in beef cattle. © 2013 American Society of Animal Science. All rights reserved.","author":[{"dropping-particle":"","family":"Lu","given":"D.","non-dropping-particle":"","parse-names":false,"suffix":""},{"dropping-particle":"","family":"Miller","given":"S.","non-dropping-particle":"","parse-names":false,"suffix":""},{"dropping-particle":"","family":"Sargolzaei","given":"M.","non-dropping-particle":"","parse-names":false,"suffix":""},{"dropping-particle":"","family":"Kelly","given":"M.","non-dropping-particle":"","parse-names":false,"suffix":""},{"dropping-particle":"","family":"Voort","given":"G.","non-dropping-particle":"Vander","parse-names":false,"suffix":""},{"dropping-particle":"","family":"Caldwell","given":"T.","non-dropping-particle":"","parse-names":false,"suffix":""},{"dropping-particle":"","family":"Wang","given":"Z.","non-dropping-particle":"","parse-names":false,"suffix":""},{"dropping-particle":"","family":"Plastow","given":"G.","non-dropping-particle":"","parse-names":false,"suffix":""},{"dropping-particle":"","family":"Moore","given":"S.","non-dropping-particle":"","parse-names":false,"suffix":""}],"container-title":"Journal of Animal Science","id":"ITEM-3","issue":"8","issued":{"date-parts":[["2013","8","1"]]},"page":"3612-3633","publisher":"Oxford Academic","title":"Genome-wide association analyses for growth and feed efficiency traits in beef cattle","type":"article-journal","volume":"91"},"uris":["http://www.mendeley.com/documents/?uuid=772ba886-36b3-322a-94cb-4819a8c84066"]}],"mendeley":{"formattedCitation":"[54, 76, 77]","plainTextFormattedCitation":"[54, 76, 77]","previouslyFormattedCitation":"[54, 76, 77]"},"properties":{"noteIndex":0},"schema":"https://github.com/citation-style-language/schema/raw/master/csl-citation.json"}</w:instrText>
            </w:r>
            <w:r w:rsidRPr="00DD24FA">
              <w:rPr>
                <w:rFonts w:ascii="Times New Roman" w:hAnsi="Times New Roman" w:cs="Times New Roman"/>
                <w:sz w:val="18"/>
                <w:szCs w:val="18"/>
              </w:rPr>
              <w:fldChar w:fldCharType="separate"/>
            </w:r>
            <w:r w:rsidR="00CD7421" w:rsidRPr="00DD24FA">
              <w:rPr>
                <w:rFonts w:ascii="Times New Roman" w:hAnsi="Times New Roman" w:cs="Times New Roman"/>
                <w:noProof/>
                <w:sz w:val="18"/>
                <w:szCs w:val="18"/>
              </w:rPr>
              <w:t>[54, 76, 77]</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Human, cattle; Regulator of synapse formation and neurotransmission, body length, hip cross height, mid-test metabolic weight test association</w:t>
            </w:r>
          </w:p>
        </w:tc>
      </w:tr>
      <w:tr w:rsidR="00DD24FA" w14:paraId="378EF796"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4599A7CE" w14:textId="52A7050E" w:rsidR="00317FD1" w:rsidRPr="00DD24FA" w:rsidRDefault="00317FD1" w:rsidP="00317FD1">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t>27_39</w:t>
            </w:r>
            <w:r w:rsidRPr="00DD24FA">
              <w:rPr>
                <w:rFonts w:ascii="Times New Roman" w:hAnsi="Times New Roman" w:cs="Times New Roman"/>
                <w:i/>
                <w:sz w:val="18"/>
                <w:szCs w:val="18"/>
                <w:vertAlign w:val="superscript"/>
              </w:rPr>
              <w:t>f</w:t>
            </w:r>
          </w:p>
        </w:tc>
        <w:tc>
          <w:tcPr>
            <w:tcW w:w="369" w:type="pct"/>
            <w:tcBorders>
              <w:top w:val="single" w:sz="4" w:space="0" w:color="auto"/>
              <w:left w:val="single" w:sz="4" w:space="0" w:color="auto"/>
              <w:bottom w:val="single" w:sz="4" w:space="0" w:color="auto"/>
              <w:right w:val="single" w:sz="4" w:space="0" w:color="auto"/>
            </w:tcBorders>
            <w:hideMark/>
          </w:tcPr>
          <w:p w14:paraId="32C7543E" w14:textId="77777777" w:rsidR="00317FD1" w:rsidRPr="00DD24FA" w:rsidRDefault="00317FD1" w:rsidP="00317FD1">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5.248</w:t>
            </w:r>
          </w:p>
        </w:tc>
        <w:tc>
          <w:tcPr>
            <w:tcW w:w="554" w:type="pct"/>
            <w:tcBorders>
              <w:top w:val="single" w:sz="4" w:space="0" w:color="auto"/>
              <w:left w:val="single" w:sz="4" w:space="0" w:color="auto"/>
              <w:bottom w:val="single" w:sz="4" w:space="0" w:color="auto"/>
              <w:right w:val="single" w:sz="4" w:space="0" w:color="auto"/>
            </w:tcBorders>
            <w:hideMark/>
          </w:tcPr>
          <w:p w14:paraId="23F7902A" w14:textId="77777777" w:rsidR="00317FD1" w:rsidRPr="00DD24FA" w:rsidRDefault="00317FD1" w:rsidP="00317FD1">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8.056</w:t>
            </w:r>
          </w:p>
        </w:tc>
        <w:tc>
          <w:tcPr>
            <w:tcW w:w="328" w:type="pct"/>
            <w:tcBorders>
              <w:top w:val="single" w:sz="4" w:space="0" w:color="auto"/>
              <w:left w:val="single" w:sz="4" w:space="0" w:color="auto"/>
              <w:bottom w:val="single" w:sz="4" w:space="0" w:color="auto"/>
              <w:right w:val="single" w:sz="4" w:space="0" w:color="auto"/>
            </w:tcBorders>
            <w:hideMark/>
          </w:tcPr>
          <w:p w14:paraId="6B62533A" w14:textId="77777777" w:rsidR="00317FD1" w:rsidRPr="00DD24FA" w:rsidRDefault="00317FD1" w:rsidP="00317FD1">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0.436</w:t>
            </w:r>
          </w:p>
        </w:tc>
        <w:tc>
          <w:tcPr>
            <w:tcW w:w="570" w:type="pct"/>
            <w:tcBorders>
              <w:top w:val="single" w:sz="4" w:space="0" w:color="auto"/>
              <w:left w:val="single" w:sz="4" w:space="0" w:color="auto"/>
              <w:bottom w:val="single" w:sz="4" w:space="0" w:color="auto"/>
              <w:right w:val="single" w:sz="4" w:space="0" w:color="auto"/>
            </w:tcBorders>
            <w:hideMark/>
          </w:tcPr>
          <w:p w14:paraId="361FCC36" w14:textId="77777777" w:rsidR="00317FD1" w:rsidRPr="00DD24FA" w:rsidRDefault="00317FD1" w:rsidP="00317FD1">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4</w:t>
            </w:r>
          </w:p>
        </w:tc>
        <w:tc>
          <w:tcPr>
            <w:tcW w:w="795" w:type="pct"/>
            <w:tcBorders>
              <w:top w:val="single" w:sz="4" w:space="0" w:color="auto"/>
              <w:left w:val="single" w:sz="4" w:space="0" w:color="auto"/>
              <w:bottom w:val="single" w:sz="4" w:space="0" w:color="auto"/>
              <w:right w:val="single" w:sz="4" w:space="0" w:color="auto"/>
            </w:tcBorders>
            <w:hideMark/>
          </w:tcPr>
          <w:p w14:paraId="7CE9FC12" w14:textId="77777777" w:rsidR="00317FD1" w:rsidRPr="00DD24FA" w:rsidRDefault="00317FD1" w:rsidP="00317FD1">
            <w:pPr>
              <w:spacing w:after="0" w:line="240" w:lineRule="auto"/>
              <w:contextualSpacing/>
              <w:jc w:val="center"/>
              <w:rPr>
                <w:rFonts w:ascii="Times New Roman" w:hAnsi="Times New Roman" w:cs="Times New Roman"/>
                <w:i/>
                <w:color w:val="000000"/>
                <w:sz w:val="18"/>
                <w:szCs w:val="18"/>
              </w:rPr>
            </w:pPr>
            <w:r w:rsidRPr="00DD24FA">
              <w:rPr>
                <w:rFonts w:ascii="Times New Roman" w:hAnsi="Times New Roman" w:cs="Times New Roman"/>
                <w:i/>
                <w:iCs/>
                <w:color w:val="000000"/>
                <w:sz w:val="18"/>
                <w:szCs w:val="18"/>
              </w:rPr>
              <w:t>PSD3</w:t>
            </w:r>
          </w:p>
        </w:tc>
        <w:tc>
          <w:tcPr>
            <w:tcW w:w="472" w:type="pct"/>
            <w:tcBorders>
              <w:top w:val="single" w:sz="4" w:space="0" w:color="auto"/>
              <w:left w:val="single" w:sz="4" w:space="0" w:color="auto"/>
              <w:bottom w:val="single" w:sz="4" w:space="0" w:color="auto"/>
              <w:right w:val="single" w:sz="4" w:space="0" w:color="auto"/>
            </w:tcBorders>
            <w:hideMark/>
          </w:tcPr>
          <w:p w14:paraId="3778312E" w14:textId="77777777" w:rsidR="00317FD1" w:rsidRPr="00DD24FA" w:rsidRDefault="00317FD1" w:rsidP="00317FD1">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Intron</w:t>
            </w:r>
          </w:p>
        </w:tc>
        <w:tc>
          <w:tcPr>
            <w:tcW w:w="1416" w:type="pct"/>
            <w:tcBorders>
              <w:top w:val="single" w:sz="4" w:space="0" w:color="auto"/>
              <w:left w:val="single" w:sz="4" w:space="0" w:color="auto"/>
              <w:bottom w:val="single" w:sz="4" w:space="0" w:color="auto"/>
              <w:right w:val="single" w:sz="4" w:space="0" w:color="auto"/>
            </w:tcBorders>
            <w:hideMark/>
          </w:tcPr>
          <w:p w14:paraId="19038841" w14:textId="39C9B5CD" w:rsidR="00317FD1" w:rsidRPr="00DD24FA" w:rsidRDefault="00317FD1" w:rsidP="00317FD1">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Pr="00DD24FA">
              <w:rPr>
                <w:rFonts w:ascii="Times New Roman" w:hAnsi="Times New Roman" w:cs="Times New Roman"/>
                <w:sz w:val="18"/>
                <w:szCs w:val="18"/>
              </w:rPr>
              <w:instrText>ADDIN CSL_CITATION {"citationItems":[{"id":"ITEM-1","itemData":{"DOI":"10.1016/j.diabres.2017.02.006","ISSN":"18728227","PMID":"28237857","abstract":"Background The pleckstrin and Sec7 domain-containing 3 (PSD3) gene has been linked to immune diseases. We examined whether the genetic variants within the PSD3 gene are associated with obesity, type 2 diabetes (T2D), and high-density lipoprotein (HDL) cholesterol level. Methods Multiple logistic regression model and linear regression model were used to examine the associations of 259 single nucleotide polymorphisms (SNPs) within the PSD3 gene with obesity and T2D as binary traits, and HDL level as a continuous trait using the Marshfield data, respectively. A replication study of obesity was conducted using the Health Aging and Body Composition (Health ABC) sample. Results 23 SNPs were associated with obesity (p &lt; 0.05) in the Marshfield sample and rs4921966 revealed the strongest association (p = 3.97 × 10−6). Of the 23 SNPs, 20 were significantly associated with obesity in the meta-analysis of two samples (p &lt; 0.05). Furthermore, 6 SNPs revealed associations with T2D in the Marshfield data (top SNP rs12156368 with p = 3.05 × 10−3); while two SNPs (rs6983992 and rs7843239) were associated with both obesity and T2D (p = 0.0188 and 0.023 for obesity and p = 8.47 × 10−3 and 0.0128 for T2D, respectively). Furthermore, 11 SNPs revealed associations with HDL level (top SNP rs13254772 with p = 2.79 × 10−3) in the Marshfield data; meanwhile rs7009615 was associated with both T2D (p = 0.038) and HDL level (p = 4.44 × 10−3). In addition, haplotype analyses further supported the results of single SNP analysis. Conclusions Common variants in PSD3 were associated with obesity, T2D and HDL level. These findings add important new insights into the pathogenesis of obesity, T2D and HDL cholesterol.","author":[{"dropping-particle":"","family":"Gong","given":"Shaoqing","non-dropping-particle":"","parse-names":false,"suffix":""},{"dropping-particle":"","family":"Xu","given":"Chun","non-dropping-particle":"","parse-names":false,"suffix":""},{"dropping-particle":"","family":"Wang","given":"Liang","non-dropping-particle":"","parse-names":false,"suffix":""},{"dropping-particle":"","family":"Liu","given":"Ying","non-dropping-particle":"","parse-names":false,"suffix":""},{"dropping-particle":"","family":"Owusu","given":"Daniel","non-dropping-particle":"","parse-names":false,"suffix":""},{"dropping-particle":"","family":"Bailey","given":"Beth A.","non-dropping-particle":"","parse-names":false,"suffix":""},{"dropping-particle":"","family":"Li","given":"Yujing","non-dropping-particle":"","parse-names":false,"suffix":""},{"dropping-particle":"","family":"Wang","given":"Kesheng","non-dropping-particle":"","parse-names":false,"suffix":""}],"container-title":"Diabetes Research and Clinical Practice","id":"ITEM-1","issued":{"date-parts":[["2017","4","1"]]},"page":"105-114","publisher":"Elsevier Ireland Ltd","title":"Genetic association analysis of polymorphisms in PSD3 gene with obesity, type 2 diabetes, and HDL cholesterol","type":"article-journal","volume":"126"},"uris":["http://www.mendeley.com/documents/?uuid=3143f31c-7f97-395b-939b-b353f1ec2015"]},{"id":"ITEM-2","itemData":{"DOI":"10.1186/1471-2156-12-43","ISSN":"14712156","abstract":"Background: Identifying genomic regions, and preferably individual genes, responsible for genetic variation in milk fat composition of bovine milk will enhance the understanding of biological pathways involved in fatty acid synthesis and may point to opportunities for changing milk fat composition via selective breeding. An association study of 50,000 single nucleotide polymorphisms (SNPs) was performed for even-chain saturated fatty acids (C4:0-C18:0), even-chain monounsaturated fatty acids (C10:1-C18:1), and the polyunsaturated C18:2cis9,trans11 (CLA) to identify genomic regions associated with individual fatty acids in bovine milk.Results: The two-step single SNP association analysis found a total of 54 regions on 29 chromosomes that were significantly associated with one or more fatty acids. Bos taurus autosomes (BTA) 14, 19, and 26 showed highly significant associations with seven to ten traits, explaining a relatively large percentage of the total additive genetic variation. Many additional regions were significantly associated with the fatty acids. Some of the regions harbor genes that are known to be involved in fat synthesis or were previously identified as underlying quantitative trait loci for fat yield or content, such as ABCG2 and PPARGC1A on BTA 6; ACSS2 on BTA 13; DGAT1 on BTA 14; ACLY, SREBF1, STAT5A, GH, and FASN on BTA 19; SCD1 on BTA26; and AGPAT6 on BTA 27.Conclusions: Medium chain and unsaturated fatty acids are strongly influenced by polymorphisms in DGAT1 and SCD1. Other regions also showed significant associations with the fatty acids studied. These additional regions explain a relatively small percentage of the total additive genetic variance, but they are relevant to the total genetic merit of an individual and in unraveling the genetic background of milk fat composition. Regions identified in this study can be fine mapped to find causal mutations. The results also create opportunities for changing milk fat composition through breeding by selecting individuals based on their genetic merit for milk fat composition. © 2011 Bouwman et al; licensee BioMed Central Ltd.","author":[{"dropping-particle":"","family":"Bouwman","given":"Aniek C.","non-dropping-particle":"","parse-names":false,"suffix":""},{"dropping-particle":"","family":"Bovenhuis","given":"Henk","non-dropping-particle":"","parse-names":false,"suffix":""},{"dropping-particle":"","family":"Visker","given":"Marleen H.P.W.","non-dropping-particle":"","parse-names":false,"suffix":""},{"dropping-particle":"","family":"Arendonk","given":"Johan A.M.","non-dropping-particle":"van","parse-names":false,"suffix":""}],"container-title":"BMC Genetics","id":"ITEM-2","issue":"1","issued":{"date-parts":[["2011","5","11"]]},"page":"43","publisher":"BioMed Central","title":"Genome-wide association of milk fatty acids in Dutch dairy cattle","type":"article-journal","volume":"12"},"uris":["http://www.mendeley.com/documents/?uuid=0f15dbc4-c695-3a02-ad66-c60155b21f97"]},{"id":"ITEM-3","itemData":{"DOI":"10.1186/1471-2156-13-21","ISSN":"14712156","PMID":"22449276","abstract":"Background: Contemporary dairy breeding goals have broadened to include, along with milk production traits, a number of non-production-related traits in an effort to improve the overall functionality of the dairy cow. Increased indirect selection for resistance to mastitis, one of the most important production-related diseases in the dairy sector, via selection for reduced somatic cell count has been part of these broadened goals. A number of genome-wide association studies have identified genetic variants associated with milk production traits and mastitis resistance, however the majority of these studies have been based on animals which were predominantly kept in confinement and fed a concentrate-based diet (i.e. high-input production systems). This genome-wide association study aims to detect associations using genotypic and phenotypic data from Irish Holstein-Friesian cattle fed predominantly grazed grass in a pasture-based production system (low-input).Results: Significant associations were detected for milk yield, fat yield, protein yield, fat percentage, protein percentage and somatic cell score using separate single-locus, frequentist and multi-locus, Bayesian approaches. These associations were detected using two separate populations of Holstein-Friesian sires and cows. In total, 1,529 and 37 associations were detected in the sires using a single SNP regression and a Bayesian method, respectively. There were 103 associations in common between the sires and cows across all the traits. As well as detecting associations within known QTL regions, a number of novel associations were detected; the most notable of these was a region of chromosome 13 associated with milk yield in the population of Holstein-Friesian sires.Conclusions: A total of 276 of novel SNPs were detected in the sires using a single SNP regression approach. Although obvious candidate genes may not be initially forthcoming, this study provides a preliminary framework upon which to identify the causal mechanisms underlying the various milk production traits and somatic cell score. Consequently this will deepen our understanding of how these traits are expressed. © 2012 Meredith et al; licensee BioMed Central Ltd.","author":[{"dropping-particle":"","family":"Meredith","given":"Brian K.","non-dropping-particle":"","parse-names":false,"suffix":""},{"dropping-particle":"","family":"Kearney","given":"Francis J.","non-dropping-particle":"","parse-names":false,"suffix":""},{"dropping-particle":"","family":"Finlay","given":"Emma K.","non-dropping-particle":"","parse-names":false,"suffix":""},{"dropping-particle":"","family":"Bradley","given":"Daniel G.","non-dropping-particle":"","parse-names":false,"suffix":""},{"dropping-particle":"","family":"Fahey","given":"Alan G.","non-dropping-particle":"","parse-names":false,"suffix":""},{"dropping-particle":"","family":"Berry","given":"Donagh P.","non-dropping-particle":"","parse-names":false,"suffix":""},{"dropping-particle":"","family":"Lynn","given":"David J.","non-dropping-particle":"","parse-names":false,"suffix":""}],"container-title":"BMC Genetics","id":"ITEM-3","issue":"1","issued":{"date-parts":[["2012","3","26"]]},"page":"21","publisher":"BioMed Central","title":"Genome-wide associations for milk production and somatic cell score in Holstein-Friesian cattle in Ireland","type":"article-journal","volume":"13"},"uris":["http://www.mendeley.com/documents/?uuid=120c3a2d-4807-3f2e-b4ba-7fbf90b7964d"]},{"id":"ITEM-4","itemData":{"DOI":"10.1038/srep31109","ISSN":"20452322","PMID":"27506634","abstract":"High-throughput sequencing technologies have increased the ability to detect sequence variations for complex trait improvement. A high throughput genome wide genotyping-by-sequencing (GBS) method was used to generate 515,787 single nucleotide polymorphisms (SNPs), from which 76,355 SNPs with call rates &gt;85% and minor allele frequency ≥1.5% were used in genome wide association study (GWAS) of 44 milk traits in 1,246 Canadian Holstein cows. GWAS was accomplished with a mixed linear model procedure implementing the additive and dominant models. A strong signal within the centromeric region of bovine chromosome 14 was associated with test day fat percentage. Several SNPs were associated with eicosapentaenoic acid, docosapentaenoic acid, arachidonic acid, CLA:9c11t and gamma linolenic acid. Most of the significant SNPs for 44 traits studied are novel and located in intergenic regions or introns of genes. Novel potential candidate genes for milk traits or mammary gland functions include ERCC6, TONSL, NPAS2, ACER3, ITGB4, GGT6, ACOX3, MECR, ADAM12, ACHE, LRRC14, FUK, NPRL3, EVL, SLCO3A1, PSMA4, FTO, ADCK5, PP1R16A and TEP1. Our study further demonstrates the utility of the GBS approach for identifying population-specific SNPs for use in improvement of complex dairy traits.","author":[{"dropping-particle":"","family":"Ibeagha-Awemu","given":"Eveline M.","non-dropping-particle":"","parse-names":false,"suffix":""},{"dropping-particle":"","family":"Peters","given":"Sunday O.","non-dropping-particle":"","parse-names":false,"suffix":""},{"dropping-particle":"","family":"Akwanji","given":"Kingsley A.","non-dropping-particle":"","parse-names":false,"suffix":""},{"dropping-particle":"","family":"Imumorin","given":"Ikhide G.","non-dropping-particle":"","parse-names":false,"suffix":""},{"dropping-particle":"","family":"Zhao","given":"Xin","non-dropping-particle":"","parse-names":false,"suffix":""}],"container-title":"Scientific Reports","id":"ITEM-4","issue":"1","issued":{"date-parts":[["2016","8","10"]]},"page":"1-18","publisher":"Nature Publishing Group","title":"High density genome wide genotyping-by-sequencing and association identifies common and low frequency SNPs, and novel candidate genes influencing cow milk traits","type":"article-journal","volume":"6"},"uris":["http://www.mendeley.com/documents/?uuid=62cbc5cd-f96c-37d4-9eff-49acc72ad82b"]},{"id":"ITEM-5","itemData":{"DOI":"10.1371/journal.pone.0139906","ISSN":"1932-6203","abstract":"Understanding the genetic architecture of beef cattle growth cannot be limited simply to the genome-wide association study (GWAS) for body weight at any specific ages, but should be extended to a more general purpose by considering the whole growth trajectory over time using a growth curve approach. For such an approach, the parameters that are used to describe growth curves were treated as phenotypes under a GWAS model. Data from 1,255 Brahman cattle that were weighed at birth, 6, 12, 15, 18, and 24 months of age were analyzed. Parameter estimates, such as mature weight (A) and maturity rate (K) from nonlinear models are utilized as substitutes for the original body weights for the GWAS analysis. We chose the best nonlinear model to describe the weight-age data, and the estimated parameters were used as phenotypes in a multi-trait GWAS. Our aims were to identify and characterize associated SNP markers to indicate SNP-derived candidate genes and annotate their function as related to growth processes in beef cattle. The Brody model presented the best goodness of fit, and the heritability values for the parameter estimates for mature weight (A) and maturity rate (K) were 0.23 and 0.32, respectively, proving that these traits can be a feasible alternative when the objective is to change the shape of growth curves within genetic improvement programs. The genetic correlation between A and K was -0.84, indicating that animals with lower mature body weights reached that weight at younger ages. One hundred and sixty seven (167) and two hundred and sixty two (262) significant SNPs were associated with A and K, respectively. The annotated genes closest to the most significant SNPs for A had direct biological functions related to muscle development (RAB28), myogenic induction (BTG1), fetal growth (IL2), and body weights (APEX2); K genes were functionally associated with body weight, body height, average daily gain (TMEM18), and skeletal muscle development (SMN1). Candidate genes emerging from this GWAS may inform the search for causative mutations that could underpin genomic breeding for improved growth rates. Copyright:","author":[{"dropping-particle":"","family":"Crispim","given":"Aline Camporez","non-dropping-particle":"","parse-names":false,"suffix":""},{"dropping-particle":"","family":"Kelly","given":"Matthew John","non-dropping-particle":"","parse-names":false,"suffix":""},{"dropping-particle":"","family":"Guimarães","given":"Simone Eliza Facioni","non-dropping-particle":"","parse-names":false,"suffix":""},{"dropping-particle":"","family":"e Silva","given":"Fabyano Fonseca","non-dropping-particle":"","parse-names":false,"suffix":""},{"dropping-particle":"","family":"Fortes","given":"Marina Rufino Salinas","non-dropping-particle":"","parse-names":false,"suffix":""},{"dropping-particle":"","family":"Wenceslau","given":"Raphael Rocha","non-dropping-particle":"","parse-names":false,"suffix":""},{"dropping-particle":"","family":"Moore","given":"Stephen","non-dropping-particle":"","parse-names":false,"suffix":""}],"container-title":"PLOS ONE","editor":[{"dropping-particle":"","family":"Wu","given":"Rongling","non-dropping-particle":"","parse-names":false,"suffix":""}],"id":"ITEM-5","issue":"10","issued":{"date-parts":[["2015","10","7"]]},"page":"e0139906","publisher":"Public Library of Science","title":"Multi-Trait GWAS and New Candidate Genes Annotation for Growth Curve Parameters in Brahman Cattle","type":"article-journal","volume":"10"},"uris":["http://www.mendeley.com/documents/?uuid=a625c335-e6e2-3d56-9700-f72ce8d1ba77"]},{"id":"ITEM-6","itemData":{"DOI":"10.1111/age.12865","PMID":"31633203","abstract":"GWAS has been proven to be a powerful tool for detecting genetic variants associated with economically important traits such as production, 1,2 body conformation 3,4 and reproduction traits, 5 and diseases. 6 The objective of this study was to identify SNPs with significant association effects on body conformation traits in Chinese Holstein through the GWAS approach. The experimental population consisted of 445 Chinese Holstein cows, with parity no. 2, raised at four farms in Shandong province of China. Hair follicle samples were collected individually within four days in the same season. In total, 29 body conformation traits were analyzed by GWAS. There were 23 phenotypes measured individually on 1-9 scores, which were body height, height at front end, body depth, chest width, stature, angularity, rump angle (RA), pin width, loin strength, foot angle, heel depth, bone quality, rear legs-side view, rear legs-rear view, udder depth, udder texture, median suspensory, fore udder attachment, front teat placement, attachment height, attachment width (AW), rear teat placement and teat length. The remaining six functional body conforma-tion traits, measured on 1-100 scores, were stature score, rump system score, feet and legs score, udder system score, mammary system score and conformation final score (FS). The definitions of these conformation traits for cattle are available on the website of Canadian Dairy Network (https://www.cdn.ca/articles.php). The summary statistics of these phenotypes are listed in Table S1. Each experimental animal was genotyped by the GGP BovineLD V3 SNP chip, containing 26 151 public SNPs. Because all of the animals in these study populations were female, the SNPs from the X chromosome were also counted. The data quality control procedure excluded individuals with more than 10% missing genotypes and SNPs with a call rate of less than 90%, MAF less than 3% or P-value of the Hardy-Weinberg Equilibrium test less than 1.0E À 6. Finally, 421 animals with 20 632 SNP genotypes were retained for the subsequent GWAS analysis. Physical map length, the number of SNPs and SNP density on each chromosome based on reference genome UMD3.1, before and after the data cleaning procedure, are shown in Table S2. Results of pair-wise LD analysis of the 421 animals from four different farms showed high similarity of LD patterns among the whole population, indicating that similar breeding histories were shared by the four subpopulations (data not provided)…","author":[{"dropping-particle":"","family":"Yan","given":"Zhengui","non-dropping-particle":"","parse-names":false,"suffix":""},{"dropping-particle":"","family":"Wang","given":"Zhonghua","non-dropping-particle":"","parse-names":false,"suffix":""},{"dropping-particle":"","family":"Zhang","given":"Qin","non-dropping-particle":"","parse-names":false,"suffix":""},{"dropping-particle":"","family":"Yue","given":"Shujian","non-dropping-particle":"","parse-names":false,"suffix":""},{"dropping-particle":"","family":"Yin","given":"Bin","non-dropping-particle":"","parse-names":false,"suffix":""},{"dropping-particle":"","family":"Jiang","given":"Yunliang","non-dropping-particle":"","parse-names":false,"suffix":""},{"dropping-particle":"","family":"Shi","given":"Kerong","non-dropping-particle":"","parse-names":false,"suffix":""}],"container-title":"Animal Genetics","id":"ITEM-6","issue":"1","issued":{"date-parts":[["2020","2"]]},"page":"141-146","publisher":"Blackwell Publishing Ltd","title":"Identification of whole‐genome significant single nucleotide polymorphisms in candidate genes associated with body conformation traits in Chinese Holstein cattle","type":"article-journal","volume":"51"},"uris":["http://www.mendeley.com/documents/?uuid=6e36cd72-40aa-472f-a897-f04b9aca38d6"]},{"id":"ITEM-7","itemData":{"DOI":"10.1186/s12864-019-5935-3","ISSN":"14712164","PMID":"31299913","abstract":"Background: Subfertility is one challenge facing the dairy industry as the average Holstein heifer conception rate (HCR), the proportion of heifers that conceive and maintain a pregnancy per breeding, is estimated at 55-60%. Of the loci associated with HCR, few have been validated in an independent cattle population, limiting their usefulness for selection or furthering our understanding of the mechanisms involved in successful pregnancy. Therefore, the objectives here were to identify loci associated with HCR: 1) to the first artificial insemination (AI) service (HCR1), 2) to repeated AI services required for a heifer to conceive (TBRD) and 3) to validate loci previously associated with fertility. Breeding and health records from 3359 Holstein heifers were obtained after heifers were bred by AI at observed estrus, with pregnancy determined at day 35 via palpation. Heifer DNA was genotyped using the Illumina BovineHD BeadChip, and genome-wide association analyses (GWAA) were performed with additive, dominant and recessive models using the Efficient Mixed Model Association eXpedited (EMMAX) method with a relationship matrix for two phenotypes. The HCR1 GWAA compared heifers that were pregnant after the first AI service (n = 497) to heifers that were open following the first AI service (n = 405), which included those that never conceived. The TBRD GWAA compared only those heifers which did conceive, across variable numbers of AI service (n = 712). Comparison of loci previously associated with fertility, HCR1 or TBRD were considered the same locus for validation when in linkage disequilibrium (D' &gt; 0.7). Results: The HCR1 GWAA identified 116, 187 and 28 loci associated (P &lt; 5 × 10- 8) in additive, dominant and recessive models, respectively. The TBRD GWAA identified 235, 362, and 69 QTL associated (P &lt; 5 × 10- 8) with additive, dominant and recessive models, respectively. Loci previously associated with fertility were in linkage disequilibrium with 22 loci shared with HCR1 and TBRD, 5 HCR1 and 19 TBRD loci. Conclusions: Loci associated with HCR1 and TBRD that have been identified and validated can be used to improve HCR through genomic selection, and to better understand possible mechanisms associated with subfertility.","author":[{"dropping-particle":"","family":"Kiser","given":"Jennifer N.","non-dropping-particle":"","parse-names":false,"suffix":""},{"dropping-particle":"","family":"Keuter","given":"Elizabeth M.","non-dropping-particle":"","parse-names":false,"suffix":""},{"dropping-particle":"","family":"Seabury","given":"Christopher M.","non-dropping-particle":"","parse-names":false,"suffix":""},{"dropping-particle":"","family":"Neupane","given":"Mahesh","non-dropping-particle":"","parse-names":false,"suffix":""},{"dropping-particle":"","family":"Moraes","given":"Joao G.N.","non-dropping-particle":"","parse-names":false,"suffix":""},{"dropping-particle":"","family":"Dalton","given":"Joseph","non-dropping-particle":"","parse-names":false,"suffix":""},{"dropping-particle":"","family":"Burns","given":"Gregory W.","non-dropping-particle":"","parse-names":false,"suffix":""},{"dropping-particle":"","family":"Spencer","given":"Thomas E.","non-dropping-particle":"","parse-names":false,"suffix":""},{"dropping-particle":"","family":"Neibergs","given":"Holly L.","non-dropping-particle":"","parse-names":false,"suffix":""}],"container-title":"BMC Genomics","id":"ITEM-7","issue":"1","issued":{"date-parts":[["2019","7","12"]]},"page":"576","publisher":"BioMed Central Ltd.","title":"Validation of 46 loci associated with female fertility traits in cattle","type":"article-journal","volume":"20"},"uris":["http://www.mendeley.com/documents/?uuid=89eb3da7-d86c-3efc-9759-112ebb7713bc"]},{"id":"ITEM-8","itemData":{"DOI":"10.1186/s12864-017-4308-z","abstract":"Background: The detection of quantitative trait loci has accelerated with recent developments in genomics. The introduction of genomic selection in combination with sequencing efforts has made a large amount of genotypic data available. Functional traits such as fertility and calving traits have been included in routine genomic estimation of breeding values making large quantities of phenotypic data available for these traits. This data was used to investigate the genetics underlying fertility and calving traits and to identify potentially causative genomic regions and variants. We performed genome-wide association studies for 13 functional traits related to female fertility as well as for direct and maternal calving ease based on imputed whole-genome sequences. Deregressed breeding values from ~1000-5000 bulls per trait were used to test for associations with approximately 10 million imputed sequence SNPs.","author":[{"dropping-particle":"","family":"Frischknecht","given":"Mirjam","non-dropping-particle":"","parse-names":false,"suffix":""},{"dropping-particle":"","family":"Seefried","given":"Franz R","non-dropping-particle":"","parse-names":false,"suffix":""},{"dropping-particle":"","family":"Signer-Hasler","given":"Heidi","non-dropping-particle":"","parse-names":false,"suffix":""},{"dropping-particle":"","family":"Garrick","given":"Dorian","non-dropping-particle":"","parse-names":false,"suffix":""},{"dropping-particle":"","family":"Stricker","given":"Christian","non-dropping-particle":"","parse-names":false,"suffix":""},{"dropping-particle":"","family":"Consortium","given":"Intergenomics","non-dropping-particle":"","parse-names":false,"suffix":""},{"dropping-particle":"","family":"Fries","given":"Ruedi","non-dropping-particle":"","parse-names":false,"suffix":""},{"dropping-particle":"","family":"Russ","given":"Ingolf","non-dropping-particle":"","parse-names":false,"suffix":""},{"dropping-particle":"","family":"Sölkner","given":"Johann","non-dropping-particle":"","parse-names":false,"suffix":""},{"dropping-particle":"","family":"Bieber","given":"Anna","non-dropping-particle":"","parse-names":false,"suffix":""},{"dropping-particle":"","family":"Strillacci","given":"Maria G","non-dropping-particle":"","parse-names":false,"suffix":""},{"dropping-particle":"","family":"Gredler-Grandl","given":"Birgit","non-dropping-particle":"","parse-names":false,"suffix":""},{"dropping-particle":"","family":"Flury","given":"Christine","non-dropping-particle":"","parse-names":false,"suffix":""}],"container-title":"BMC Genomics","id":"ITEM-8","issue":"910","issued":{"date-parts":[["2017"]]},"page":"1-13","title":"Genome-wide association studies of fertility and calving traits in Brown Swiss cattle using imputed whole-genome sequences","type":"article-journal","volume":"18"},"uris":["http://www.mendeley.com/documents/?uuid=cd19663a-e5d3-3df5-a013-1f56b3b3a75d"]}],"mendeley":{"formattedCitation":"[2, 3, 7, 33, 38, 58–60]","plainTextFormattedCitation":"[2, 3, 7, 33, 38, 58–60]","previouslyFormattedCitation":"[2, 3, 7, 33, 38, 58–60]"},"properties":{"noteIndex":0},"schema":"https://github.com/citation-style-language/schema/raw/master/csl-citation.json"}</w:instrText>
            </w:r>
            <w:r w:rsidRPr="00DD24FA">
              <w:rPr>
                <w:rFonts w:ascii="Times New Roman" w:hAnsi="Times New Roman" w:cs="Times New Roman"/>
                <w:sz w:val="18"/>
                <w:szCs w:val="18"/>
              </w:rPr>
              <w:fldChar w:fldCharType="separate"/>
            </w:r>
            <w:r w:rsidRPr="00DD24FA">
              <w:rPr>
                <w:rFonts w:ascii="Times New Roman" w:hAnsi="Times New Roman" w:cs="Times New Roman"/>
                <w:noProof/>
                <w:sz w:val="18"/>
                <w:szCs w:val="18"/>
              </w:rPr>
              <w:t>[2, 3, 7, 33, 38, 58–60]</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Human, cattle; Obesity and type II diabetes, milk fat percentage, mature weight, body height, intramuscular fat, shear force, conception rate</w:t>
            </w:r>
          </w:p>
        </w:tc>
      </w:tr>
      <w:tr w:rsidR="00DD24FA" w14:paraId="39154EAE"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02BD0465" w14:textId="16D40778" w:rsidR="0013515C" w:rsidRPr="00DD24FA" w:rsidRDefault="0013515C" w:rsidP="00267B98">
            <w:pPr>
              <w:spacing w:after="0" w:line="240" w:lineRule="auto"/>
              <w:contextualSpacing/>
              <w:jc w:val="center"/>
              <w:rPr>
                <w:rFonts w:ascii="Times New Roman" w:hAnsi="Times New Roman" w:cs="Times New Roman"/>
                <w:i/>
                <w:sz w:val="18"/>
                <w:szCs w:val="18"/>
                <w:vertAlign w:val="superscript"/>
              </w:rPr>
            </w:pPr>
            <w:r w:rsidRPr="00DD24FA">
              <w:rPr>
                <w:rFonts w:ascii="Times New Roman" w:hAnsi="Times New Roman" w:cs="Times New Roman"/>
                <w:i/>
                <w:sz w:val="18"/>
                <w:szCs w:val="18"/>
              </w:rPr>
              <w:t>14_58</w:t>
            </w:r>
            <w:r w:rsidR="001C4707" w:rsidRPr="00DD24FA">
              <w:rPr>
                <w:rFonts w:ascii="Times New Roman" w:hAnsi="Times New Roman" w:cs="Times New Roman"/>
                <w:i/>
                <w:sz w:val="18"/>
                <w:szCs w:val="18"/>
                <w:vertAlign w:val="superscript"/>
              </w:rPr>
              <w:t>g</w:t>
            </w:r>
          </w:p>
        </w:tc>
        <w:tc>
          <w:tcPr>
            <w:tcW w:w="369" w:type="pct"/>
            <w:tcBorders>
              <w:top w:val="single" w:sz="4" w:space="0" w:color="auto"/>
              <w:left w:val="single" w:sz="4" w:space="0" w:color="auto"/>
              <w:bottom w:val="single" w:sz="4" w:space="0" w:color="auto"/>
              <w:right w:val="single" w:sz="4" w:space="0" w:color="auto"/>
            </w:tcBorders>
            <w:hideMark/>
          </w:tcPr>
          <w:p w14:paraId="285E546F"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5.509</w:t>
            </w:r>
          </w:p>
        </w:tc>
        <w:tc>
          <w:tcPr>
            <w:tcW w:w="554" w:type="pct"/>
            <w:tcBorders>
              <w:top w:val="single" w:sz="4" w:space="0" w:color="auto"/>
              <w:left w:val="single" w:sz="4" w:space="0" w:color="auto"/>
              <w:bottom w:val="single" w:sz="4" w:space="0" w:color="auto"/>
              <w:right w:val="single" w:sz="4" w:space="0" w:color="auto"/>
            </w:tcBorders>
            <w:hideMark/>
          </w:tcPr>
          <w:p w14:paraId="45D9F394"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-18.835</w:t>
            </w:r>
          </w:p>
        </w:tc>
        <w:tc>
          <w:tcPr>
            <w:tcW w:w="328" w:type="pct"/>
            <w:tcBorders>
              <w:top w:val="single" w:sz="4" w:space="0" w:color="auto"/>
              <w:left w:val="single" w:sz="4" w:space="0" w:color="auto"/>
              <w:bottom w:val="single" w:sz="4" w:space="0" w:color="auto"/>
              <w:right w:val="single" w:sz="4" w:space="0" w:color="auto"/>
            </w:tcBorders>
            <w:hideMark/>
          </w:tcPr>
          <w:p w14:paraId="556249A9"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0.401</w:t>
            </w:r>
          </w:p>
        </w:tc>
        <w:tc>
          <w:tcPr>
            <w:tcW w:w="570" w:type="pct"/>
            <w:tcBorders>
              <w:top w:val="single" w:sz="4" w:space="0" w:color="auto"/>
              <w:left w:val="single" w:sz="4" w:space="0" w:color="auto"/>
              <w:bottom w:val="single" w:sz="4" w:space="0" w:color="auto"/>
              <w:right w:val="single" w:sz="4" w:space="0" w:color="auto"/>
            </w:tcBorders>
            <w:hideMark/>
          </w:tcPr>
          <w:p w14:paraId="36B0AA84"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4</w:t>
            </w:r>
          </w:p>
        </w:tc>
        <w:tc>
          <w:tcPr>
            <w:tcW w:w="795" w:type="pct"/>
            <w:tcBorders>
              <w:top w:val="single" w:sz="4" w:space="0" w:color="auto"/>
              <w:left w:val="single" w:sz="4" w:space="0" w:color="auto"/>
              <w:bottom w:val="single" w:sz="4" w:space="0" w:color="auto"/>
              <w:right w:val="single" w:sz="4" w:space="0" w:color="auto"/>
            </w:tcBorders>
            <w:hideMark/>
          </w:tcPr>
          <w:p w14:paraId="328A66CA" w14:textId="77777777" w:rsidR="0013515C" w:rsidRPr="00DD24FA" w:rsidRDefault="0013515C" w:rsidP="00267B98">
            <w:pPr>
              <w:spacing w:after="0" w:line="240" w:lineRule="auto"/>
              <w:contextualSpacing/>
              <w:jc w:val="center"/>
              <w:rPr>
                <w:rFonts w:ascii="Times New Roman" w:hAnsi="Times New Roman" w:cs="Times New Roman"/>
                <w:i/>
                <w:iCs/>
                <w:color w:val="000000"/>
                <w:sz w:val="18"/>
                <w:szCs w:val="18"/>
              </w:rPr>
            </w:pPr>
            <w:r w:rsidRPr="00DD24FA">
              <w:rPr>
                <w:rFonts w:ascii="Times New Roman" w:hAnsi="Times New Roman" w:cs="Times New Roman"/>
                <w:i/>
                <w:iCs/>
                <w:color w:val="000000"/>
                <w:sz w:val="18"/>
                <w:szCs w:val="18"/>
              </w:rPr>
              <w:t>OXR1</w:t>
            </w:r>
          </w:p>
        </w:tc>
        <w:tc>
          <w:tcPr>
            <w:tcW w:w="472" w:type="pct"/>
            <w:tcBorders>
              <w:top w:val="single" w:sz="4" w:space="0" w:color="auto"/>
              <w:left w:val="single" w:sz="4" w:space="0" w:color="auto"/>
              <w:bottom w:val="single" w:sz="4" w:space="0" w:color="auto"/>
              <w:right w:val="single" w:sz="4" w:space="0" w:color="auto"/>
            </w:tcBorders>
            <w:hideMark/>
          </w:tcPr>
          <w:p w14:paraId="02962F40"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Intron</w:t>
            </w:r>
          </w:p>
        </w:tc>
        <w:tc>
          <w:tcPr>
            <w:tcW w:w="1416" w:type="pct"/>
            <w:tcBorders>
              <w:top w:val="single" w:sz="4" w:space="0" w:color="auto"/>
              <w:left w:val="single" w:sz="4" w:space="0" w:color="auto"/>
              <w:bottom w:val="single" w:sz="4" w:space="0" w:color="auto"/>
              <w:right w:val="single" w:sz="4" w:space="0" w:color="auto"/>
            </w:tcBorders>
            <w:hideMark/>
          </w:tcPr>
          <w:p w14:paraId="569F51E3" w14:textId="66A1D370" w:rsidR="0013515C" w:rsidRPr="00DD24FA" w:rsidRDefault="0013515C"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317FD1" w:rsidRPr="00DD24FA">
              <w:rPr>
                <w:rFonts w:ascii="Times New Roman" w:hAnsi="Times New Roman" w:cs="Times New Roman"/>
                <w:sz w:val="18"/>
                <w:szCs w:val="18"/>
              </w:rPr>
              <w:instrText>ADDIN CSL_CITATION {"citationItems":[{"id":"ITEM-1","itemData":{"DOI":"10.1038/srep17409","ISSN":"20452322","PMID":"26616534","abstract":"The oxidation resistance gene 1 (OXR1) is crucial for protecting against oxidative stress; however, its molecular function is unknown. We employed RNA sequencing to examine the role of human OXR1 for genome wide transcription regulation. In total, in non-treated and hydrogen peroxide exposed HeLa cells, OXR1 depletion resulted in down-regulation of 554 genes and up-regulation of 253 genes. These differentially expressed genes include transcription factors (i.e. HIF1A, SP6, E2F8 and TCF3), antioxidant genes (PRDX4, PTGS1 and CYGB) and numerous genes of the p53 signaling pathway involved in cell-cycle arrest (i.e. cyclin D, CDK6 and RPRM) and apoptosis (i.e. CytC and CASP9). We demonstrated that OXR1 depleted cells undergo cell cycle arrest in G2/M phase during oxidative stress and increase protein expression of the apoptosis initiator protease CASP9. In summary, OXR1 may act as a sensor of cellular oxidative stress to regulate the transcriptional networks required to detoxify reactive oxygen species and modulate cell cycle and apoptosis.","author":[{"dropping-particle":"","family":"Yang","given":"Mingyi","non-dropping-particle":"","parse-names":false,"suffix":""},{"dropping-particle":"","family":"Lin","given":"Xiaolin","non-dropping-particle":"","parse-names":false,"suffix":""},{"dropping-particle":"","family":"Rowe","given":"Alexander","non-dropping-particle":"","parse-names":false,"suffix":""},{"dropping-particle":"","family":"Rognes","given":"Torbjørn","non-dropping-particle":"","parse-names":false,"suffix":""},{"dropping-particle":"","family":"Eide","given":"Lars","non-dropping-particle":"","parse-names":false,"suffix":""},{"dropping-particle":"","family":"Bjørås","given":"Magnar","non-dropping-particle":"","parse-names":false,"suffix":""}],"container-title":"Scientific Reports","id":"ITEM-1","issue":"1","issued":{"date-parts":[["2015","11","30"]]},"page":"17409","publisher":"Nature Publishing Group","title":"Transcriptome analysis of human OXR1 depleted cells reveals its role in regulating the p53 signaling pathway","type":"article-journal","volume":"5"},"uris":["http://www.mendeley.com/documents/?uuid=337fb2fa-aa77-3230-b992-b2b9833dc7ec"]},{"id":"ITEM-2","itemData":{"DOI":"10.1371/journal.pgen.1002338","ISSN":"1553-7404","abstract":"Oxidative stress is a common etiological feature of neurological disorders, although the pathways that govern defence against reactive oxygen species (ROS) in neurodegeneration remain unclear. We have identified the role of oxidation resistance 1 (Oxr1) as a vital protein that controls the sensitivity of neuronal cells to oxidative stress; mice lacking Oxr1 display cerebellar neurodegeneration, and neurons are less susceptible to exogenous stress when the gene is over-expressed. A conserved short isoform of Oxr1 is also sufficient to confer this neuroprotective property both in vitro and in vivo. In addition, biochemical assays indicate that Oxr1 itself is susceptible to cysteine-mediated oxidation. Finally we show up-regulation of Oxr1 in both human and pre-symptomatic mouse models of amyotrophic lateral sclerosis, indicating that Oxr1 is potentially a novel neuroprotective factor in neurodegenerative disease. © 2011 Oliver et al.","author":[{"dropping-particle":"","family":"Oliver","given":"Peter L.","non-dropping-particle":"","parse-names":false,"suffix":""},{"dropping-particle":"","family":"Finelli","given":"Mattéa J.","non-dropping-particle":"","parse-names":false,"suffix":""},{"dropping-particle":"","family":"Edwards","given":"Benjamin","non-dropping-particle":"","parse-names":false,"suffix":""},{"dropping-particle":"","family":"Bitoun","given":"Emmanuelle","non-dropping-particle":"","parse-names":false,"suffix":""},{"dropping-particle":"","family":"Butts","given":"Darcy L.","non-dropping-particle":"","parse-names":false,"suffix":""},{"dropping-particle":"","family":"Becker","given":"Esther B. E.","non-dropping-particle":"","parse-names":false,"suffix":""},{"dropping-particle":"","family":"Cheeseman","given":"Michael T.","non-dropping-particle":"","parse-names":false,"suffix":""},{"dropping-particle":"","family":"Davies","given":"Ben","non-dropping-particle":"","parse-names":false,"suffix":""},{"dropping-particle":"","family":"Davies","given":"Kay E.","non-dropping-particle":"","parse-names":false,"suffix":""}],"container-title":"PLoS Genetics","editor":[{"dropping-particle":"","family":"Orr","given":"Harry T.","non-dropping-particle":"","parse-names":false,"suffix":""}],"id":"ITEM-2","issue":"10","issued":{"date-parts":[["2011","10","20"]]},"page":"e1002338","publisher":"Public Library of Science","title":"Oxr1 Is Essential for Protection against Oxidative Stress-Induced Neurodegeneration","type":"article-journal","volume":"7"},"uris":["http://www.mendeley.com/documents/?uuid=b09dbe0b-8e3a-3f56-9bd8-d238f125500e"]},{"id":"ITEM-3","itemData":{"DOI":"10.1152/physiolgenomics.00112.2018.-Car","ISBN":"1400016738","author":[{"dropping-particle":"","family":"Zhang","given":"Rui","non-dropping-particle":"","parse-names":false,"suffix":""},{"dropping-particle":"","family":"Miao","given":"Jian","non-dropping-particle":"","parse-names":false,"suffix":""},{"dropping-particle":"","family":"Song","given":"Yuxin","non-dropping-particle":"","parse-names":false,"suffix":""},{"dropping-particle":"","family":"Zhang","given":"Wengang","non-dropping-particle":"","parse-names":false,"suffix":""},{"dropping-particle":"","family":"Xu","given":"Lingyang","non-dropping-particle":"","parse-names":false,"suffix":""},{"dropping-particle":"","family":"Chen","given":"Yan","non-dropping-particle":"","parse-names":false,"suffix":""},{"dropping-particle":"","family":"Zhang","given":"Lupei","non-dropping-particle":"","parse-names":false,"suffix":""},{"dropping-particle":"","family":"Gao","given":"Huijiang","non-dropping-particle":"","parse-names":false,"suffix":""},{"dropping-particle":"","family":"Zhu","given":"Bo","non-dropping-particle":"","parse-names":false,"suffix":""},{"dropping-particle":"","family":"Li","given":"Junya","non-dropping-particle":"","parse-names":false,"suffix":""},{"dropping-particle":"","family":"Gao","given":"Xue","non-dropping-particle":"","parse-names":false,"suffix":""}],"container-title":"Physiol Genomics","id":"ITEM-3","issued":{"date-parts":[["2019"]]},"page":"137-144","title":"Genome-wide association study identifies the PLAG1-OXR1 region on BTA14 for carcass meat yield in cattle","type":"article-journal","volume":"51"},"uris":["http://www.mendeley.com/documents/?uuid=a9783fa2-d52f-36fd-b7c9-31bff0fe467f"]},{"id":"ITEM-4","itemData":{"DOI":"10.3389/fgene.2017.00171","ISSN":"16648021","PMID":"29163638","abstract":"Improvements in eating satisfaction will benefit consumers and should increase beef demand which is of interest to the beef industry. Tenderness, juiciness, and flavor are major determinants of the palatability of beef and are often used to reflect eating satisfaction. Carcass qualities are used as indicator traits for meat quality, with higher quality grade carcasses expected to relate to more tender and palatable meat. However, meat quality is a complex concept determined by many component traits making interpretation of genome-wide association studies (GWAS) on any one component challenging to interpret. Recent approaches combining traditional GWAS with gene network interactions theory could be more efficient in dissecting the genetic architecture of complex traits. Phenotypic measures of 23 traits reflecting carcass characteristics, components of meat quality, along with mineral and peptide concentrations were used along with Illumina 54k bovine SNP genotypes to derive an annotated gene network associated with meat quality in 2,110 Angus beef cattle. The efficient mixed model association (EMMAX) approach in combination with a genomic relationship matrix was used to directly estimate the associations between 54k SNP genotypes and each of the 23 component traits. Genomic correlated regions were identified by partial correlations which were further used along with an information theory algorithm to derive gene network clusters. Correlated SNP across 23 component traits were subjected to network scoring and visualization software to identify significant SNP. Significant pathways implicated in the meat quality complex through GO term enrichment analysis included angiogenesis, inflammation, transmembrane transporter activity, and receptor activity. These results suggest that network analysis using partial correlations and annotation of significant SNP can reveal the genetic architecture of complex traits and provide novel information regarding biological mechanisms and genes that lead to complex phenotypes, like meat quality, and the nutritional and healthfulness value of beef. Improvements in genome annotation and knowledge of gene function will contribute to more comprehensive analyses that will advance our ability to dissect the complex architecture of complex traits.","author":[{"dropping-particle":"","family":"Mateescu","given":"Raluca G.","non-dropping-particle":"","parse-names":false,"suffix":""},{"dropping-particle":"","family":"Garrick","given":"Dorian J.","non-dropping-particle":"","parse-names":false,"suffix":""},{"dropping-particle":"","family":"Reecy","given":"James M.","non-dropping-particle":"","parse-names":false,"suffix":""}],"container-title":"Frontiers in Genetics","id":"ITEM-4","issue":"NOV","issued":{"date-parts":[["2017","11","6"]]},"publisher":"Frontiers Media S.A.","title":"Network analysis reveals putative genes affecting meat quality in Angus cattle","type":"article-journal","volume":"8"},"uris":["http://www.mendeley.com/documents/?uuid=744a2057-6ff7-30d5-92fa-e1c172410bd9"]},{"id":"ITEM-5","itemData":{"DOI":"10.1186/s12864-019-5935-3","ISSN":"14712164","PMID":"31299913","abstract":"Background: Subfertility is one challenge facing the dairy industry as the average Holstein heifer conception rate (HCR), the proportion of heifers that conceive and maintain a pregnancy per breeding, is estimated at 55-60%. Of the loci associated with HCR, few have been validated in an independent cattle population, limiting their usefulness for selection or furthering our understanding of the mechanisms involved in successful pregnancy. Therefore, the objectives here were to identify loci associated with HCR: 1) to the first artificial insemination (AI) service (HCR1), 2) to repeated AI services required for a heifer to conceive (TBRD) and 3) to validate loci previously associated with fertility. Breeding and health records from 3359 Holstein heifers were obtained after heifers were bred by AI at observed estrus, with pregnancy determined at day 35 via palpation. Heifer DNA was genotyped using the Illumina BovineHD BeadChip, and genome-wide association analyses (GWAA) were performed with additive, dominant and recessive models using the Efficient Mixed Model Association eXpedited (EMMAX) method with a relationship matrix for two phenotypes. The HCR1 GWAA compared heifers that were pregnant after the first AI service (n = 497) to heifers that were open following the first AI service (n = 405), which included those that never conceived. The TBRD GWAA compared only those heifers which did conceive, across variable numbers of AI service (n = 712). Comparison of loci previously associated with fertility, HCR1 or TBRD were considered the same locus for validation when in linkage disequilibrium (D' &gt; 0.7). Results: The HCR1 GWAA identified 116, 187 and 28 loci associated (P &lt; 5 × 10- 8) in additive, dominant and recessive models, respectively. The TBRD GWAA identified 235, 362, and 69 QTL associated (P &lt; 5 × 10- 8) with additive, dominant and recessive models, respectively. Loci previously associated with fertility were in linkage disequilibrium with 22 loci shared with HCR1 and TBRD, 5 HCR1 and 19 TBRD loci. Conclusions: Loci associated with HCR1 and TBRD that have been identified and validated can be used to improve HCR through genomic selection, and to better understand possible mechanisms associated with subfertility.","author":[{"dropping-particle":"","family":"Kiser","given":"Jennifer N.","non-dropping-particle":"","parse-names":false,"suffix":""},{"dropping-particle":"","family":"Keuter","given":"Elizabeth M.","non-dropping-particle":"","parse-names":false,"suffix":""},{"dropping-particle":"","family":"Seabury","given":"Christopher M.","non-dropping-particle":"","parse-names":false,"suffix":""},{"dropping-particle":"","family":"Neupane","given":"Mahesh","non-dropping-particle":"","parse-names":false,"suffix":""},{"dropping-particle":"","family":"Moraes","given":"Joao G.N.","non-dropping-particle":"","parse-names":false,"suffix":""},{"dropping-particle":"","family":"Dalton","given":"Joseph","non-dropping-particle":"","parse-names":false,"suffix":""},{"dropping-particle":"","family":"Burns","given":"Gregory W.","non-dropping-particle":"","parse-names":false,"suffix":""},{"dropping-particle":"","family":"Spencer","given":"Thomas E.","non-dropping-particle":"","parse-names":false,"suffix":""},{"dropping-particle":"","family":"Neibergs","given":"Holly L.","non-dropping-particle":"","parse-names":false,"suffix":""}],"container-title":"BMC Genomics","id":"ITEM-5","issue":"1","issued":{"date-parts":[["2019","7","12"]]},"page":"576","publisher":"BioMed Central Ltd.","title":"Validation of 46 loci associated with female fertility traits in cattle","type":"article-journal","volume":"20"},"uris":["http://www.mendeley.com/documents/?uuid=89eb3da7-d86c-3efc-9759-112ebb7713bc"]},{"id":"ITEM-6","itemData":{"DOI":"10.1186/s40104-017-0199-8","ISSN":"20491891","abstract":"Background: Beef cattle breeding programs in Brazil have placed greater emphasis on the genomic study of reproductive traits of males and females due to their economic importance. In this study, genome-wide associations were assessed for scrotal circumference at 210d of age, scrotal circumference at 420d of age, age at first calving, and age at second calving, in Canchim beef cattle. Data quality control was conducted resulting in 672,778 SNPs and 392 animals. Results: Associated SNPs were observed for scrotal circumference at 420d of age (435 SNPs), followed by scrotal circumference at 210d of age (12 SNPs), age at first calving (six SNPs), and age at second calving (four SNPs). We investigated whether significant SNPs were within genic or surrounding regions. Biological processes of genes were associated with immune system, multicellular organismal process, response to stimulus, apoptotic process, cellular component organization or biogenesis, biological adhesion, and reproduction. Conclusions: Few associations were observed for scrotal circumference at 210d of age, age at first calving, and age at second calving, reinforcing their polygenic inheritance and the complexity of understanding the genetic architecture of reproductive traits. Finding many associations for scrotal circumference at 420d of age in various regions of the Canchim genome also reveals the difficulty of targeting specific candidate genes that could act on fertility; nonetheless, the high linkage disequilibrium between loci herein estimated could aid to overcome this issue. Therefore, all relevant information about genomic regions influencing reproductive traits may contribute to target candidate genes for further investigation of causal mutations and aid in future genomic studies in Canchim cattle to improve the breeding program.","author":[{"dropping-particle":"","family":"Buzanskas","given":"Marcos Eli","non-dropping-particle":"","parse-names":false,"suffix":""},{"dropping-particle":"","family":"Grossi","given":"Daniela do Amaral","non-dropping-particle":"","parse-names":false,"suffix":""},{"dropping-particle":"","family":"Ventura","given":"Ricardo Vieira","non-dropping-particle":"","parse-names":false,"suffix":""},{"dropping-particle":"","family":"Schenkel","given":"Flavio Schramm","non-dropping-particle":"","parse-names":false,"suffix":""},{"dropping-particle":"","family":"Chud","given":"Tatiane Cristina Seleguim","non-dropping-particle":"","parse-names":false,"suffix":""},{"dropping-particle":"","family":"Stafuzza","given":"Nedenia Bonvino","non-dropping-particle":"","parse-names":false,"suffix":""},{"dropping-particle":"","family":"Rola","given":"Luciana Diniz","non-dropping-particle":"","parse-names":false,"suffix":""},{"dropping-particle":"","family":"Meirelles","given":"Sarah Laguna Conceição","non-dropping-particle":"","parse-names":false,"suffix":""},{"dropping-particle":"","family":"Mokry","given":"Fabiana Barichello","non-dropping-particle":"","parse-names":false,"suffix":""},{"dropping-particle":"","family":"Mudadu","given":"Maurício de Alvarenga","non-dropping-particle":"","parse-names":false,"suffix":""},{"dropping-particle":"","family":"Higa","given":"Roberto Hiroshi","non-dropping-particle":"","parse-names":false,"suffix":""},{"dropping-particle":"","family":"Silva","given":"Marcos Vinícius Gualberto Barbosa","non-dropping-particle":"da","parse-names":false,"suffix":""},{"dropping-particle":"","family":"Alencar","given":"Maurício Mello","non-dropping-particle":"de","parse-names":false,"suffix":""},{"dropping-particle":"","family":"Regitano","given":"Luciana Correia de Almeida","non-dropping-particle":"","parse-names":false,"suffix":""},{"dropping-particle":"","family":"Munari","given":"Danísio Prado","non-dropping-particle":"","parse-names":false,"suffix":""}],"container-title":"Journal of Animal Science and Biotechnology","id":"ITEM-6","issue":"1","issued":{"date-parts":[["2017","8","23"]]},"page":"67","publisher":"BioMed Central Ltd.","title":"Candidate genes for male and female reproductive traits in Canchim beef cattle","type":"article-journal","volume":"8"},"uris":["http://www.mendeley.com/documents/?uuid=0dc0158c-982c-37bd-b840-427b6ee70493"]}],"mendeley":{"formattedCitation":"[3, 46, 62, 78–80]","plainTextFormattedCitation":"[3, 46, 62, 78–80]","previouslyFormattedCitation":"[3, 46, 62, 78–80]"},"properties":{"noteIndex":0},"schema":"https://github.com/citation-style-language/schema/raw/master/csl-citation.json"}</w:instrText>
            </w:r>
            <w:r w:rsidRPr="00DD24FA">
              <w:rPr>
                <w:rFonts w:ascii="Times New Roman" w:hAnsi="Times New Roman" w:cs="Times New Roman"/>
                <w:sz w:val="18"/>
                <w:szCs w:val="18"/>
              </w:rPr>
              <w:fldChar w:fldCharType="separate"/>
            </w:r>
            <w:r w:rsidR="00317FD1" w:rsidRPr="00DD24FA">
              <w:rPr>
                <w:rFonts w:ascii="Times New Roman" w:hAnsi="Times New Roman" w:cs="Times New Roman"/>
                <w:noProof/>
                <w:sz w:val="18"/>
                <w:szCs w:val="18"/>
              </w:rPr>
              <w:t>[3, 46, 62, 78–80]</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Human, mouse, cattle; Cell cycle regulation and apoptosis, protection of neuronal cells from oxidative stress, regulation of glucose metabolism in the brain, bicep weight, chuck roll weight, shear force, conception rate, scrotal circumference</w:t>
            </w:r>
          </w:p>
        </w:tc>
      </w:tr>
      <w:tr w:rsidR="00DD24FA" w14:paraId="59A32EAE"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01783232" w14:textId="3531EF6A" w:rsidR="0013515C" w:rsidRPr="00DD24FA" w:rsidRDefault="0013515C" w:rsidP="00267B98">
            <w:pPr>
              <w:spacing w:after="0" w:line="240" w:lineRule="auto"/>
              <w:contextualSpacing/>
              <w:jc w:val="center"/>
              <w:rPr>
                <w:rFonts w:ascii="Times New Roman" w:hAnsi="Times New Roman" w:cs="Times New Roman"/>
                <w:i/>
                <w:sz w:val="18"/>
                <w:szCs w:val="18"/>
              </w:rPr>
            </w:pPr>
            <w:r w:rsidRPr="00DD24FA">
              <w:rPr>
                <w:rFonts w:ascii="Times New Roman" w:hAnsi="Times New Roman" w:cs="Times New Roman"/>
                <w:i/>
                <w:sz w:val="18"/>
                <w:szCs w:val="18"/>
              </w:rPr>
              <w:lastRenderedPageBreak/>
              <w:t>23_45</w:t>
            </w:r>
            <w:r w:rsidR="001C4707" w:rsidRPr="00DD24FA">
              <w:rPr>
                <w:rFonts w:ascii="Times New Roman" w:hAnsi="Times New Roman" w:cs="Times New Roman"/>
                <w:i/>
                <w:sz w:val="18"/>
                <w:szCs w:val="18"/>
                <w:vertAlign w:val="superscript"/>
              </w:rPr>
              <w:t>c</w:t>
            </w:r>
          </w:p>
        </w:tc>
        <w:tc>
          <w:tcPr>
            <w:tcW w:w="369" w:type="pct"/>
            <w:tcBorders>
              <w:top w:val="single" w:sz="4" w:space="0" w:color="auto"/>
              <w:left w:val="single" w:sz="4" w:space="0" w:color="auto"/>
              <w:bottom w:val="single" w:sz="4" w:space="0" w:color="auto"/>
              <w:right w:val="single" w:sz="4" w:space="0" w:color="auto"/>
            </w:tcBorders>
            <w:hideMark/>
          </w:tcPr>
          <w:p w14:paraId="7B2A587D"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5.317</w:t>
            </w:r>
          </w:p>
        </w:tc>
        <w:tc>
          <w:tcPr>
            <w:tcW w:w="554" w:type="pct"/>
            <w:tcBorders>
              <w:top w:val="single" w:sz="4" w:space="0" w:color="auto"/>
              <w:left w:val="single" w:sz="4" w:space="0" w:color="auto"/>
              <w:bottom w:val="single" w:sz="4" w:space="0" w:color="auto"/>
              <w:right w:val="single" w:sz="4" w:space="0" w:color="auto"/>
            </w:tcBorders>
            <w:hideMark/>
          </w:tcPr>
          <w:p w14:paraId="2291B9AF"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-9.576</w:t>
            </w:r>
          </w:p>
        </w:tc>
        <w:tc>
          <w:tcPr>
            <w:tcW w:w="328" w:type="pct"/>
            <w:tcBorders>
              <w:top w:val="single" w:sz="4" w:space="0" w:color="auto"/>
              <w:left w:val="single" w:sz="4" w:space="0" w:color="auto"/>
              <w:bottom w:val="single" w:sz="4" w:space="0" w:color="auto"/>
              <w:right w:val="single" w:sz="4" w:space="0" w:color="auto"/>
            </w:tcBorders>
            <w:hideMark/>
          </w:tcPr>
          <w:p w14:paraId="4B8D40C5"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0.478</w:t>
            </w:r>
          </w:p>
        </w:tc>
        <w:tc>
          <w:tcPr>
            <w:tcW w:w="570" w:type="pct"/>
            <w:tcBorders>
              <w:top w:val="single" w:sz="4" w:space="0" w:color="auto"/>
              <w:left w:val="single" w:sz="4" w:space="0" w:color="auto"/>
              <w:bottom w:val="single" w:sz="4" w:space="0" w:color="auto"/>
              <w:right w:val="single" w:sz="4" w:space="0" w:color="auto"/>
            </w:tcBorders>
            <w:hideMark/>
          </w:tcPr>
          <w:p w14:paraId="04FAA960"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w:t>
            </w:r>
          </w:p>
        </w:tc>
        <w:tc>
          <w:tcPr>
            <w:tcW w:w="795" w:type="pct"/>
            <w:tcBorders>
              <w:top w:val="single" w:sz="4" w:space="0" w:color="auto"/>
              <w:left w:val="single" w:sz="4" w:space="0" w:color="auto"/>
              <w:bottom w:val="single" w:sz="4" w:space="0" w:color="auto"/>
              <w:right w:val="single" w:sz="4" w:space="0" w:color="auto"/>
            </w:tcBorders>
            <w:hideMark/>
          </w:tcPr>
          <w:p w14:paraId="1F407941" w14:textId="77777777" w:rsidR="0013515C" w:rsidRPr="00DD24FA" w:rsidRDefault="0013515C" w:rsidP="00267B98">
            <w:pPr>
              <w:spacing w:after="0" w:line="240" w:lineRule="auto"/>
              <w:contextualSpacing/>
              <w:jc w:val="center"/>
              <w:rPr>
                <w:rFonts w:ascii="Times New Roman" w:hAnsi="Times New Roman" w:cs="Times New Roman"/>
                <w:i/>
                <w:iCs/>
                <w:color w:val="000000"/>
                <w:sz w:val="18"/>
                <w:szCs w:val="18"/>
              </w:rPr>
            </w:pPr>
            <w:r w:rsidRPr="00DD24FA">
              <w:rPr>
                <w:rFonts w:ascii="Times New Roman" w:hAnsi="Times New Roman" w:cs="Times New Roman"/>
                <w:color w:val="000000"/>
                <w:sz w:val="18"/>
                <w:szCs w:val="18"/>
              </w:rPr>
              <w:t>LOC112443738</w:t>
            </w:r>
          </w:p>
        </w:tc>
        <w:tc>
          <w:tcPr>
            <w:tcW w:w="472" w:type="pct"/>
            <w:tcBorders>
              <w:top w:val="single" w:sz="4" w:space="0" w:color="auto"/>
              <w:left w:val="single" w:sz="4" w:space="0" w:color="auto"/>
              <w:bottom w:val="single" w:sz="4" w:space="0" w:color="auto"/>
              <w:right w:val="single" w:sz="4" w:space="0" w:color="auto"/>
            </w:tcBorders>
            <w:hideMark/>
          </w:tcPr>
          <w:p w14:paraId="077880FE"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Intron</w:t>
            </w:r>
          </w:p>
        </w:tc>
        <w:tc>
          <w:tcPr>
            <w:tcW w:w="1416" w:type="pct"/>
            <w:tcBorders>
              <w:top w:val="single" w:sz="4" w:space="0" w:color="auto"/>
              <w:left w:val="single" w:sz="4" w:space="0" w:color="auto"/>
              <w:bottom w:val="single" w:sz="4" w:space="0" w:color="auto"/>
              <w:right w:val="single" w:sz="4" w:space="0" w:color="auto"/>
            </w:tcBorders>
            <w:hideMark/>
          </w:tcPr>
          <w:p w14:paraId="34F9439A" w14:textId="792F5CFB" w:rsidR="0013515C" w:rsidRPr="00DD24FA" w:rsidRDefault="0013515C"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317FD1" w:rsidRPr="00DD24FA">
              <w:rPr>
                <w:rFonts w:ascii="Times New Roman" w:hAnsi="Times New Roman" w:cs="Times New Roman"/>
                <w:sz w:val="18"/>
                <w:szCs w:val="18"/>
              </w:rPr>
              <w:instrText>ADDIN CSL_CITATION {"citationItems":[{"id":"ITEM-1","itemData":{"DOI":"10.1186/s12864-016-2511-y","ISSN":"14712164","PMID":"26960694","abstract":"Background: Saturated fatty acids can be detrimental to human health and have received considerable attention in recent years. Several studies using taurine breeds showed the existence of genetic variability and thus the possibility of genetic improvement of the fatty acid profile in beef. This study identified the regions of the genome associated with saturated, mono- and polyunsaturated fatty acids, and n-6 to n-3 ratios in the Longissimus thoracis of Nellore finished in feedlot, using the single-step method. Results: The results showed that 115 windows explain more than 1 % of the additive genetic variance for the 22 studied fatty acids. Thirty-one genomic regions that explain more than 1 % of the additive genetic variance were observed for total saturated fatty acids, C12:0, C14:0, C16:0 and C18:0. Nineteen genomic regions, distributed in sixteen different chromosomes accounted for more than 1 % of the additive genetic variance for the monounsaturated fatty acids, such as the sum of monounsaturated fatty acids, C14:1 cis-9, C18:1 trans-11, C18:1 cis-9, and C18:1 trans-9. Forty genomic regions explained more than 1 % of the additive variance for the polyunsaturated fatty acids group, which are related to the total polyunsaturated fatty acids, C20:4 n-6, C18:2 cis-9 cis12 n-6, C18:3 n-3, C18:3 n-6, C22:6 n-3 and C20:3 n-6 cis-8 cis-11 cis-14. Twenty-one genomic regions accounted for more than 1 % of the genetic variance for the group of omega-3, omega-6 and the n-6:n-3 ratio. Conclusions: The identification of such regions and the respective candidate genes, such as ELOVL5, ESSRG, PCYT1A and genes of the ABC group (ABC5, ABC6 and ABC10), should contribute to form a genetic basis of the fatty acid profile of Nellore (Bos indicus) beef, contributing to better selection of the traits associated with improving human health.","author":[{"dropping-particle":"","family":"Lemos","given":"Marcos V.A.","non-dropping-particle":"","parse-names":false,"suffix":""},{"dropping-particle":"","family":"Chiaia","given":"Hermenegildo Lucas Justino","non-dropping-particle":"","parse-names":false,"suffix":""},{"dropping-particle":"","family":"Berton","given":"Mariana Piatto","non-dropping-particle":"","parse-names":false,"suffix":""},{"dropping-particle":"","family":"Feitosa","given":"Fabieli L.B.","non-dropping-particle":"","parse-names":false,"suffix":""},{"dropping-particle":"","family":"Aboujaoud","given":"Carolyn","non-dropping-particle":"","parse-names":false,"suffix":""},{"dropping-particle":"","family":"Camargo","given":"Gregório M.F.","non-dropping-particle":"","parse-names":false,"suffix":""},{"dropping-particle":"","family":"Pereira","given":"Angélica S.C.","non-dropping-particle":"","parse-names":false,"suffix":""},{"dropping-particle":"","family":"Albuquerque","given":"Lucia G.","non-dropping-particle":"","parse-names":false,"suffix":""},{"dropping-particle":"","family":"Ferrinho","given":"Adrielle M.","non-dropping-particle":"","parse-names":false,"suffix":""},{"dropping-particle":"","family":"Mueller","given":"Lenise F.","non-dropping-particle":"","parse-names":false,"suffix":""},{"dropping-particle":"","family":"Mazalli","given":"Monica R.","non-dropping-particle":"","parse-names":false,"suffix":""},{"dropping-particle":"","family":"Furlan","given":"Joyce J.M.","non-dropping-particle":"","parse-names":false,"suffix":""},{"dropping-particle":"","family":"Carvalheiro","given":"Roberto","non-dropping-particle":"","parse-names":false,"suffix":""},{"dropping-particle":"","family":"Gordo","given":"Daniel M.","non-dropping-particle":"","parse-names":false,"suffix":""},{"dropping-particle":"","family":"Tonussi","given":"Rafael","non-dropping-particle":"","parse-names":false,"suffix":""},{"dropping-particle":"","family":"Espigolan","given":"Rafael","non-dropping-particle":"","parse-names":false,"suffix":""},{"dropping-particle":"","family":"Silva","given":"Rafael Medeiros de Oliveira","non-dropping-particle":"","parse-names":false,"suffix":""},{"dropping-particle":"","family":"Oliveira","given":"Henrique Nunes","non-dropping-particle":"de","parse-names":false,"suffix":""},{"dropping-particle":"","family":"Duckett","given":"Susan","non-dropping-particle":"","parse-names":false,"suffix":""},{"dropping-particle":"","family":"Aguilar","given":"Ignacio","non-dropping-particle":"","parse-names":false,"suffix":""},{"dropping-particle":"","family":"Baldi","given":"Fernando","non-dropping-particle":"","parse-names":false,"suffix":""}],"container-title":"BMC Genomics","id":"ITEM-1","issue":"1","issued":{"date-parts":[["2016","3","9"]]},"page":"213","publisher":"BioMed Central Ltd.","title":"Genome-wide association between single nucleotide polymorphisms with beef fatty acid profile in Nellore cattle using the single step procedure","type":"article-journal","volume":"17"},"uris":["http://www.mendeley.com/documents/?uuid=55f8e954-9546-3e4c-80f9-25f7455a3a21"]},{"id":"ITEM-2","itemData":{"DOI":"10.1186/1471-2156-13-93","ISSN":"14712156","PMID":"23107417","abstract":"Background: In this study we perform a genome-wide association study (GWAS) for bovine milk fatty acids from summer milk samples. This study replicates a previous study where we performed a GWAS for bovine milk fatty acids based on winter milk samples from the same population. Fatty acids from summer and winter milk are genetically similar traits and we therefore compare the regions detected in summer milk to the regions previously detected in winter milk GWAS to discover regions that explain genetic variation in both summer and winter milk.Results: The GWAS of summer milk samples resulted in 51 regions associated with one or more milk fatty acids. Results are in agreement with most associations that were previously detected in a GWAS of fatty acids from winter milk samples, including eight 'new' regions that were not considered in the individual studies. The high correlation between the -log10(P-values) and effects of SNPs that were found significant in both GWAS imply that the effects of the SNPs were similar on winter and summer milk fatty acids.Conclusions: The GWAS of fatty acids based on summer milk samples was in agreement with most of the associations detected in the GWAS of fatty acids based on winter milk samples. Associations that were in agreement between both GWAS are more likely to be involved in fatty acid synthesis compared to regions detected in only one GWAS and are therefore worthwhile to pursue in fine-mapping studies. © 2012 Bouwman et al.; licensee BioMed Central Ltd.","author":[{"dropping-particle":"","family":"Bouwman","given":"Aniek C.","non-dropping-particle":"","parse-names":false,"suffix":""},{"dropping-particle":"","family":"Visker","given":"Marleen H.P.W.","non-dropping-particle":"","parse-names":false,"suffix":""},{"dropping-particle":"","family":"Arendonk","given":"Johan A.M.","non-dropping-particle":"van","parse-names":false,"suffix":""},{"dropping-particle":"","family":"Bovenhuis","given":"Henk","non-dropping-particle":"","parse-names":false,"suffix":""}],"container-title":"BMC Genetics","id":"ITEM-2","issue":"1","issued":{"date-parts":[["2012","10","29"]]},"page":"93","publisher":"BioMed Central","title":"Genomic regions associated with bovine milk fatty acids in both summer and winter milk samples","type":"article-journal","volume":"13"},"uris":["http://www.mendeley.com/documents/?uuid=ed39dc02-b7cb-352d-85b9-e991c14eee84"]}],"mendeley":{"formattedCitation":"[31, 81]","plainTextFormattedCitation":"[31, 81]","previouslyFormattedCitation":"[31, 81]"},"properties":{"noteIndex":0},"schema":"https://github.com/citation-style-language/schema/raw/master/csl-citation.json"}</w:instrText>
            </w:r>
            <w:r w:rsidRPr="00DD24FA">
              <w:rPr>
                <w:rFonts w:ascii="Times New Roman" w:hAnsi="Times New Roman" w:cs="Times New Roman"/>
                <w:sz w:val="18"/>
                <w:szCs w:val="18"/>
              </w:rPr>
              <w:fldChar w:fldCharType="separate"/>
            </w:r>
            <w:r w:rsidR="00317FD1" w:rsidRPr="00DD24FA">
              <w:rPr>
                <w:rFonts w:ascii="Times New Roman" w:hAnsi="Times New Roman" w:cs="Times New Roman"/>
                <w:noProof/>
                <w:sz w:val="18"/>
                <w:szCs w:val="18"/>
              </w:rPr>
              <w:t>[31, 81]</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Cattle; Fatty acid in muscle, milk fatty acid association</w:t>
            </w:r>
          </w:p>
        </w:tc>
      </w:tr>
      <w:tr w:rsidR="00DD24FA" w14:paraId="2CCFBCDA" w14:textId="77777777" w:rsidTr="00DD24FA">
        <w:trPr>
          <w:jc w:val="center"/>
        </w:trPr>
        <w:tc>
          <w:tcPr>
            <w:tcW w:w="496" w:type="pct"/>
            <w:tcBorders>
              <w:top w:val="single" w:sz="4" w:space="0" w:color="auto"/>
              <w:left w:val="single" w:sz="4" w:space="0" w:color="auto"/>
              <w:bottom w:val="single" w:sz="4" w:space="0" w:color="auto"/>
              <w:right w:val="single" w:sz="4" w:space="0" w:color="auto"/>
            </w:tcBorders>
            <w:hideMark/>
          </w:tcPr>
          <w:p w14:paraId="6442AAD7" w14:textId="29BB6AC9" w:rsidR="0013515C" w:rsidRPr="00DD24FA" w:rsidRDefault="0013515C" w:rsidP="00267B98">
            <w:pPr>
              <w:spacing w:after="0" w:line="240" w:lineRule="auto"/>
              <w:contextualSpacing/>
              <w:jc w:val="center"/>
              <w:rPr>
                <w:rFonts w:ascii="Times New Roman" w:hAnsi="Times New Roman" w:cs="Times New Roman"/>
                <w:i/>
                <w:sz w:val="18"/>
                <w:szCs w:val="18"/>
                <w:vertAlign w:val="superscript"/>
              </w:rPr>
            </w:pPr>
            <w:r w:rsidRPr="00DD24FA">
              <w:rPr>
                <w:rFonts w:ascii="Times New Roman" w:hAnsi="Times New Roman" w:cs="Times New Roman"/>
                <w:i/>
                <w:sz w:val="18"/>
                <w:szCs w:val="18"/>
              </w:rPr>
              <w:t>12_43</w:t>
            </w:r>
            <w:r w:rsidR="001C4707" w:rsidRPr="00DD24FA">
              <w:rPr>
                <w:rFonts w:ascii="Times New Roman" w:hAnsi="Times New Roman" w:cs="Times New Roman"/>
                <w:i/>
                <w:sz w:val="18"/>
                <w:szCs w:val="18"/>
                <w:vertAlign w:val="superscript"/>
              </w:rPr>
              <w:t>g</w:t>
            </w:r>
          </w:p>
        </w:tc>
        <w:tc>
          <w:tcPr>
            <w:tcW w:w="369" w:type="pct"/>
            <w:tcBorders>
              <w:top w:val="single" w:sz="4" w:space="0" w:color="auto"/>
              <w:left w:val="single" w:sz="4" w:space="0" w:color="auto"/>
              <w:bottom w:val="single" w:sz="4" w:space="0" w:color="auto"/>
              <w:right w:val="single" w:sz="4" w:space="0" w:color="auto"/>
            </w:tcBorders>
            <w:hideMark/>
          </w:tcPr>
          <w:p w14:paraId="6CA0EDF1"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5.049</w:t>
            </w:r>
          </w:p>
        </w:tc>
        <w:tc>
          <w:tcPr>
            <w:tcW w:w="554" w:type="pct"/>
            <w:tcBorders>
              <w:top w:val="single" w:sz="4" w:space="0" w:color="auto"/>
              <w:left w:val="single" w:sz="4" w:space="0" w:color="auto"/>
              <w:bottom w:val="single" w:sz="4" w:space="0" w:color="auto"/>
              <w:right w:val="single" w:sz="4" w:space="0" w:color="auto"/>
            </w:tcBorders>
            <w:hideMark/>
          </w:tcPr>
          <w:p w14:paraId="74D52FB5"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-22.956</w:t>
            </w:r>
          </w:p>
        </w:tc>
        <w:tc>
          <w:tcPr>
            <w:tcW w:w="328" w:type="pct"/>
            <w:tcBorders>
              <w:top w:val="single" w:sz="4" w:space="0" w:color="auto"/>
              <w:left w:val="single" w:sz="4" w:space="0" w:color="auto"/>
              <w:bottom w:val="single" w:sz="4" w:space="0" w:color="auto"/>
              <w:right w:val="single" w:sz="4" w:space="0" w:color="auto"/>
            </w:tcBorders>
            <w:hideMark/>
          </w:tcPr>
          <w:p w14:paraId="31942805"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0.190</w:t>
            </w:r>
          </w:p>
        </w:tc>
        <w:tc>
          <w:tcPr>
            <w:tcW w:w="570" w:type="pct"/>
            <w:tcBorders>
              <w:top w:val="single" w:sz="4" w:space="0" w:color="auto"/>
              <w:left w:val="single" w:sz="4" w:space="0" w:color="auto"/>
              <w:bottom w:val="single" w:sz="4" w:space="0" w:color="auto"/>
              <w:right w:val="single" w:sz="4" w:space="0" w:color="auto"/>
            </w:tcBorders>
            <w:hideMark/>
          </w:tcPr>
          <w:p w14:paraId="1BD005A3"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2</w:t>
            </w:r>
          </w:p>
        </w:tc>
        <w:tc>
          <w:tcPr>
            <w:tcW w:w="795" w:type="pct"/>
            <w:tcBorders>
              <w:top w:val="single" w:sz="4" w:space="0" w:color="auto"/>
              <w:left w:val="single" w:sz="4" w:space="0" w:color="auto"/>
              <w:bottom w:val="single" w:sz="4" w:space="0" w:color="auto"/>
              <w:right w:val="single" w:sz="4" w:space="0" w:color="auto"/>
            </w:tcBorders>
            <w:hideMark/>
          </w:tcPr>
          <w:p w14:paraId="1674EC13" w14:textId="77777777" w:rsidR="0013515C" w:rsidRPr="00DD24FA" w:rsidRDefault="0013515C" w:rsidP="00267B98">
            <w:pPr>
              <w:spacing w:after="0" w:line="240" w:lineRule="auto"/>
              <w:contextualSpacing/>
              <w:jc w:val="center"/>
              <w:rPr>
                <w:rFonts w:ascii="Times New Roman" w:hAnsi="Times New Roman" w:cs="Times New Roman"/>
                <w:i/>
                <w:iCs/>
                <w:color w:val="000000"/>
                <w:sz w:val="18"/>
                <w:szCs w:val="18"/>
              </w:rPr>
            </w:pPr>
            <w:r w:rsidRPr="00DD24FA">
              <w:rPr>
                <w:rFonts w:ascii="Times New Roman" w:hAnsi="Times New Roman" w:cs="Times New Roman"/>
                <w:i/>
                <w:iCs/>
                <w:color w:val="000000"/>
                <w:sz w:val="18"/>
                <w:szCs w:val="18"/>
              </w:rPr>
              <w:t>LOC107132995, KLHL1</w:t>
            </w:r>
          </w:p>
        </w:tc>
        <w:tc>
          <w:tcPr>
            <w:tcW w:w="472" w:type="pct"/>
            <w:tcBorders>
              <w:top w:val="single" w:sz="4" w:space="0" w:color="auto"/>
              <w:left w:val="single" w:sz="4" w:space="0" w:color="auto"/>
              <w:bottom w:val="single" w:sz="4" w:space="0" w:color="auto"/>
              <w:right w:val="single" w:sz="4" w:space="0" w:color="auto"/>
            </w:tcBorders>
            <w:hideMark/>
          </w:tcPr>
          <w:p w14:paraId="1E914EAD" w14:textId="77777777" w:rsidR="0013515C" w:rsidRPr="00DD24FA" w:rsidRDefault="0013515C" w:rsidP="00267B98">
            <w:pPr>
              <w:spacing w:after="0" w:line="240" w:lineRule="auto"/>
              <w:contextualSpacing/>
              <w:jc w:val="center"/>
              <w:rPr>
                <w:rFonts w:ascii="Times New Roman" w:hAnsi="Times New Roman" w:cs="Times New Roman"/>
                <w:color w:val="000000"/>
                <w:sz w:val="18"/>
                <w:szCs w:val="18"/>
              </w:rPr>
            </w:pPr>
            <w:r w:rsidRPr="00DD24FA">
              <w:rPr>
                <w:rFonts w:ascii="Times New Roman" w:hAnsi="Times New Roman" w:cs="Times New Roman"/>
                <w:color w:val="000000"/>
                <w:sz w:val="18"/>
                <w:szCs w:val="18"/>
              </w:rPr>
              <w:t>Intergenic</w:t>
            </w:r>
          </w:p>
        </w:tc>
        <w:tc>
          <w:tcPr>
            <w:tcW w:w="1416" w:type="pct"/>
            <w:tcBorders>
              <w:top w:val="single" w:sz="4" w:space="0" w:color="auto"/>
              <w:left w:val="single" w:sz="4" w:space="0" w:color="auto"/>
              <w:bottom w:val="single" w:sz="4" w:space="0" w:color="auto"/>
              <w:right w:val="single" w:sz="4" w:space="0" w:color="auto"/>
            </w:tcBorders>
            <w:hideMark/>
          </w:tcPr>
          <w:p w14:paraId="4783F80C" w14:textId="0BE24907" w:rsidR="0013515C" w:rsidRPr="00DD24FA" w:rsidRDefault="0013515C" w:rsidP="00267B98">
            <w:pPr>
              <w:spacing w:after="0" w:line="240" w:lineRule="auto"/>
              <w:contextualSpacing/>
              <w:jc w:val="center"/>
              <w:rPr>
                <w:rFonts w:ascii="Times New Roman" w:hAnsi="Times New Roman" w:cs="Times New Roman"/>
                <w:sz w:val="18"/>
                <w:szCs w:val="18"/>
              </w:rPr>
            </w:pPr>
            <w:r w:rsidRPr="00DD24FA">
              <w:rPr>
                <w:rFonts w:ascii="Times New Roman" w:hAnsi="Times New Roman" w:cs="Times New Roman"/>
                <w:sz w:val="18"/>
                <w:szCs w:val="18"/>
              </w:rPr>
              <w:fldChar w:fldCharType="begin" w:fldLock="1"/>
            </w:r>
            <w:r w:rsidR="00317FD1" w:rsidRPr="00DD24FA">
              <w:rPr>
                <w:rFonts w:ascii="Times New Roman" w:hAnsi="Times New Roman" w:cs="Times New Roman"/>
                <w:sz w:val="18"/>
                <w:szCs w:val="18"/>
              </w:rPr>
              <w:instrText>ADDIN CSL_CITATION {"citationItems":[{"id":"ITEM-1","itemData":{"DOI":"10.1128/mcb.02167-05","ISSN":"0270-7306","PMID":"16982692","abstract":" The actin-based cytoskeleton is essential for the generation and maintenance of cell polarity, cellular motility, and the formation of neural cell processes. MRP2 is an actin-binding protein of the kelch-related protein family. While MRP2 has been shown to be expressed specifically in brain, its function is still unknown. Here, we report that in neuronal growth factor (NGF)-induced PC12 cells, MRP2 was expressed along the neurite processes and colocalized with Talin at the growth cones. MRP2 mRNA and protein levels were up-regulated in PC12 cells following NGF stimulation. Moreover, treatment of PC12 cells with interfering RNAs for MRP2 and glycogen synthase kinase 3β (GSK3β) resulted in the inhibition of neurite outgrowth. A significant decrease in MRP2 expression levels was observed following GSK3β inhibition, which was correlated with the inhibited neurite outgrowth, while GSK3β overexpression was found to increase MRP2 expression levels. MRP2 interacted with GSK3β through its NH 2 terminus containing the BTB domain, and these molecules colocalized along neurite processes and growth cones in differentiated PC12 cells and rat primary hippocampal neurons. Additionally, increased associations of MRP2 with GSK3β and MRP2 with actin were observed in the NGF-treated PC12 cells. Thus, this study provides, for the first time, insights into the involvement of MRP2 in neurite outgrowth, which occurs in a GSK3β-dependent manner. ","author":[{"dropping-particle":"","family":"Seng","given":"Seyha","non-dropping-particle":"","parse-names":false,"suffix":""},{"dropping-particle":"","family":"Avraham","given":"Hava Karsenty","non-dropping-particle":"","parse-names":false,"suffix":""},{"dropping-particle":"","family":"Jiang","given":"Shuxian","non-dropping-particle":"","parse-names":false,"suffix":""},{"dropping-particle":"","family":"Venkatesh","given":"Saritha","non-dropping-particle":"","parse-names":false,"suffix":""},{"dropping-particle":"","family":"Avraham","given":"Shalom","non-dropping-particle":"","parse-names":false,"suffix":""}],"container-title":"Molecular and Cellular Biology","id":"ITEM-1","issue":"22","issued":{"date-parts":[["2006","11","15"]]},"page":"8371-8384","publisher":"American Society for Microbiology","title":"KLHL1/MRP2 Mediates Neurite Outgrowth in a Glycogen Synthase Kinase 3β-Dependent Manner","type":"article-journal","volume":"26"},"uris":["http://www.mendeley.com/documents/?uuid=0f156707-4363-316d-bfb3-9cbc20082cfb"]},{"id":"ITEM-2","itemData":{"DOI":"10.1111/age.12593","ISSN":"02689146","abstract":"A genome-wide association study (GWAS) was conducted on 15 milk production traits in Chinese Holstein. The experimental population consisted of 445 cattle, each genotyped by the GGP (GeneSeek genomic profiling)-BovineLD V3 SNP chip, which had 26 151 public SNPs in its manifest file. After data cleaning, 20 326 SNPs were retained for the GWAS. The phenotypes were estimated breeding values of traits, provided by a public dairy herd improvement program center that had been collected once a month for 3 years. Two statistical models, a fixed-effect linear regression model and a mixed-effect linear model, were used to estimate the association effects of SNPs on each of the phenotypes. Genome-wide significant and suggestive thresholds were set at 2.46E-06 and 4.95E-05 respectively. The two statistical models concurrently identified two genome-wide significant (P &lt; 0.05) SNPs on milk production traits in this Chinese Holstein population. The positional candidate genes, which were the ones closest to these two identified SNPs, were EEF2K (eukaryotic elongation factor 2 kinase) and KLHL1 (kelch like family member 1). These two genes could serve as new candidate genes for milk yield and lactation persistence, yet their roles need to be verified in further function studies.","author":[{"dropping-particle":"","family":"Yue","given":"S. J.","non-dropping-particle":"","parse-names":false,"suffix":""},{"dropping-particle":"","family":"Zhao","given":"Y. Q.","non-dropping-particle":"","parse-names":false,"suffix":""},{"dropping-particle":"","family":"Gu","given":"X. R.","non-dropping-particle":"","parse-names":false,"suffix":""},{"dropping-particle":"","family":"Yin","given":"B.","non-dropping-particle":"","parse-names":false,"suffix":""},{"dropping-particle":"","family":"Jiang","given":"Y. L.","non-dropping-particle":"","parse-names":false,"suffix":""},{"dropping-particle":"","family":"Wang","given":"Z. H.","non-dropping-particle":"","parse-names":false,"suffix":""},{"dropping-particle":"","family":"Shi","given":"K. R.","non-dropping-particle":"","parse-names":false,"suffix":""}],"container-title":"Animal Genetics","id":"ITEM-2","issue":"6","issued":{"date-parts":[["2017","12","1"]]},"page":"677-681","publisher":"Blackwell Publishing Ltd","title":"A genome-wide association study suggests new candidate genes for milk production traits in Chinese Holstein cattle","type":"article-journal","volume":"48"},"uris":["http://www.mendeley.com/documents/?uuid=bb1b8596-4055-3a04-9496-53b4cef67717"]},{"id":"ITEM-3","itemData":{"DOI":"10.1016/j.anireprosci.2014.01.012","ISSN":"03784320","PMID":"24612955","abstract":"The aim of the study was to screen the whole bull genome to identify markers and candidate genes underlying poor sperm motility. The analyzed data set originates from the Polish Holstein-Friesian bull population and consists of 41 Case and 279 Control bulls (selected from 1581 bulls). The most distinguishing trait of case group was very poor sperm motility (average 25.61%) when compared to control samples (average 72.95%). Each bull was genotyped using the Illumina BovineSNP50 BeadChip. Genome-wide association analysis was performed with the use of GoldenHelix SVS7 software. An additive model with a Cohran-Armitage test, Correlation/Trend adjusted by Bonferroni test were used to estimate the effect of Single Nucleotide Polymorphism (SNP) marker for poor sperm motility. Markers (n= 34) reached genome-wide significance. The most significant SNP were located on chromosome 24 (rs110876480), 5 (rs110827324 and rs29011704), and 1 (rs110596818), in the close vicinity of melanocortin 4 receptor (MC4R), PDZ domain containing ring finger 4 (PDZRN4) and ethanolamine kinase 1 (ETNK1), olfactory receptor 5K3-like (LOC785875) genes, respectively. For five other candidate genes located close to significant markers (in distance of ca. 1 Mb), namely alkaline phosphatase, liver/bone/kidney (ALPL), tripartite motif containing 36 (TRIM36), 3-hydroxyisobutyrate dehygrogenase (HIBADH), kelch-like 1 (KLHL1), protein kinase C, beta (PRKCB), their potential role in sperm motility was confirmed in the earlier studies. Five additional candidate genes, cystic fibrosis transmembrane conductance regulator (CFTR), insulin-like growth factor 1 receptor (IGF1R), steroid-5-alpha-reductase, alpha polypeptide 2 (SRD5A2), cation channel, sperm associated 1 (CATSPER1) calpain 1 (mu/I) large subunit (CAPN1) were suggested to be significantly associated with sperm motility or semen biochemistry. Results of the present study indicate there is a genetic complexity of poor sperm motility but also indicate there might be a causal polymorphism useful in marker-assisted selection. Identifying genomic regions associated with poor sperm motility may be very important for early recognition of a young sire as unsuitable for effective semen production in artificial insemination centers. © 2014 Elsevier B.V.","author":[{"dropping-particle":"","family":"Hering","given":"D. M.","non-dropping-particle":"","parse-names":false,"suffix":""},{"dropping-particle":"","family":"Olenski","given":"K.","non-dropping-particle":"","parse-names":false,"suffix":""},{"dropping-particle":"","family":"Kaminski","given":"S.","non-dropping-particle":"","parse-names":false,"suffix":""}],"container-title":"Animal Reproduction Science","id":"ITEM-3","issue":"3-4","issued":{"date-parts":[["2014","5","1"]]},"page":"89-97","publisher":"Elsevier","title":"Genome-wide association study for poor sperm motility in Holstein-Friesian bulls","type":"article-journal","volume":"146"},"uris":["http://www.mendeley.com/documents/?uuid=15f8dd3c-c3b0-33df-ab0a-3fc31d6fb8a4"]},{"id":"ITEM-4","itemData":{"DOI":"10.3390/genes11070767","ISSN":"2073-4425","abstract":"&lt;p&gt;Heifer conception rate (HCR) is defined as the percentage of inseminated heifers that become pregnant at each service. The genome-wide association analyses in this study focused on identifying the loci associated with Holstein heifer (n = 2013) conception rate at first service (HCR1) and the number of times bred (TBRD) to achieve a pregnancy. There were 348 unique loci associated (p &amp;lt; 5 × 10−8) with HCR1 and 615 unique loci associated (p &amp;lt; 5 × 10−8) with TBRD. The two phenotypes shared 302 loci, and 56 loci were validated in independent cattle populations. There were 52 transcription factor binding sites (TFBS) and 552 positional candidate genes identified in the HCR1- and TBRD-associated loci. The positional candidate genes and the TFBS associated with HCR1 and TBRD were used in the ingenuity pathway analysis (IPA). In the IPA, 11 pathways, 207 master regulators and 11 upstream regulators were associated (p &amp;lt; 1.23 × 10−5) with HCR1 and TBRD. The validated loci associated with both HCR1 and TBRD make good candidates for genomic selection and further investigations to elucidate the mechanisms associated with subfertility and infertility.&lt;/p&gt;","author":[{"dropping-particle":"","family":"Galliou","given":"Justine M.","non-dropping-particle":"","parse-names":false,"suffix":""},{"dropping-particle":"","family":"Kiser","given":"Jennifer N.","non-dropping-particle":"","parse-names":false,"suffix":""},{"dropping-particle":"","family":"Oliver","given":"Kayleen F.","non-dropping-particle":"","parse-names":false,"suffix":""},{"dropping-particle":"","family":"Seabury","given":"Christopher M.","non-dropping-particle":"","parse-names":false,"suffix":""},{"dropping-particle":"","family":"Moraes","given":"Joao G. N.","non-dropping-particle":"","parse-names":false,"suffix":""},{"dropping-particle":"","family":"Burns","given":"Gregory W.","non-dropping-particle":"","parse-names":false,"suffix":""},{"dropping-particle":"","family":"Spencer","given":"Thomas E.","non-dropping-particle":"","parse-names":false,"suffix":""},{"dropping-particle":"","family":"Dalton","given":"Joseph","non-dropping-particle":"","parse-names":false,"suffix":""},{"dropping-particle":"","family":"Neibergs","given":"Holly L.","non-dropping-particle":"","parse-names":false,"suffix":""}],"container-title":"Genes","id":"ITEM-4","issue":"7","issued":{"date-parts":[["2020","7","8"]]},"page":"767","publisher":"MDPI AG","title":"Identification of Loci and Pathways Associated with Heifer Conception Rate in U.S. Holsteins","type":"article-journal","volume":"11"},"uris":["http://www.mendeley.com/documents/?uuid=3eab597e-823a-3e79-93bb-dd7d1f36ef1d"]},{"id":"ITEM-5","itemData":{"DOI":"10.1371/journal.pone.0139906","ISSN":"1932-6203","abstract":"Understanding the genetic architecture of beef cattle growth cannot be limited simply to the genome-wide association study (GWAS) for body weight at any specific ages, but should be extended to a more general purpose by considering the whole growth trajectory over time using a growth curve approach. For such an approach, the parameters that are used to describe growth curves were treated as phenotypes under a GWAS model. Data from 1,255 Brahman cattle that were weighed at birth, 6, 12, 15, 18, and 24 months of age were analyzed. Parameter estimates, such as mature weight (A) and maturity rate (K) from nonlinear models are utilized as substitutes for the original body weights for the GWAS analysis. We chose the best nonlinear model to describe the weight-age data, and the estimated parameters were used as phenotypes in a multi-trait GWAS. Our aims were to identify and characterize associated SNP markers to indicate SNP-derived candidate genes and annotate their function as related to growth processes in beef cattle. The Brody model presented the best goodness of fit, and the heritability values for the parameter estimates for mature weight (A) and maturity rate (K) were 0.23 and 0.32, respectively, proving that these traits can be a feasible alternative when the objective is to change the shape of growth curves within genetic improvement programs. The genetic correlation between A and K was -0.84, indicating that animals with lower mature body weights reached that weight at younger ages. One hundred and sixty seven (167) and two hundred and sixty two (262) significant SNPs were associated with A and K, respectively. The annotated genes closest to the most significant SNPs for A had direct biological functions related to muscle development (RAB28), myogenic induction (BTG1), fetal growth (IL2), and body weights (APEX2); K genes were functionally associated with body weight, body height, average daily gain (TMEM18), and skeletal muscle development (SMN1). Candidate genes emerging from this GWAS may inform the search for causative mutations that could underpin genomic breeding for improved growth rates. Copyright:","author":[{"dropping-particle":"","family":"Crispim","given":"Aline Camporez","non-dropping-particle":"","parse-names":false,"suffix":""},{"dropping-particle":"","family":"Kelly","given":"Matthew John","non-dropping-particle":"","parse-names":false,"suffix":""},{"dropping-particle":"","family":"Guimarães","given":"Simone Eliza Facioni","non-dropping-particle":"","parse-names":false,"suffix":""},{"dropping-particle":"","family":"e Silva","given":"Fabyano Fonseca","non-dropping-particle":"","parse-names":false,"suffix":""},{"dropping-particle":"","family":"Fortes","given":"Marina Rufino Salinas","non-dropping-particle":"","parse-names":false,"suffix":""},{"dropping-particle":"","family":"Wenceslau","given":"Raphael Rocha","non-dropping-particle":"","parse-names":false,"suffix":""},{"dropping-particle":"","family":"Moore","given":"Stephen","non-dropping-particle":"","parse-names":false,"suffix":""}],"container-title":"PLOS ONE","editor":[{"dropping-particle":"","family":"Wu","given":"Rongling","non-dropping-particle":"","parse-names":false,"suffix":""}],"id":"ITEM-5","issue":"10","issued":{"date-parts":[["2015","10","7"]]},"page":"e0139906","publisher":"Public Library of Science","title":"Multi-Trait GWAS and New Candidate Genes Annotation for Growth Curve Parameters in Brahman Cattle","type":"article-journal","volume":"10"},"uris":["http://www.mendeley.com/documents/?uuid=a625c335-e6e2-3d56-9700-f72ce8d1ba77"]},{"id":"ITEM-6","itemData":{"DOI":"10.1017/S1751731117003068","ISSN":"1751732X","PMID":"29143708","abstract":"The objective of this study was to investigate the association of single nucleotide polymorphisms (SNPs) with birth weight, weight gain from birth to weaning and from weaning to yearling, yearling height and cow weight in Nelore cattle. Data from 5064 animals participating in the DeltaGen and PAINT breeding programs were used. The animals were genotyped with a panel of 777 962 SNPs (Illumina BovineHD BeadChip) and 412 993 SNPs remained after quality control analysis of the genomic data. A genome-wide association study was performed using a single-step methodology. The analyses were processed with the BLUPF90 family of programs. When applied to a genome-wide association studies, the single-step GBLUP methodology is an iterative process that estimates weights for the SNPs. The weights of SNPs were included in all analyses by iteratively applying the single-step GBLUP methodology and repeated twice so that the effect of the SNP and the effect of the animal were recalculated in order to increase the weight of SNPs with large effects and to reduce the weight of those with small effects. The genome-wide association results are reported based on the proportion of variance explained by windows of 50 adjacent SNPs. Considering the two iterations, only windows with an additive genetic variance &gt;1.5% were presented in the results. Associations were observed with birth weight on BTA 14, with weight gain from birth to weaning on BTA 5 and 29, with weight gain from weaning to yearling on BTA 11, and with yearling height on BTA 8, showing the genes TMEM68 (transmembrane protein 8B) associated with birth weight and yearling height, XKR4 (XK, Kell blood group complex subunit-related family, member 4) associated with birth weight, NPR2 (natriuretic peptide receptor B) associated with yearling height, and REG3G (regenerating islet-derived 3-gamma) associated with weight gain from weaning to yearling. These genes play an important role in feed intake, weight gain and the regulation of skeletal growth.","author":[{"dropping-particle":"","family":"Terakado","given":"A. P.N.","non-dropping-particle":"","parse-names":false,"suffix":""},{"dropping-particle":"","family":"Costa","given":"R. B.","non-dropping-particle":"","parse-names":false,"suffix":""},{"dropping-particle":"","family":"Camargo","given":"G. M.F.","non-dropping-particle":"De","parse-names":false,"suffix":""},{"dropping-particle":"","family":"Irano","given":"N.","non-dropping-particle":"","parse-names":false,"suffix":""},{"dropping-particle":"","family":"Bresolin","given":"T.","non-dropping-particle":"","parse-names":false,"suffix":""},{"dropping-particle":"","family":"Takada","given":"L.","non-dropping-particle":"","parse-names":false,"suffix":""},{"dropping-particle":"V.D.","family":"Carvalho","given":"C.","non-dropping-particle":"","parse-names":false,"suffix":""},{"dropping-particle":"","family":"Oliveira","given":"H. N.","non-dropping-particle":"","parse-names":false,"suffix":""},{"dropping-particle":"","family":"Carvalheiro","given":"R.","non-dropping-particle":"","parse-names":false,"suffix":""},{"dropping-particle":"","family":"Baldi","given":"F.","non-dropping-particle":"","parse-names":false,"suffix":""},{"dropping-particle":"","family":"Albuquerque","given":"L. G.","non-dropping-particle":"De","parse-names":false,"suffix":""}],"container-title":"Animal","id":"ITEM-6","issue":"7","issued":{"date-parts":[["2018","7","1"]]},"page":"1358-1362","publisher":"Cambridge University Press","title":"Genome-wide association study for growth traits in Nelore cattle","type":"article-journal","volume":"12"},"uris":["http://www.mendeley.com/documents/?uuid=2003c4cc-1f18-3cef-823b-90d48516198d"]},{"id":"ITEM-7","itemData":{"abstract":"The present study aimed to identify causative loci and genes enriched in pathways associated with canine obesity using a genome-wide association study (GWAS). The GWAS was first performed to identify candidate single-nucleotide polymorphisms (SNPs) associated with obesity and obesity-related traits including body weight and blood sugar in 18 different breeds of 153 dogs. A total of 10 and 2 SNPs were found to be significantly (p &lt; 3.74 × 10−7 ) associated with body weight and blood sugar, respectively. None of the SNPs were identified to be significantly associated with obesity trait. We subsequently followed up the GWAS analysis with gene-set enrichment and pathway analyses. A gene-set with 1057, 1409, and 1243 SNPs annotated to 449, 933 and 820 genes for obesity, body weight, and blood sugar, respectively was created by sub-setting the GWAS result at a threshold of p &lt; 0.01 for the gene-set enrichment analysis. In total, 84 GO and 21 KEGG pathways for obesity, 114 GO and 44 KEGG pathways for blood sugar, 120 GO and 24 KEGG pathways for body weight were found to be enriched. Among the pathways and GO terms, we highlighted five enriched pathways (Wnt signaling pathway, adherens junction, pathways in cancer, axon guidance, and insulin secretion) and seven GO terms (fat cell differentiation, calcium ion binding, cytoplasm, nucleus, phospholipid transport, central nervous system development, and cell surface) that were found to be shared among all the traits. Our data provide insights into the genes and pathways associated with obesity and obesity-related traits","author":[{"dropping-particle":"","family":"Sheet","given":"Sunirmal","non-dropping-particle":"","parse-names":false,"suffix":""},{"dropping-particle":"","family":"Krishnamoorthy","given":"Srikanth","non-dropping-particle":"","parse-names":false,"suffix":""},{"dropping-particle":"","family":"Cha","given":"Jihye","non-dropping-particle":"","parse-names":false,"suffix":""},{"dropping-particle":"","family":"Choi","given":"Soyoung","non-dropping-particle":"","parse-names":false,"suffix":""},{"dropping-particle":"","family":"Choi","given":"Bong-Hwan","non-dropping-particle":"","parse-names":false,"suffix":""}],"container-title":"Animals","id":"ITEM-7","issue":"2071","issued":{"date-parts":[["2020"]]},"page":"1-15","title":"Identification of Candidate Genes and Pathways Associated with Obesity-Related Traits in Canines via Gene-Set Enrichment and Pathway-Based GWAS Analysis","type":"article-journal","volume":"10"},"uris":["http://www.mendeley.com/documents/?uuid=fc5db72a-5a0d-4686-91b6-4af8e4a8c4fb"]}],"mendeley":{"formattedCitation":"[2, 43, 82–86]","plainTextFormattedCitation":"[2, 43, 82–86]","previouslyFormattedCitation":"[2, 43, 82–86]"},"properties":{"noteIndex":0},"schema":"https://github.com/citation-style-language/schema/raw/master/csl-citation.json"}</w:instrText>
            </w:r>
            <w:r w:rsidRPr="00DD24FA">
              <w:rPr>
                <w:rFonts w:ascii="Times New Roman" w:hAnsi="Times New Roman" w:cs="Times New Roman"/>
                <w:sz w:val="18"/>
                <w:szCs w:val="18"/>
              </w:rPr>
              <w:fldChar w:fldCharType="separate"/>
            </w:r>
            <w:r w:rsidR="00317FD1" w:rsidRPr="00DD24FA">
              <w:rPr>
                <w:rFonts w:ascii="Times New Roman" w:hAnsi="Times New Roman" w:cs="Times New Roman"/>
                <w:noProof/>
                <w:sz w:val="18"/>
                <w:szCs w:val="18"/>
              </w:rPr>
              <w:t>[2, 43, 82–86]</w:t>
            </w:r>
            <w:r w:rsidRPr="00DD24FA">
              <w:rPr>
                <w:rFonts w:ascii="Times New Roman" w:hAnsi="Times New Roman" w:cs="Times New Roman"/>
                <w:sz w:val="18"/>
                <w:szCs w:val="18"/>
              </w:rPr>
              <w:fldChar w:fldCharType="end"/>
            </w:r>
            <w:r w:rsidRPr="00DD24FA">
              <w:rPr>
                <w:rFonts w:ascii="Times New Roman" w:hAnsi="Times New Roman" w:cs="Times New Roman"/>
                <w:sz w:val="18"/>
                <w:szCs w:val="18"/>
              </w:rPr>
              <w:t>; Human, rat, cattle, dog; Neurite outgrowth, milk yield and lactation persistence, sperm motility, conception rate, mature weight, yearling height, body weight</w:t>
            </w:r>
          </w:p>
        </w:tc>
      </w:tr>
    </w:tbl>
    <w:p w14:paraId="44311C96" w14:textId="629344CE" w:rsidR="00267B98" w:rsidRPr="00F85CC8" w:rsidRDefault="00267B98" w:rsidP="00267B98">
      <w:pPr>
        <w:spacing w:after="0" w:line="240" w:lineRule="auto"/>
        <w:contextualSpacing/>
        <w:rPr>
          <w:sz w:val="20"/>
          <w:szCs w:val="20"/>
        </w:rPr>
      </w:pPr>
      <w:r w:rsidRPr="00F85CC8">
        <w:rPr>
          <w:sz w:val="20"/>
          <w:szCs w:val="20"/>
          <w:vertAlign w:val="superscript"/>
        </w:rPr>
        <w:t xml:space="preserve">a </w:t>
      </w:r>
      <w:r w:rsidRPr="00F85CC8">
        <w:rPr>
          <w:sz w:val="20"/>
          <w:szCs w:val="20"/>
        </w:rPr>
        <w:t xml:space="preserve">Significant for </w:t>
      </w:r>
      <w:r w:rsidR="0093268A" w:rsidRPr="00F85CC8">
        <w:rPr>
          <w:sz w:val="20"/>
          <w:szCs w:val="20"/>
        </w:rPr>
        <w:t xml:space="preserve">U.S. </w:t>
      </w:r>
      <w:r w:rsidRPr="00F85CC8">
        <w:rPr>
          <w:sz w:val="20"/>
          <w:szCs w:val="20"/>
        </w:rPr>
        <w:t>Foothills Ecoregion</w:t>
      </w:r>
    </w:p>
    <w:p w14:paraId="48581867" w14:textId="72E54236" w:rsidR="00267B98" w:rsidRPr="00F85CC8" w:rsidRDefault="00267B98" w:rsidP="00267B98">
      <w:pPr>
        <w:spacing w:after="0" w:line="240" w:lineRule="auto"/>
        <w:contextualSpacing/>
        <w:rPr>
          <w:sz w:val="20"/>
          <w:szCs w:val="20"/>
        </w:rPr>
      </w:pPr>
      <w:r w:rsidRPr="00F85CC8">
        <w:rPr>
          <w:sz w:val="20"/>
          <w:szCs w:val="20"/>
          <w:vertAlign w:val="superscript"/>
        </w:rPr>
        <w:t xml:space="preserve">b </w:t>
      </w:r>
      <w:r w:rsidRPr="00F85CC8">
        <w:rPr>
          <w:sz w:val="20"/>
          <w:szCs w:val="20"/>
        </w:rPr>
        <w:t xml:space="preserve">Significant for </w:t>
      </w:r>
      <w:r w:rsidR="0093268A" w:rsidRPr="00F85CC8">
        <w:rPr>
          <w:sz w:val="20"/>
          <w:szCs w:val="20"/>
        </w:rPr>
        <w:t xml:space="preserve">U.S. </w:t>
      </w:r>
      <w:r w:rsidRPr="00F85CC8">
        <w:rPr>
          <w:sz w:val="20"/>
          <w:szCs w:val="20"/>
        </w:rPr>
        <w:t>Fescue Belt Ecoregion</w:t>
      </w:r>
    </w:p>
    <w:p w14:paraId="25752D82" w14:textId="7F95A49D" w:rsidR="00267B98" w:rsidRPr="00F85CC8" w:rsidRDefault="00267B98" w:rsidP="00267B98">
      <w:pPr>
        <w:spacing w:after="0" w:line="240" w:lineRule="auto"/>
        <w:contextualSpacing/>
        <w:rPr>
          <w:sz w:val="20"/>
          <w:szCs w:val="20"/>
        </w:rPr>
      </w:pPr>
      <w:r w:rsidRPr="00F85CC8">
        <w:rPr>
          <w:sz w:val="20"/>
          <w:szCs w:val="20"/>
          <w:vertAlign w:val="superscript"/>
        </w:rPr>
        <w:t xml:space="preserve">c </w:t>
      </w:r>
      <w:r w:rsidRPr="00F85CC8">
        <w:rPr>
          <w:sz w:val="20"/>
          <w:szCs w:val="20"/>
        </w:rPr>
        <w:t xml:space="preserve">Significant for </w:t>
      </w:r>
      <w:r w:rsidR="0093268A" w:rsidRPr="00F85CC8">
        <w:rPr>
          <w:sz w:val="20"/>
          <w:szCs w:val="20"/>
        </w:rPr>
        <w:t xml:space="preserve">U.S. </w:t>
      </w:r>
      <w:r w:rsidRPr="00F85CC8">
        <w:rPr>
          <w:sz w:val="20"/>
          <w:szCs w:val="20"/>
        </w:rPr>
        <w:t>Upper Midwest &amp; Northeast Ecoregion</w:t>
      </w:r>
    </w:p>
    <w:p w14:paraId="49F398D4" w14:textId="4C772565" w:rsidR="00267B98" w:rsidRPr="00F85CC8" w:rsidRDefault="00267B98" w:rsidP="00267B98">
      <w:pPr>
        <w:spacing w:after="0" w:line="240" w:lineRule="auto"/>
        <w:contextualSpacing/>
        <w:rPr>
          <w:sz w:val="20"/>
          <w:szCs w:val="20"/>
        </w:rPr>
      </w:pPr>
      <w:r w:rsidRPr="00F85CC8">
        <w:rPr>
          <w:sz w:val="20"/>
          <w:szCs w:val="20"/>
          <w:vertAlign w:val="superscript"/>
        </w:rPr>
        <w:t xml:space="preserve">d </w:t>
      </w:r>
      <w:r w:rsidRPr="00F85CC8">
        <w:rPr>
          <w:sz w:val="20"/>
          <w:szCs w:val="20"/>
        </w:rPr>
        <w:t xml:space="preserve">Significant for </w:t>
      </w:r>
      <w:r w:rsidR="0093268A" w:rsidRPr="00F85CC8">
        <w:rPr>
          <w:sz w:val="20"/>
          <w:szCs w:val="20"/>
        </w:rPr>
        <w:t xml:space="preserve">U.S. </w:t>
      </w:r>
      <w:r w:rsidRPr="00F85CC8">
        <w:rPr>
          <w:sz w:val="20"/>
          <w:szCs w:val="20"/>
        </w:rPr>
        <w:t>High Plains Ecoregion</w:t>
      </w:r>
    </w:p>
    <w:p w14:paraId="6C80F33F" w14:textId="6B7FA413" w:rsidR="00267B98" w:rsidRPr="00F85CC8" w:rsidRDefault="00267B98" w:rsidP="00267B98">
      <w:pPr>
        <w:spacing w:after="0" w:line="240" w:lineRule="auto"/>
        <w:contextualSpacing/>
        <w:rPr>
          <w:sz w:val="20"/>
          <w:szCs w:val="20"/>
        </w:rPr>
      </w:pPr>
      <w:r w:rsidRPr="00F85CC8">
        <w:rPr>
          <w:sz w:val="20"/>
          <w:szCs w:val="20"/>
          <w:vertAlign w:val="superscript"/>
        </w:rPr>
        <w:t xml:space="preserve">e </w:t>
      </w:r>
      <w:r w:rsidRPr="00F85CC8">
        <w:rPr>
          <w:sz w:val="20"/>
          <w:szCs w:val="20"/>
        </w:rPr>
        <w:t xml:space="preserve">Significant for </w:t>
      </w:r>
      <w:r w:rsidR="0093268A" w:rsidRPr="00F85CC8">
        <w:rPr>
          <w:sz w:val="20"/>
          <w:szCs w:val="20"/>
        </w:rPr>
        <w:t xml:space="preserve">U.S. </w:t>
      </w:r>
      <w:r w:rsidRPr="00F85CC8">
        <w:rPr>
          <w:sz w:val="20"/>
          <w:szCs w:val="20"/>
        </w:rPr>
        <w:t>Forested Mountains Ecoregion</w:t>
      </w:r>
    </w:p>
    <w:p w14:paraId="4EF01EEB" w14:textId="6BDC482B" w:rsidR="00267B98" w:rsidRPr="00F85CC8" w:rsidRDefault="00267B98" w:rsidP="00267B98">
      <w:pPr>
        <w:spacing w:after="0" w:line="240" w:lineRule="auto"/>
        <w:contextualSpacing/>
        <w:rPr>
          <w:sz w:val="20"/>
          <w:szCs w:val="20"/>
        </w:rPr>
      </w:pPr>
      <w:r w:rsidRPr="00F85CC8">
        <w:rPr>
          <w:sz w:val="20"/>
          <w:szCs w:val="20"/>
          <w:vertAlign w:val="superscript"/>
        </w:rPr>
        <w:t xml:space="preserve">f </w:t>
      </w:r>
      <w:r w:rsidRPr="00F85CC8">
        <w:rPr>
          <w:sz w:val="20"/>
          <w:szCs w:val="20"/>
        </w:rPr>
        <w:t xml:space="preserve">Significant for </w:t>
      </w:r>
      <w:r w:rsidR="0093268A" w:rsidRPr="00F85CC8">
        <w:rPr>
          <w:sz w:val="20"/>
          <w:szCs w:val="20"/>
        </w:rPr>
        <w:t xml:space="preserve">U.S. </w:t>
      </w:r>
      <w:r w:rsidRPr="00F85CC8">
        <w:rPr>
          <w:sz w:val="20"/>
          <w:szCs w:val="20"/>
        </w:rPr>
        <w:t>Arid Prairie Ecoregion</w:t>
      </w:r>
    </w:p>
    <w:p w14:paraId="18F5B7EC" w14:textId="1D4515F3" w:rsidR="001B22CD" w:rsidRPr="00F85CC8" w:rsidRDefault="001C4707" w:rsidP="00267B98">
      <w:pPr>
        <w:spacing w:after="0" w:line="240" w:lineRule="auto"/>
        <w:contextualSpacing/>
        <w:rPr>
          <w:sz w:val="20"/>
          <w:szCs w:val="20"/>
        </w:rPr>
      </w:pPr>
      <w:r w:rsidRPr="00F85CC8">
        <w:rPr>
          <w:sz w:val="20"/>
          <w:szCs w:val="20"/>
          <w:vertAlign w:val="superscript"/>
        </w:rPr>
        <w:t>g</w:t>
      </w:r>
      <w:r w:rsidR="0013515C" w:rsidRPr="00F85CC8">
        <w:rPr>
          <w:sz w:val="20"/>
          <w:szCs w:val="20"/>
        </w:rPr>
        <w:t xml:space="preserve"> Significant for</w:t>
      </w:r>
      <w:r w:rsidR="0093268A" w:rsidRPr="00F85CC8">
        <w:rPr>
          <w:sz w:val="20"/>
          <w:szCs w:val="20"/>
        </w:rPr>
        <w:t xml:space="preserve"> U.S.</w:t>
      </w:r>
      <w:r w:rsidR="0013515C" w:rsidRPr="00F85CC8">
        <w:rPr>
          <w:sz w:val="20"/>
          <w:szCs w:val="20"/>
        </w:rPr>
        <w:t xml:space="preserve"> Southeast Ecoregion</w:t>
      </w:r>
    </w:p>
    <w:p w14:paraId="72CD22F7" w14:textId="77777777" w:rsidR="00F85CC8" w:rsidRDefault="00F85CC8">
      <w:pPr>
        <w:rPr>
          <w:b/>
          <w:bCs/>
          <w:sz w:val="20"/>
          <w:szCs w:val="20"/>
        </w:rPr>
      </w:pPr>
    </w:p>
    <w:p w14:paraId="108C3CDE" w14:textId="1B6E4999" w:rsidR="00267B98" w:rsidRPr="00267B98" w:rsidRDefault="00267B98" w:rsidP="00267B98">
      <w:pPr>
        <w:jc w:val="center"/>
        <w:rPr>
          <w:b/>
          <w:bCs/>
        </w:rPr>
      </w:pPr>
      <w:r w:rsidRPr="00267B98">
        <w:rPr>
          <w:b/>
          <w:bCs/>
        </w:rPr>
        <w:t>Additional File References</w:t>
      </w:r>
    </w:p>
    <w:p w14:paraId="1B2AB3EA" w14:textId="009EAB25" w:rsidR="00F85CC8" w:rsidRPr="00F85CC8" w:rsidRDefault="00FB25E0" w:rsidP="00F85CC8">
      <w:pPr>
        <w:widowControl w:val="0"/>
        <w:autoSpaceDE w:val="0"/>
        <w:autoSpaceDN w:val="0"/>
        <w:adjustRightInd w:val="0"/>
        <w:spacing w:line="240" w:lineRule="auto"/>
        <w:rPr>
          <w:rFonts w:ascii="Calibri" w:hAnsi="Calibri" w:cs="Calibri"/>
          <w:noProof/>
          <w:sz w:val="20"/>
          <w:szCs w:val="24"/>
        </w:rPr>
      </w:pPr>
      <w:r w:rsidRPr="00DD24FA">
        <w:rPr>
          <w:sz w:val="20"/>
          <w:szCs w:val="20"/>
        </w:rPr>
        <w:fldChar w:fldCharType="begin" w:fldLock="1"/>
      </w:r>
      <w:r w:rsidRPr="00DD24FA">
        <w:rPr>
          <w:sz w:val="20"/>
          <w:szCs w:val="20"/>
        </w:rPr>
        <w:instrText xml:space="preserve">ADDIN Mendeley Bibliography CSL_BIBLIOGRAPHY </w:instrText>
      </w:r>
      <w:r w:rsidRPr="00DD24FA">
        <w:rPr>
          <w:sz w:val="20"/>
          <w:szCs w:val="20"/>
        </w:rPr>
        <w:fldChar w:fldCharType="separate"/>
      </w:r>
      <w:r w:rsidR="00F85CC8" w:rsidRPr="00F85CC8">
        <w:rPr>
          <w:rFonts w:ascii="Calibri" w:hAnsi="Calibri" w:cs="Calibri"/>
          <w:noProof/>
          <w:sz w:val="20"/>
          <w:szCs w:val="24"/>
        </w:rPr>
        <w:t>1. Saatchi M, Schnabel RD, Taylor JF, Garrick DJ. Large-effect pleiotropic or closely linked QTL segregate within and across ten US cattle breeds. BMC Genomics. 2014;15.</w:t>
      </w:r>
    </w:p>
    <w:p w14:paraId="5044CCFB"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2. Crispim AC, Kelly MJ, Guimarães SEF, e Silva FF, Fortes MRS, Wenceslau RR, et al. Multi-Trait GWAS and New Candidate Genes Annotation for Growth Curve Parameters in Brahman Cattle. PLoS One. 2015;10:e0139906. doi:10.1371/journal.pone.0139906.</w:t>
      </w:r>
    </w:p>
    <w:p w14:paraId="7A78A321"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3. Kiser JN, Keuter EM, Seabury CM, Neupane M, Moraes JGN, Dalton J, et al. Validation of 46 loci associated with female fertility traits in cattle. BMC Genomics. 2019;20:576. doi:10.1186/s12864-019-5935-3.</w:t>
      </w:r>
    </w:p>
    <w:p w14:paraId="0117230D"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4. Veerkamp RF, Coffey MP, Berry DP, De Haas Y, Strandberg E, Bovenhuis H, et al. Genome-wide associations for feed utilisation complex in primiparous Holstein-Friesian dairy cows from experimental research herds in four European countries. Animal. 2012;6:1738–49. doi:10.1017/S1751731112001152.</w:t>
      </w:r>
    </w:p>
    <w:p w14:paraId="6FA85926"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5. Smith JL, Wilson ML, Nilson SM, Rowan TN, Oldeschulte DL, Schnabel RD, et al. Genome-wide association and genotype by environment interactions for growth traits in U.S. Gelbvieh cattle. BMC Genomics. 2019;20:926. doi:10.1186/s12864-019-6231-y.</w:t>
      </w:r>
    </w:p>
    <w:p w14:paraId="28710630"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6. Portela VM, Machado M, Buratini J, Zamberlam G, Amorim RL, Goncalves P, et al. Expression and Function of Fibroblast Growth Factor 18 in the Ovarian Follicle in Cattle1. Biol Reprod. 2010;83:339–46. doi:10.1095/biolreprod.110.084277.</w:t>
      </w:r>
    </w:p>
    <w:p w14:paraId="1307165D"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7. Meredith BK, Kearney FJ, Finlay EK, Bradley DG, Fahey AG, Berry DP, et al. Genome-wide associations for milk production and somatic cell score in Holstein-Friesian cattle in Ireland. BMC Genet. 2012;13:21. doi:10.1186/1471-2156-13-21.</w:t>
      </w:r>
    </w:p>
    <w:p w14:paraId="11F1A6BC"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8. Fortes MRS, Reverter A, Nagaraj SH, Zhang Y, Jonsson NN, Barris W, et al. A single nucleotide polymorphism-derived regulatory gene network underlying puberty in 2 tropical breeds of beef cattle1. J Anim Sci. 2011;89:1669–83. doi:10.2527/jas.2010-3681.</w:t>
      </w:r>
    </w:p>
    <w:p w14:paraId="7E962F91"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9. Gasser CL, Behlke EJ, Grum DE, Day ML. Effect of timing of feeding a high-concentrate diet on growth and attainment of puberty in early-weaned heifers. J Anim Sci. 2006;84:3118–22. doi:10.2527/jas.2005-676.</w:t>
      </w:r>
    </w:p>
    <w:p w14:paraId="62ABD37F"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10. Patel K, Scrimieri F, Ghosh S, Zhong J, Kim M-S, Ren YR, et al. FAM190A Deficiency Creates a Cell Division Defect. Am J Pathol. 2013;183:296–303. doi:10.1016/j.ajpath.2013.03.020.</w:t>
      </w:r>
    </w:p>
    <w:p w14:paraId="74DD98DC"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 xml:space="preserve">11. Sebastian K, Detro-Dassen S, Rinis N, Fahrenkamp D, Müller-Newen G, Merk HF, et al. Characterization of SLCO5A1/OATP5A1, a Solute Carrier Transport Protein with Non-Classical Function. PLoS One. 2013;8:e83257. </w:t>
      </w:r>
      <w:r w:rsidRPr="00F85CC8">
        <w:rPr>
          <w:rFonts w:ascii="Calibri" w:hAnsi="Calibri" w:cs="Calibri"/>
          <w:noProof/>
          <w:sz w:val="20"/>
          <w:szCs w:val="24"/>
        </w:rPr>
        <w:lastRenderedPageBreak/>
        <w:t>doi:10.1371/journal.pone.0083257.</w:t>
      </w:r>
    </w:p>
    <w:p w14:paraId="743E1512"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12. Jang H, Choi Y, Yoo I, Han J, Kim M, Ka H. Expression and regulation of prostaglandin transporters, ATP-binding cassette, subfamily C, member 1 and 9, and solute carrier organic anion transporter family, member 2A1 and 5A1 in the uterine endometrium during the estrous cycle and pregnancy in pigs. Asian-Australasian J Anim Sci. 2016;30:643–52. doi:10.5713/ajas.16.0637.</w:t>
      </w:r>
    </w:p>
    <w:p w14:paraId="0CBB5C23"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13. Levy S, Allerston CK, Liveanu V, Habib MR, Gileadi O, Schuster G. Identification of LACTB2, a metallo-β-lactamase protein, as a human mitochondrial endoribonuclease. Nucleic Acids Res. 2016;44:1813–32.</w:t>
      </w:r>
    </w:p>
    <w:p w14:paraId="0ACA634A"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14. Cole JB, Wiggans GR, Ma L, Sonstegard TS, Lawlor TJ, Crooker BA, et al. Genome-wide association analysis of thirty one production, health, reproduction and body conformation traits in contemporary U.S. Holstein cows. BMC Genomics. 2011;12:408. doi:10.1186/1471-2164-12-408.</w:t>
      </w:r>
    </w:p>
    <w:p w14:paraId="114FC6AE"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15. Sanui T, Inayoshi A, Noda M, Iwata E, Oike M, Sasazuki T, et al. DOCK2 is essential for antigen-induced translocation of TCR and lipid rafts, but not PKC-θ and LFA-1, in T cells. Immunity. 2003;19:119–29.</w:t>
      </w:r>
    </w:p>
    <w:p w14:paraId="3C85CEEA"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16. Fukui Y, Hashimoto O, Sanui T, Oono T, Koga H, Abe M, et al. Haematopoietic cell-specific CDM family protein DOCK2 is essential for lymphocyte migration. Nature. 2001;412:826–31. doi:10.1038/35090591.</w:t>
      </w:r>
    </w:p>
    <w:p w14:paraId="745FA858"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17. Espinosa-Diez C, Wilson R, Mukherjee R, Feltham M, Hudson C, Ruhl R, et al. DNA damage dependent hypomethylation regulates the pro-angiogenic LncRNA MEG9. bioRxiv. 2018;:442699. doi:10.1101/442699.</w:t>
      </w:r>
    </w:p>
    <w:p w14:paraId="14CA20CC"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18. De Klerk B, Emam M, Thompson-Crispi KA, Sargolzaei M, Van der Poel JJ, Mallard BA. A genome-wide association study for natural antibodies measured in blood of Canadian Holstein cows. BMC Genomics. 2018;19:694. doi:10.1186/s12864-018-5062-6.</w:t>
      </w:r>
    </w:p>
    <w:p w14:paraId="2958EA15"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19. Akanno EC, Chen L, Abo-Ismail MK, Crowley JJ, Wang Z, Li C, et al. Genome-wide association scan for heterotic quantitative trait loci in multi-breed and crossbred beef cattle. Genet Sel Evol. 2018;50:48. doi:10.1186/s12711-018-0405-y.</w:t>
      </w:r>
    </w:p>
    <w:p w14:paraId="5318F567"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 xml:space="preserve">20. Urano T, Shiraki M, Yagi H, Ito M, Sasaki N, Sato M, et al. </w:t>
      </w:r>
      <w:r w:rsidRPr="00F85CC8">
        <w:rPr>
          <w:rFonts w:ascii="Calibri" w:hAnsi="Calibri" w:cs="Calibri"/>
          <w:i/>
          <w:iCs/>
          <w:noProof/>
          <w:sz w:val="20"/>
          <w:szCs w:val="24"/>
        </w:rPr>
        <w:t>GPR98</w:t>
      </w:r>
      <w:r w:rsidRPr="00F85CC8">
        <w:rPr>
          <w:rFonts w:ascii="Calibri" w:hAnsi="Calibri" w:cs="Calibri"/>
          <w:noProof/>
          <w:sz w:val="20"/>
          <w:szCs w:val="24"/>
        </w:rPr>
        <w:t xml:space="preserve"> / </w:t>
      </w:r>
      <w:r w:rsidRPr="00F85CC8">
        <w:rPr>
          <w:rFonts w:ascii="Calibri" w:hAnsi="Calibri" w:cs="Calibri"/>
          <w:i/>
          <w:iCs/>
          <w:noProof/>
          <w:sz w:val="20"/>
          <w:szCs w:val="24"/>
        </w:rPr>
        <w:t>Gpr98</w:t>
      </w:r>
      <w:r w:rsidRPr="00F85CC8">
        <w:rPr>
          <w:rFonts w:ascii="Calibri" w:hAnsi="Calibri" w:cs="Calibri"/>
          <w:noProof/>
          <w:sz w:val="20"/>
          <w:szCs w:val="24"/>
        </w:rPr>
        <w:t xml:space="preserve"> Gene Is Involved in the Regulation of Human and Mouse Bone Mineral Density. J Clin Endocrinol Metab. 2012;97:E565–74. doi:10.1210/jc.2011-2393.</w:t>
      </w:r>
    </w:p>
    <w:p w14:paraId="7F8B5F15"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21. Zhang F, Wang Y, Mukiibi R, Chen L, Vinsky M, Plastow G, et al. Genetic architecture of quantitative traits in beef cattle revealed by genome wide association studies of imputed whole genome sequence variants: I: feed efficiency and component traits. BMC Genomics. 2020;21:36. doi:10.1186/s12864-019-6362-1.</w:t>
      </w:r>
    </w:p>
    <w:p w14:paraId="20CBB3B3"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22. Hu W, Zuo J, De Jager PL, Heintz N. The human glutamate receptor δ2 gene (GRID2) maps to chromosome 4q22. Genomics. 1998;47:143–5.</w:t>
      </w:r>
    </w:p>
    <w:p w14:paraId="41B9924C"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23. Stafuzza NB, Costa e Silva EV da, Silva RM de O, Costa Filho LCC da, Barbosa FB, Macedo GG, et al. Genome‐wide association study for age at puberty in young Nelore bulls. J Anim Breed Genet. 2020;137:234–44. doi:10.1111/jbg.12438.</w:t>
      </w:r>
    </w:p>
    <w:p w14:paraId="072E5743"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24. Howard JT, Kachman SD, Snelling WM, Pollak EJ, Ciobanu DC, Kuehn LA, et al. Beef cattle body temperature during climatic stress: A genome-wide association study. Int J Biometeorol. 2014;58:1665–72. doi:10.1007/s00484-013-0773-5.</w:t>
      </w:r>
    </w:p>
    <w:p w14:paraId="17D65D2A"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25. Franzoni E, Booker SA, Parthasarathy S, Rehfeld F, Grosser S, Srivatsa S, et al. miR-128 regulates neuronal migration, outgrowth and intrinsic excitability via the intellectual disability gene Phf6. Elife. 2015;4.</w:t>
      </w:r>
    </w:p>
    <w:p w14:paraId="15C0D41A"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26. Palmer ND, McDonough CW, Hicks PJ, Roh BH, Wing MR, An SS, et al. A genome-wide association search for type 2 diabetes genes in african americans. PLoS One. 2012;7. doi:10.1371/journal.pone.0029202.</w:t>
      </w:r>
    </w:p>
    <w:p w14:paraId="219593A2"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27. Marete AG, Guldbrandtsen B, Lund MS, Fritz S, Sahana G, Boichard D. A Meta-Analysis Including Pre-selected Sequence Variants Associated With Seven Traits in Three French Dairy Cattle Populations. Front Genet. 2018;9:522. doi:10.3389/fgene.2018.00522.</w:t>
      </w:r>
    </w:p>
    <w:p w14:paraId="024D6B72"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lastRenderedPageBreak/>
        <w:t>28. Anitha A, Thanseem I, Nakamura K, Vasu MM, Yamada K, Ueki T, et al. Zinc finger protein 804A (ZNF804A) and verbal deficits in individuals with autism. J Psychiatry Neurosci. 2014;39:294–303. doi:10.1503/jpn.130126.</w:t>
      </w:r>
    </w:p>
    <w:p w14:paraId="6F1FB3BA"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29. Doyle JL, Berry DP, Veerkamp RF, Carthy TR, Evans RD, Walsh SW, et al. Genomic regions associated with muscularity in beef cattle differ in five contrasting cattle breeds. Genet Sel Evol. 2020;52:1–18. doi:10.1186/s12711-020-0523-1.</w:t>
      </w:r>
    </w:p>
    <w:p w14:paraId="2E3ED312"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30. Leal-Gutiérrez JD, Elzo MA, Mateescu RG. Identification of eQTLs and sQTLs associated with meat quality in beef. BMC Genomics. 2020;21:1–15. doi:10.1186/s12864-020-6520-5.</w:t>
      </w:r>
    </w:p>
    <w:p w14:paraId="3B3424B1"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31. Lemos MVA, Chiaia HLJ, Berton MP, Feitosa FLB, Aboujaoud C, Camargo GMF, et al. Genome-wide association between single nucleotide polymorphisms with beef fatty acid profile in Nellore cattle using the single step procedure. BMC Genomics. 2016;17:213. doi:10.1186/s12864-016-2511-y.</w:t>
      </w:r>
    </w:p>
    <w:p w14:paraId="5A707B42"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32. Calder MD, Madan P, Watson AJ. Bovine oocytes and early embryos express Staufen and ELAVL RNA-binding proteins. Zygote. 2008;16:161–8. doi:10.1017/S096719940700456X.</w:t>
      </w:r>
    </w:p>
    <w:p w14:paraId="28356E77"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33. Bouwman AC, Bovenhuis H, Visker MHPW, van Arendonk JAM. Genome-wide association of milk fatty acids in Dutch dairy cattle. BMC Genet. 2011;12:43. doi:10.1186/1471-2156-12-43.</w:t>
      </w:r>
    </w:p>
    <w:p w14:paraId="24DB9CC1"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34. Berto S, Usui N, Konopka G, Fogel BL. ELAVL2-regulated transcriptional and splicing networks in human neurons link neurodevelopment and autism. Hum Mol Genet. 2016;25:2451–64. doi:10.1093/hmg/ddw110.</w:t>
      </w:r>
    </w:p>
    <w:p w14:paraId="18196392"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35. Heni M, Kullmann S, Ahlqvist E, Wagner R, Machicao F, Staiger H, et al. Interaction between the obesity-risk gene FTO and the dopamine D2 receptor gene ANKK1/TaqIA on insulin sensitivity. Diabetologia. 2016;59:2622–31. doi:10.1007/s00125-016-4095-0.</w:t>
      </w:r>
    </w:p>
    <w:p w14:paraId="210D8825"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36. Rubio-Solsona E, Marti S, Vílchez JJ, Palau F, Hoenicka J. ANKK1 is found in myogenic precursors and muscle fibers subtypes with glycolytic metabolism. PLoS One. 2018;13. doi:10.1371/journal.pone.0197254.</w:t>
      </w:r>
    </w:p>
    <w:p w14:paraId="1F2CBE72"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37. Bouwman AC, Daetwyler HD, Chamberlain AJ, Ponce CH, Sargolzaei M, Schenkel FS, et al. Meta-analysis of genome-wide association studies for cattle stature identifies common genes that regulate body size in mammals. Nat Genet. 2018;50:362–7. doi:10.1038/s41588-018-0056-5.</w:t>
      </w:r>
    </w:p>
    <w:p w14:paraId="1292EE70"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38. Yan Z, Wang Z, Zhang Q, Yue S, Yin B, Jiang Y, et al. Identification of whole‐genome significant single nucleotide polymorphisms in candidate genes associated with body conformation traits in Chinese Holstein cattle. Anim Genet. 2020;51:141–6. doi:10.1111/age.12865.</w:t>
      </w:r>
    </w:p>
    <w:p w14:paraId="29D1FC0E"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39. Oliveira HR, Cant JP, Brito LF, Feitosa FLB, Chud TCS, Fonseca PAS, et al. Genome-wide association for milk production traits and somatic cell score in different lactation stages of Ayrshire, Holstein, and Jersey dairy cattle. J Dairy Sci. 2019;102:8159–74. doi:10.3168/jds.2019-16451.</w:t>
      </w:r>
    </w:p>
    <w:p w14:paraId="77BF75DB"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40. Höglund JK, Sahana G, Guldbrandtsen B, Lund MS. Validation of associations for female fertility traits in Nordic Holstein, Nordic Red and Jersey dairy cattle. BMC Genet. 2014;15:8. doi:10.1186/1471-2156-15-8.</w:t>
      </w:r>
    </w:p>
    <w:p w14:paraId="07194B6C"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41. Theurey P, Rieusset J. Mitochondria-Associated Membranes Response to Nutrient Availability and Role in Metabolic Diseases. Trends in Endocrinology and Metabolism. 2017;28:32–45.</w:t>
      </w:r>
    </w:p>
    <w:p w14:paraId="706F2142"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42. Rieusset J. The role of endoplasmic reticulum-mitochondria contact sites in the control of glucose homeostasis: An update. Cell Death Dis. 2018;9:1–12. doi:10.1038/s41419-018-0416-1.</w:t>
      </w:r>
    </w:p>
    <w:p w14:paraId="725BD590"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43. Galliou JM, Kiser JN, Oliver KF, Seabury CM, Moraes JGN, Burns GW, et al. Identification of Loci and Pathways Associated with Heifer Conception Rate in U.S. Holsteins. Genes (Basel). 2020;11:767. doi:10.3390/genes11070767.</w:t>
      </w:r>
    </w:p>
    <w:p w14:paraId="481CE76E"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44. Hansen L, Comyn S, Mang Y, Lind-Thomsen A, Myhre L, Jean F, et al. The myosin chaperone UNC45B is involved in lens development and autosomal dominant juvenile cataract. Eur J Hum Genet. 2014;22:1290–7. doi:10.1038/ejhg.2014.21.</w:t>
      </w:r>
    </w:p>
    <w:p w14:paraId="17E73304"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lastRenderedPageBreak/>
        <w:t>45. McClure MC, Ramey HR, Rolf MM, McKay SD, Decker JE, Chapple RH, et al. Genome‐wide association analysis for quantitative trait loci influencing Warner–Bratzler shear force in five taurine cattle breeds. Anim Genet. 2012;43:662–73. doi:10.1111/j.1365-2052.2012.02323.x.</w:t>
      </w:r>
    </w:p>
    <w:p w14:paraId="1B9CE1F1"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46. Mateescu RG, Garrick DJ, Reecy JM. Network analysis reveals putative genes affecting meat quality in Angus cattle. Front Genet. 2017;8 NOV. doi:10.3389/fgene.2017.00171.</w:t>
      </w:r>
    </w:p>
    <w:p w14:paraId="6C94AAF2"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47. Dikmen S, Wang X -z., Ortega MS, Cole JB, Null DJ, Hansen PJ. Single nucleotide polymorphisms associated with thermoregulation in lactating dairy cows exposed to heat stress. J Anim Breed Genet. 2015;132:409–19. doi:10.1111/jbg.12176.</w:t>
      </w:r>
    </w:p>
    <w:p w14:paraId="1E6F024C"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48. Ortega MS, Denicol AC, Cole JB, Null DJ, Hansen PJ. Use of single nucleotide polymorphisms in candidate genes associated with daughter pregnancy rate for prediction of genetic merit for reproduction in Holstein cows. Anim Genet. 2016;47:288–97. doi:10.1111/age.12420.</w:t>
      </w:r>
    </w:p>
    <w:p w14:paraId="23B7E52B"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49. Barendse W. Haplotype analysis improved evidence for candidate genes for intramuscular fat percentage from a genome wide association study of cattle. PLoS One. 2011;6. doi:10.1371/journal.pone.0029601.</w:t>
      </w:r>
    </w:p>
    <w:p w14:paraId="60DF6801"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50. Karisa BK, Thomson J, Wang Z, Stothard P, Moore SS, Plastow GS. Candidate genes and single nucleotide polymorphisms associated with variation in residual feed intake in beef cattle. J Anim Sci. 2013;91:3502–13. doi:10.2527/jas.2012-6170.</w:t>
      </w:r>
    </w:p>
    <w:p w14:paraId="75A5CFD8"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51. Nelovkov A, Philips MA, Kõks S, Vasar E. Rats with low exploratory activity in the elevated plus-maze have the increased expression of limbic system-associated membrane protein gene in the periaqueductal grey. Neurosci Lett. 2003;352:179–82.</w:t>
      </w:r>
    </w:p>
    <w:p w14:paraId="7523775E"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52. Pimenta AF, Zhukareva V, Barbe MF, Reinoso BS, Grimley C, Henzel W, et al. The limbic system-associated membrane protein is an Ig superfamily member that mediates selective neuronal growth and axon targeting. Neuron. 1995;15:287–97. doi:10.1016/0896-6273(95)90034-9.</w:t>
      </w:r>
    </w:p>
    <w:p w14:paraId="6CA7528C"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53. Pszczola M, Strabel T, Mucha S, Sell-Kubiak E. Genome-wide association identifies methane production level relation to genetic control of digestive tract development in dairy cows. Sci Rep. 2018;8:15164. doi:10.1038/s41598-018-33327-9.</w:t>
      </w:r>
    </w:p>
    <w:p w14:paraId="6A16B95F"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54. Lu D, Miller S, Sargolzaei M, Kelly M, Vander Voort G, Caldwell T, et al. Genome-wide association analyses for growth and feed efficiency traits in beef cattle. J Anim Sci. 2013;91:3612–33. doi:10.2527/jas.2012-5716.</w:t>
      </w:r>
    </w:p>
    <w:p w14:paraId="04D25CBD"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55. Howard JM, Nuguid JM, Ngole D, Nguyen H. Tcf3 expression marks both stem and progenitor cells in multiple epithelia. Dev. 2014;141:3143–52. doi:10.1242/dev.106989.</w:t>
      </w:r>
    </w:p>
    <w:p w14:paraId="153C6F5E"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56. Lau LY, Nguyen LT, Reverter A, Moore SS, Lynn A, McBride-Kelly L, et al. Gene regulation could be attributed to TCF3 and other key transcription factors in the muscle of pubertal heifers. Vet Med Sci. 2020;6:695–710. doi:10.1002/vms3.278.</w:t>
      </w:r>
    </w:p>
    <w:p w14:paraId="4A891F2C"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57. Liu W, Liu Y, Guo T, Hu C, Luo H, Zhang L, et al. TCF3, a novel positive regulator of osteogenesis, plays a crucial role in miR-17 modulating the diverse effect of canonical Wnt signaling in different microenvironments. Cell Death Dis. 2013;4:539. doi:10.1038/cddis.2013.65.</w:t>
      </w:r>
    </w:p>
    <w:p w14:paraId="097DB367"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58. Gong S, Xu C, Wang L, Liu Y, Owusu D, Bailey BA, et al. Genetic association analysis of polymorphisms in PSD3 gene with obesity, type 2 diabetes, and HDL cholesterol. Diabetes Res Clin Pract. 2017;126:105–14.</w:t>
      </w:r>
    </w:p>
    <w:p w14:paraId="365836C8"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59. Ibeagha-Awemu EM, Peters SO, Akwanji KA, Imumorin IG, Zhao X. High density genome wide genotyping-by-sequencing and association identifies common and low frequency SNPs, and novel candidate genes influencing cow milk traits. Sci Rep. 2016;6:1–18. doi:10.1038/srep31109.</w:t>
      </w:r>
    </w:p>
    <w:p w14:paraId="713A719E"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60. Frischknecht M, Seefried FR, Signer-Hasler H, Garrick D, Stricker C, Consortium I, et al. Genome-wide association studies of fertility and calving traits in Brown Swiss cattle using imputed whole-genome sequences. BMC Genomics. 2017;18:1–13. doi:10.1186/s12864-017-4308-z.</w:t>
      </w:r>
    </w:p>
    <w:p w14:paraId="6A25A7DE"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lastRenderedPageBreak/>
        <w:t>61. Zhou Y, Connor EE, Wiggans GR, Lu Y, Tempelman RJ, Schroeder SG, et al. Genome-wide copy number variant analysis reveals variants associated with 10 diverse production traits in Holstein cattle. BMC Genomics. 2018;19:314. doi:10.1186/s12864-018-4699-5.</w:t>
      </w:r>
    </w:p>
    <w:p w14:paraId="41A5D806"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62. Buzanskas ME, Grossi D do A, Ventura RV, Schenkel FS, Chud TCS, Stafuzza NB, et al. Candidate genes for male and female reproductive traits in Canchim beef cattle. J Anim Sci Biotechnol. 2017;8:67. doi:10.1186/s40104-017-0199-8.</w:t>
      </w:r>
    </w:p>
    <w:p w14:paraId="125D38FF"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63. Sahana G, Guldbrandtsen B, Lund MS. Genome-wide association study for calving traits in Danish and Swedish Holstein cattle. J Dairy Sci. 2011;94:479–86.</w:t>
      </w:r>
    </w:p>
    <w:p w14:paraId="1D6047CF"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64. Hardie LC, VandeHaar MJ, Tempelman RJ, Weigel KA, Armentano LE, Wiggans GR, et al. The genetic and biological basis of feed efficiency in mid-lactation Holstein dairy cows. J Dairy Sci. 2017;100:9061–75. doi:10.3168/jds.2017-12604.</w:t>
      </w:r>
    </w:p>
    <w:p w14:paraId="11AF9A62"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65. Moltke I, Grarup N, Jørgensen ME, Bjerregaard P, Treebak JT, Fumagalli M, et al. A common Greenlandic TBC1D4 variant confers muscle insulin resistance and type 2 diabetes. Nature. 2014;512:190–3. doi:10.1038/nature13425.</w:t>
      </w:r>
    </w:p>
    <w:p w14:paraId="18C24E56"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66. Gebreyesus G, Buitenhuis AJ, Poulsen NA, Visker MHPW, Zhang Q, van Valenberg HJF, et al. Combining multi-population datasets for joint genome-wide association and meta-analyses: The case of bovine milk fat composition traits. J Dairy Sci. 2019;102:11124–41.</w:t>
      </w:r>
    </w:p>
    <w:p w14:paraId="7143FD93"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67. Srikanth K, Lee SH, Chung KY, Park JE, Jang GW, Park MR, et al. A gene-set enrichment and protein–protein interaction network-based gwas with regulatory snps identifies candidate genes and pathways associated with carcass traits in hanwoo cattle. Genes (Basel). 2020;11:316. doi:10.3390/genes11030316.</w:t>
      </w:r>
    </w:p>
    <w:p w14:paraId="5863E36B"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68. Júnior GAF, Costa RB, de Camargo GMF, Carvalheiro R, Rosa GJM, Baldi F, et al. Genome scan for postmortem carcass traits in Nellore cattle. J Anim Sci. 2016;94:4087–95. doi:10.2527/jas2016-0632.</w:t>
      </w:r>
    </w:p>
    <w:p w14:paraId="0B1852D2"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69. Quirós PM, Ramsay AJ, Sala D, Fernández-Vizarra E, Rodríguez F, Peinado JR, et al. Loss of mitochondrial protease OMA1 alters processing of the GTPase OPA1 and causes obesity and defective thermogenesis in mice. EMBO J. 2012;31:2117–33. doi:10.1038/emboj.2012.70.</w:t>
      </w:r>
    </w:p>
    <w:p w14:paraId="3F2DF8B0"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70. Gebreyesus G, Buitenhuis AJ, Poulsen NA, Visker MHPW, Zhang Q, Van Valenberg HJF, et al. Multi-population GWAS and enrichment analyses reveal novel genomic regions and promising candidate genes underlying bovine milk fatty acid composition. BMC Genomics. 2019;20:178. doi:10.1186/s12864-019-5573-9.</w:t>
      </w:r>
    </w:p>
    <w:p w14:paraId="61AA4CD4"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71. Krebs DL, Uren RT, Metcalf D, Rakar S, Zhang J-G, Starr R, et al. SOCS-6 Binds to Insulin Receptor Substrate 4, and Mice Lacking the SOCS-6 Gene Exhibit Mild Growth Retardation. Mol Cell Biol. 2002;22:4567–78. doi:10.1128/mcb.22.13.4567-4578.2002.</w:t>
      </w:r>
    </w:p>
    <w:p w14:paraId="5D525980"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 xml:space="preserve">72. Grandone A, Torella A, Santoro C, Giugliano T, del Vecchio Blanco F, Mutarelli M, et al. Expanding the phenotype of </w:t>
      </w:r>
      <w:r w:rsidRPr="00F85CC8">
        <w:rPr>
          <w:rFonts w:ascii="Calibri" w:hAnsi="Calibri" w:cs="Calibri"/>
          <w:i/>
          <w:iCs/>
          <w:noProof/>
          <w:sz w:val="20"/>
          <w:szCs w:val="24"/>
        </w:rPr>
        <w:t>RTTN</w:t>
      </w:r>
      <w:r w:rsidRPr="00F85CC8">
        <w:rPr>
          <w:rFonts w:ascii="Calibri" w:hAnsi="Calibri" w:cs="Calibri"/>
          <w:noProof/>
          <w:sz w:val="20"/>
          <w:szCs w:val="24"/>
        </w:rPr>
        <w:t xml:space="preserve"> variations: a new family with primary microcephaly, severe growth failure, brain malformations and dermatitis. Clin Genet. 2016;90:445–50. doi:10.1111/cge.12771.</w:t>
      </w:r>
    </w:p>
    <w:p w14:paraId="3B406056"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73. Tabe S, Hikiji H, Ariyoshi W, Hashidate-Yoshida T, Shindou H, Okinaga T, et al. Lysophosphatidylethanolamine acyltransferase 1/membrane-bound O-acyltransferase 1 regulates morphology and function of P19C6 cell-derived neurons. FASEB J. 2016;30:2591–601. doi:10.1096/fj.201500097R.</w:t>
      </w:r>
    </w:p>
    <w:p w14:paraId="2FBC9F1B"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74. Hishikawa D, Shindou H, Kobayashi S, Nakanishi H, Taguchi R, Shimizu T. Discovery of a lysophospholipid acyltransferase family essential for membrane asymmetry and diversity. Proc Natl Acad Sci U S A. 2008;105:2830–5. doi:10.1073/pnas.0712245105.</w:t>
      </w:r>
    </w:p>
    <w:p w14:paraId="72309CCE"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75. Vinicius M, De Lemos A, Peripolli E, Piatto Berton M, Loise F, Feitosa B, et al. Association study between copy number variation and beef fatty acid profile of Nellore cattle. J Appl Genet. 2018;59:203–23. doi:10.1007/s13353-018-0436-7.</w:t>
      </w:r>
    </w:p>
    <w:p w14:paraId="4DFC8E69"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lastRenderedPageBreak/>
        <w:t>76. Vanvanhossou SFU, Scheper C, Dossa LH, Yin T, Brügemann K, König S. A multi-breed GWAS for morphometric traits in four Beninese indigenous cattle breeds reveals loci associated with conformation, carcass and adaptive traits. BMC Genomics. 2020;21. doi:10.1186/s12864-020-07170-0.</w:t>
      </w:r>
    </w:p>
    <w:p w14:paraId="6CF02A7C"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77. Chen Q, Huang B, Zhan J, Wang J, Qu K, Zhang F, et al. Whole-genome analyses identify loci and selective signals associated with body size in cattle. J Anim Sci. 2020;98:1–8. doi:10.1093/jas/skaa068.</w:t>
      </w:r>
    </w:p>
    <w:p w14:paraId="549AB6CE"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78. Yang M, Lin X, Rowe A, Rognes T, Eide L, Bjørås M. Transcriptome analysis of human OXR1 depleted cells reveals its role in regulating the p53 signaling pathway. Sci Rep. 2015;5:17409. doi:10.1038/srep17409.</w:t>
      </w:r>
    </w:p>
    <w:p w14:paraId="4E63DC12"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79. Oliver PL, Finelli MJ, Edwards B, Bitoun E, Butts DL, Becker EBE, et al. Oxr1 Is Essential for Protection against Oxidative Stress-Induced Neurodegeneration. PLoS Genet. 2011;7:e1002338. doi:10.1371/journal.pgen.1002338.</w:t>
      </w:r>
    </w:p>
    <w:p w14:paraId="67FE7335"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80. Zhang R, Miao J, Song Y, Zhang W, Xu L, Chen Y, et al. Genome-wide association study identifies the PLAG1-OXR1 region on BTA14 for carcass meat yield in cattle. Physiol Genomics. 2019;51:137–44. doi:10.1152/physiolgenomics.00112.2018.-Car.</w:t>
      </w:r>
    </w:p>
    <w:p w14:paraId="27969BD6"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81. Bouwman AC, Visker MHPW, van Arendonk JAM, Bovenhuis H. Genomic regions associated with bovine milk fatty acids in both summer and winter milk samples. BMC Genet. 2012;13:93. doi:10.1186/1471-2156-13-93.</w:t>
      </w:r>
    </w:p>
    <w:p w14:paraId="57E52394"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82. Seng S, Avraham HK, Jiang S, Venkatesh S, Avraham S. KLHL1/MRP2 Mediates Neurite Outgrowth in a Glycogen Synthase Kinase 3β-Dependent Manner. Mol Cell Biol. 2006;26:8371–84. doi:10.1128/mcb.02167-05.</w:t>
      </w:r>
    </w:p>
    <w:p w14:paraId="0C92BF82"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83. Yue SJ, Zhao YQ, Gu XR, Yin B, Jiang YL, Wang ZH, et al. A genome-wide association study suggests new candidate genes for milk production traits in Chinese Holstein cattle. Anim Genet. 2017;48:677–81. doi:10.1111/age.12593.</w:t>
      </w:r>
    </w:p>
    <w:p w14:paraId="74C9906D"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84. Hering DM, Olenski K, Kaminski S. Genome-wide association study for poor sperm motility in Holstein-Friesian bulls. Anim Reprod Sci. 2014;146:89–97.</w:t>
      </w:r>
    </w:p>
    <w:p w14:paraId="73B69A42" w14:textId="77777777" w:rsidR="00F85CC8" w:rsidRPr="00F85CC8" w:rsidRDefault="00F85CC8" w:rsidP="00F85CC8">
      <w:pPr>
        <w:widowControl w:val="0"/>
        <w:autoSpaceDE w:val="0"/>
        <w:autoSpaceDN w:val="0"/>
        <w:adjustRightInd w:val="0"/>
        <w:spacing w:line="240" w:lineRule="auto"/>
        <w:rPr>
          <w:rFonts w:ascii="Calibri" w:hAnsi="Calibri" w:cs="Calibri"/>
          <w:noProof/>
          <w:sz w:val="20"/>
          <w:szCs w:val="24"/>
        </w:rPr>
      </w:pPr>
      <w:r w:rsidRPr="00F85CC8">
        <w:rPr>
          <w:rFonts w:ascii="Calibri" w:hAnsi="Calibri" w:cs="Calibri"/>
          <w:noProof/>
          <w:sz w:val="20"/>
          <w:szCs w:val="24"/>
        </w:rPr>
        <w:t>85. Terakado APN, Costa RB, De Camargo GMF, Irano N, Bresolin T, Takada L, et al. Genome-wide association study for growth traits in Nelore cattle. Animal. 2018;12:1358–62. doi:10.1017/S1751731117003068.</w:t>
      </w:r>
    </w:p>
    <w:p w14:paraId="3F48CF23" w14:textId="77777777" w:rsidR="00F85CC8" w:rsidRPr="00F85CC8" w:rsidRDefault="00F85CC8" w:rsidP="00F85CC8">
      <w:pPr>
        <w:widowControl w:val="0"/>
        <w:autoSpaceDE w:val="0"/>
        <w:autoSpaceDN w:val="0"/>
        <w:adjustRightInd w:val="0"/>
        <w:spacing w:line="240" w:lineRule="auto"/>
        <w:rPr>
          <w:rFonts w:ascii="Calibri" w:hAnsi="Calibri" w:cs="Calibri"/>
          <w:noProof/>
          <w:sz w:val="20"/>
        </w:rPr>
      </w:pPr>
      <w:r w:rsidRPr="00F85CC8">
        <w:rPr>
          <w:rFonts w:ascii="Calibri" w:hAnsi="Calibri" w:cs="Calibri"/>
          <w:noProof/>
          <w:sz w:val="20"/>
          <w:szCs w:val="24"/>
        </w:rPr>
        <w:t>86. Sheet S, Krishnamoorthy S, Cha J, Choi S, Choi B-H. Identification of Candidate Genes and Pathways Associated with Obesity-Related Traits in Canines via Gene-Set Enrichment and Pathway-Based GWAS Analysis. Animals. 2020;10:1–15.</w:t>
      </w:r>
    </w:p>
    <w:p w14:paraId="76B708EA" w14:textId="7CE13DAF" w:rsidR="00FB25E0" w:rsidRPr="00DD24FA" w:rsidRDefault="00FB25E0" w:rsidP="00FB25E0">
      <w:pPr>
        <w:rPr>
          <w:sz w:val="20"/>
          <w:szCs w:val="20"/>
        </w:rPr>
      </w:pPr>
      <w:r w:rsidRPr="00DD24FA">
        <w:rPr>
          <w:sz w:val="20"/>
          <w:szCs w:val="20"/>
        </w:rPr>
        <w:fldChar w:fldCharType="end"/>
      </w:r>
    </w:p>
    <w:sectPr w:rsidR="00FB25E0" w:rsidRPr="00DD24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8D8"/>
    <w:rsid w:val="00037041"/>
    <w:rsid w:val="000A17DF"/>
    <w:rsid w:val="0013003D"/>
    <w:rsid w:val="0013515C"/>
    <w:rsid w:val="00165E9E"/>
    <w:rsid w:val="00171CC2"/>
    <w:rsid w:val="001B22CD"/>
    <w:rsid w:val="001C2F4F"/>
    <w:rsid w:val="001C4707"/>
    <w:rsid w:val="0022063C"/>
    <w:rsid w:val="002300EE"/>
    <w:rsid w:val="00254F13"/>
    <w:rsid w:val="00267B98"/>
    <w:rsid w:val="00297CA1"/>
    <w:rsid w:val="002C6A66"/>
    <w:rsid w:val="002E0B69"/>
    <w:rsid w:val="00317FD1"/>
    <w:rsid w:val="0033683C"/>
    <w:rsid w:val="00357539"/>
    <w:rsid w:val="003879B6"/>
    <w:rsid w:val="00393E96"/>
    <w:rsid w:val="003B53D6"/>
    <w:rsid w:val="003E225D"/>
    <w:rsid w:val="003F11A7"/>
    <w:rsid w:val="0042440C"/>
    <w:rsid w:val="00452294"/>
    <w:rsid w:val="00467929"/>
    <w:rsid w:val="004A3276"/>
    <w:rsid w:val="004A7F0D"/>
    <w:rsid w:val="004D1A12"/>
    <w:rsid w:val="00516A2E"/>
    <w:rsid w:val="0056136E"/>
    <w:rsid w:val="00597039"/>
    <w:rsid w:val="005B49E6"/>
    <w:rsid w:val="005D5CD7"/>
    <w:rsid w:val="00654ADF"/>
    <w:rsid w:val="0070618E"/>
    <w:rsid w:val="0072476E"/>
    <w:rsid w:val="00733D40"/>
    <w:rsid w:val="00736431"/>
    <w:rsid w:val="00737343"/>
    <w:rsid w:val="00745C58"/>
    <w:rsid w:val="007D2E8C"/>
    <w:rsid w:val="007E56CB"/>
    <w:rsid w:val="0082258D"/>
    <w:rsid w:val="00827661"/>
    <w:rsid w:val="008329B9"/>
    <w:rsid w:val="00857A29"/>
    <w:rsid w:val="00896161"/>
    <w:rsid w:val="0093268A"/>
    <w:rsid w:val="009624D6"/>
    <w:rsid w:val="00982DF3"/>
    <w:rsid w:val="00985BF1"/>
    <w:rsid w:val="009948D8"/>
    <w:rsid w:val="009D0CCB"/>
    <w:rsid w:val="009E608B"/>
    <w:rsid w:val="009E61DA"/>
    <w:rsid w:val="00A435DB"/>
    <w:rsid w:val="00A85935"/>
    <w:rsid w:val="00B47F85"/>
    <w:rsid w:val="00B6111A"/>
    <w:rsid w:val="00B7190B"/>
    <w:rsid w:val="00B77A3C"/>
    <w:rsid w:val="00B94AAF"/>
    <w:rsid w:val="00BA1BF1"/>
    <w:rsid w:val="00BA33F6"/>
    <w:rsid w:val="00BC228E"/>
    <w:rsid w:val="00BC4D7F"/>
    <w:rsid w:val="00BD1282"/>
    <w:rsid w:val="00C311B6"/>
    <w:rsid w:val="00C3783D"/>
    <w:rsid w:val="00C56AEA"/>
    <w:rsid w:val="00CC4E6A"/>
    <w:rsid w:val="00CD7421"/>
    <w:rsid w:val="00D04E4D"/>
    <w:rsid w:val="00D27179"/>
    <w:rsid w:val="00D90C11"/>
    <w:rsid w:val="00D91621"/>
    <w:rsid w:val="00D94885"/>
    <w:rsid w:val="00DB44B1"/>
    <w:rsid w:val="00DD1300"/>
    <w:rsid w:val="00DD24FA"/>
    <w:rsid w:val="00E13A86"/>
    <w:rsid w:val="00E5740D"/>
    <w:rsid w:val="00EB4D61"/>
    <w:rsid w:val="00EC1123"/>
    <w:rsid w:val="00F228EE"/>
    <w:rsid w:val="00F532F1"/>
    <w:rsid w:val="00F710BD"/>
    <w:rsid w:val="00F85CC8"/>
    <w:rsid w:val="00F92C04"/>
    <w:rsid w:val="00FB25E0"/>
    <w:rsid w:val="00FE2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7A07D"/>
  <w15:chartTrackingRefBased/>
  <w15:docId w15:val="{F1E6AED3-4AAD-447F-A3BF-983C43599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9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4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B53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3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78E86-4A0A-4103-A5C1-D72E350A9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103375</Words>
  <Characters>589243</Characters>
  <Application>Microsoft Office Word</Application>
  <DocSecurity>0</DocSecurity>
  <Lines>4910</Lines>
  <Paragraphs>1382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Smith</dc:creator>
  <cp:keywords/>
  <dc:description/>
  <cp:lastModifiedBy>Seabury, Christopher M</cp:lastModifiedBy>
  <cp:revision>2</cp:revision>
  <cp:lastPrinted>2021-06-23T04:29:00Z</cp:lastPrinted>
  <dcterms:created xsi:type="dcterms:W3CDTF">2022-02-11T15:38:00Z</dcterms:created>
  <dcterms:modified xsi:type="dcterms:W3CDTF">2022-02-11T15:38:00Z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http://www.zotero.org/styles/bmc-genomics</vt:lpwstr>
  </property>
  <property fmtid="{D5CDD505-2E9C-101B-9397-08002B2CF9AE}" pid="9" name="Mendeley Recent Style Name 3_1">
    <vt:lpwstr>BMC Genomics</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b7658863-195f-3879-bd43-e490ed7c1215</vt:lpwstr>
  </property>
  <property fmtid="{D5CDD505-2E9C-101B-9397-08002B2CF9AE}" pid="24" name="Mendeley Citation Style_1">
    <vt:lpwstr>http://www.zotero.org/styles/bmc-genomics</vt:lpwstr>
  </property>
</Properties>
</file>