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3651DB" w14:textId="49A56E02" w:rsidR="000E67B8" w:rsidRPr="00CD7DED" w:rsidRDefault="003C6243" w:rsidP="000E67B8">
      <w:pPr>
        <w:snapToGrid w:val="0"/>
        <w:spacing w:after="0" w:line="360" w:lineRule="auto"/>
        <w:jc w:val="center"/>
        <w:rPr>
          <w:rFonts w:ascii="Times New Roman" w:hAnsi="Times New Roman" w:cs="Times New Roman"/>
        </w:rPr>
      </w:pPr>
      <w:r w:rsidRPr="003C6243">
        <w:rPr>
          <w:rFonts w:hint="eastAsia"/>
          <w:noProof/>
        </w:rPr>
        <w:drawing>
          <wp:inline distT="0" distB="0" distL="0" distR="0" wp14:anchorId="70312616" wp14:editId="40DCDF66">
            <wp:extent cx="4446000" cy="4446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6000" cy="4446000"/>
                    </a:xfrm>
                    <a:prstGeom prst="rect">
                      <a:avLst/>
                    </a:prstGeom>
                    <a:noFill/>
                    <a:ln>
                      <a:noFill/>
                    </a:ln>
                  </pic:spPr>
                </pic:pic>
              </a:graphicData>
            </a:graphic>
          </wp:inline>
        </w:drawing>
      </w:r>
    </w:p>
    <w:p w14:paraId="73EF08A9" w14:textId="77777777" w:rsidR="000E67B8" w:rsidRPr="00CD7DED" w:rsidRDefault="000E67B8" w:rsidP="000E67B8">
      <w:pPr>
        <w:snapToGrid w:val="0"/>
        <w:spacing w:after="0" w:line="360" w:lineRule="auto"/>
        <w:rPr>
          <w:rFonts w:ascii="Times New Roman" w:hAnsi="Times New Roman" w:cs="Times New Roman"/>
        </w:rPr>
      </w:pPr>
      <w:r w:rsidRPr="00C35448">
        <w:rPr>
          <w:rFonts w:ascii="Times New Roman" w:hAnsi="Times New Roman" w:cs="Times New Roman"/>
          <w:b/>
        </w:rPr>
        <w:t>Figure S1.</w:t>
      </w:r>
      <w:r w:rsidRPr="00CD7DED">
        <w:rPr>
          <w:rFonts w:ascii="Times New Roman" w:hAnsi="Times New Roman" w:cs="Times New Roman"/>
        </w:rPr>
        <w:t xml:space="preserve"> Most genes detected in association with gDNA were expressed at lower levels.</w:t>
      </w:r>
      <w:r>
        <w:rPr>
          <w:rFonts w:ascii="Times New Roman" w:hAnsi="Times New Roman" w:cs="Times New Roman"/>
        </w:rPr>
        <w:t xml:space="preserve"> </w:t>
      </w:r>
      <w:r w:rsidRPr="00CD7DED">
        <w:rPr>
          <w:rFonts w:ascii="Times New Roman" w:hAnsi="Times New Roman" w:cs="Times New Roman"/>
        </w:rPr>
        <w:t xml:space="preserve">Distribution of expression levels of genes correlated with gDNA in </w:t>
      </w:r>
      <w:proofErr w:type="spellStart"/>
      <w:r w:rsidRPr="00CD7DED">
        <w:rPr>
          <w:rFonts w:ascii="Times New Roman" w:hAnsi="Times New Roman" w:cs="Times New Roman"/>
        </w:rPr>
        <w:t>Ribo</w:t>
      </w:r>
      <w:proofErr w:type="spellEnd"/>
      <w:r w:rsidRPr="00CD7DED">
        <w:rPr>
          <w:rFonts w:ascii="Times New Roman" w:hAnsi="Times New Roman" w:cs="Times New Roman"/>
        </w:rPr>
        <w:t xml:space="preserve">-Zero. The x-axis represents expression (log2(FPKM)), and the y-axis represents density. Five hundred and two genes correlated with gDNA in </w:t>
      </w:r>
      <w:proofErr w:type="spellStart"/>
      <w:r w:rsidRPr="00CD7DED">
        <w:rPr>
          <w:rFonts w:ascii="Times New Roman" w:hAnsi="Times New Roman" w:cs="Times New Roman"/>
        </w:rPr>
        <w:t>Ribo</w:t>
      </w:r>
      <w:proofErr w:type="spellEnd"/>
      <w:r w:rsidRPr="00CD7DED">
        <w:rPr>
          <w:rFonts w:ascii="Times New Roman" w:hAnsi="Times New Roman" w:cs="Times New Roman"/>
        </w:rPr>
        <w:t>-Zero and Poly (A) Selection, respectively.</w:t>
      </w:r>
    </w:p>
    <w:p w14:paraId="342C2DE3" w14:textId="77777777" w:rsidR="000E67B8" w:rsidRDefault="000E67B8" w:rsidP="000E67B8">
      <w:pPr>
        <w:spacing w:after="0" w:line="240" w:lineRule="auto"/>
      </w:pPr>
      <w:r>
        <w:br w:type="page"/>
      </w:r>
    </w:p>
    <w:p w14:paraId="1DE925EC" w14:textId="264EBA6B" w:rsidR="000E67B8" w:rsidRPr="00CD7DED" w:rsidRDefault="00CC4522" w:rsidP="000E67B8">
      <w:pPr>
        <w:snapToGrid w:val="0"/>
        <w:spacing w:after="0" w:line="360" w:lineRule="auto"/>
        <w:jc w:val="center"/>
        <w:rPr>
          <w:rFonts w:ascii="Times New Roman" w:hAnsi="Times New Roman" w:cs="Times New Roman"/>
        </w:rPr>
      </w:pPr>
      <w:r w:rsidRPr="00CC4522">
        <w:rPr>
          <w:rFonts w:hint="eastAsia"/>
          <w:noProof/>
        </w:rPr>
        <w:lastRenderedPageBreak/>
        <w:drawing>
          <wp:inline distT="0" distB="0" distL="0" distR="0" wp14:anchorId="25062C69" wp14:editId="519129B7">
            <wp:extent cx="4446000" cy="4446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6000" cy="4446000"/>
                    </a:xfrm>
                    <a:prstGeom prst="rect">
                      <a:avLst/>
                    </a:prstGeom>
                    <a:noFill/>
                    <a:ln>
                      <a:noFill/>
                    </a:ln>
                  </pic:spPr>
                </pic:pic>
              </a:graphicData>
            </a:graphic>
          </wp:inline>
        </w:drawing>
      </w:r>
    </w:p>
    <w:p w14:paraId="14609B04" w14:textId="77777777" w:rsidR="000E67B8" w:rsidRPr="00C35448" w:rsidRDefault="000E67B8" w:rsidP="000E67B8">
      <w:pPr>
        <w:snapToGrid w:val="0"/>
        <w:spacing w:after="0" w:line="360" w:lineRule="auto"/>
        <w:rPr>
          <w:rFonts w:ascii="Times New Roman" w:hAnsi="Times New Roman" w:cs="Times New Roman"/>
        </w:rPr>
      </w:pPr>
      <w:r w:rsidRPr="00C35448">
        <w:rPr>
          <w:rFonts w:ascii="Times New Roman" w:hAnsi="Times New Roman" w:cs="Times New Roman"/>
          <w:b/>
        </w:rPr>
        <w:t>Figure S2.</w:t>
      </w:r>
      <w:r w:rsidRPr="00C35448">
        <w:rPr>
          <w:rFonts w:ascii="Times New Roman" w:hAnsi="Times New Roman" w:cs="Times New Roman"/>
        </w:rPr>
        <w:t xml:space="preserve"> The number of DEGs increased as a function of increasing gDNA concentration in </w:t>
      </w:r>
      <w:proofErr w:type="spellStart"/>
      <w:r w:rsidRPr="00C35448">
        <w:rPr>
          <w:rFonts w:ascii="Times New Roman" w:hAnsi="Times New Roman" w:cs="Times New Roman"/>
        </w:rPr>
        <w:t>Ribo</w:t>
      </w:r>
      <w:proofErr w:type="spellEnd"/>
      <w:r w:rsidRPr="00C35448">
        <w:rPr>
          <w:rFonts w:ascii="Times New Roman" w:hAnsi="Times New Roman" w:cs="Times New Roman"/>
        </w:rPr>
        <w:t>-Zero, and remained approximately constant in Poly (A) Selection.</w:t>
      </w:r>
      <w:r w:rsidRPr="00C35448">
        <w:rPr>
          <w:rFonts w:ascii="Times New Roman" w:hAnsi="Times New Roman" w:cs="Times New Roman" w:hint="eastAsia"/>
        </w:rPr>
        <w:t xml:space="preserve"> </w:t>
      </w:r>
      <w:r w:rsidRPr="00C35448">
        <w:rPr>
          <w:rFonts w:ascii="Times New Roman" w:hAnsi="Times New Roman" w:cs="Times New Roman"/>
        </w:rPr>
        <w:t xml:space="preserve">Numbers of DEGs of Poly (A) Selection and </w:t>
      </w:r>
      <w:proofErr w:type="spellStart"/>
      <w:r w:rsidRPr="00C35448">
        <w:rPr>
          <w:rFonts w:ascii="Times New Roman" w:hAnsi="Times New Roman" w:cs="Times New Roman"/>
        </w:rPr>
        <w:t>Ribo</w:t>
      </w:r>
      <w:proofErr w:type="spellEnd"/>
      <w:r w:rsidRPr="00C35448">
        <w:rPr>
          <w:rFonts w:ascii="Times New Roman" w:hAnsi="Times New Roman" w:cs="Times New Roman"/>
        </w:rPr>
        <w:t>-Zero at different gDNA concentrations.</w:t>
      </w:r>
      <w:r w:rsidRPr="00C35448">
        <w:rPr>
          <w:rFonts w:ascii="Times New Roman" w:hAnsi="Times New Roman" w:cs="Times New Roman"/>
          <w:b/>
        </w:rPr>
        <w:t xml:space="preserve"> </w:t>
      </w:r>
      <w:r w:rsidRPr="00C35448">
        <w:rPr>
          <w:rFonts w:ascii="Times New Roman" w:hAnsi="Times New Roman" w:cs="Times New Roman"/>
        </w:rPr>
        <w:t xml:space="preserve">Each bar represents a different treatment, the y-axis represents the number of DEG between libraries with &gt; 0% (Treatment) and with 0% (Control) gDNA. The purple and yellow bars represent Poly (A) Selection and </w:t>
      </w:r>
      <w:proofErr w:type="spellStart"/>
      <w:r w:rsidRPr="00C35448">
        <w:rPr>
          <w:rFonts w:ascii="Times New Roman" w:hAnsi="Times New Roman" w:cs="Times New Roman"/>
        </w:rPr>
        <w:t>Ribo</w:t>
      </w:r>
      <w:proofErr w:type="spellEnd"/>
      <w:r w:rsidRPr="00C35448">
        <w:rPr>
          <w:rFonts w:ascii="Times New Roman" w:hAnsi="Times New Roman" w:cs="Times New Roman"/>
        </w:rPr>
        <w:t>-Zero.</w:t>
      </w:r>
    </w:p>
    <w:p w14:paraId="5927987B" w14:textId="77777777" w:rsidR="000E67B8" w:rsidRDefault="000E67B8" w:rsidP="000E67B8">
      <w:pPr>
        <w:spacing w:after="0" w:line="360" w:lineRule="auto"/>
      </w:pPr>
    </w:p>
    <w:p w14:paraId="5F119115" w14:textId="77777777" w:rsidR="000E67B8" w:rsidRDefault="000E67B8" w:rsidP="000E67B8">
      <w:pPr>
        <w:spacing w:after="0" w:line="240" w:lineRule="auto"/>
      </w:pPr>
      <w:r>
        <w:br w:type="page"/>
      </w:r>
    </w:p>
    <w:p w14:paraId="3FF7A9C5" w14:textId="29498065" w:rsidR="000E67B8" w:rsidRPr="00CD7DED" w:rsidRDefault="002B08FD" w:rsidP="000E67B8">
      <w:pPr>
        <w:snapToGrid w:val="0"/>
        <w:spacing w:after="0" w:line="360" w:lineRule="auto"/>
        <w:jc w:val="center"/>
        <w:rPr>
          <w:rFonts w:ascii="Times New Roman" w:hAnsi="Times New Roman" w:cs="Times New Roman"/>
        </w:rPr>
      </w:pPr>
      <w:r w:rsidRPr="002B08FD">
        <w:rPr>
          <w:rFonts w:hint="eastAsia"/>
          <w:noProof/>
        </w:rPr>
        <w:lastRenderedPageBreak/>
        <w:drawing>
          <wp:inline distT="0" distB="0" distL="0" distR="0" wp14:anchorId="4D7E56CF" wp14:editId="71E90A8C">
            <wp:extent cx="5274310" cy="3653476"/>
            <wp:effectExtent l="0" t="0" r="254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3653476"/>
                    </a:xfrm>
                    <a:prstGeom prst="rect">
                      <a:avLst/>
                    </a:prstGeom>
                    <a:noFill/>
                    <a:ln>
                      <a:noFill/>
                    </a:ln>
                  </pic:spPr>
                </pic:pic>
              </a:graphicData>
            </a:graphic>
          </wp:inline>
        </w:drawing>
      </w:r>
    </w:p>
    <w:p w14:paraId="1B38CDED" w14:textId="77777777" w:rsidR="000E67B8" w:rsidRPr="00CD7DED" w:rsidRDefault="000E67B8" w:rsidP="000E67B8">
      <w:pPr>
        <w:snapToGrid w:val="0"/>
        <w:spacing w:after="0" w:line="360" w:lineRule="auto"/>
        <w:rPr>
          <w:rFonts w:ascii="Times New Roman" w:hAnsi="Times New Roman" w:cs="Times New Roman"/>
        </w:rPr>
      </w:pPr>
      <w:r w:rsidRPr="00C35448">
        <w:rPr>
          <w:rFonts w:ascii="Times New Roman" w:hAnsi="Times New Roman" w:cs="Times New Roman"/>
          <w:b/>
        </w:rPr>
        <w:t>Figure S3.</w:t>
      </w:r>
      <w:r w:rsidRPr="00CD7DED">
        <w:rPr>
          <w:rFonts w:ascii="Times New Roman" w:hAnsi="Times New Roman" w:cs="Times New Roman"/>
        </w:rPr>
        <w:t xml:space="preserve"> Numerous background DEGs significantly altered adjusted p values.</w:t>
      </w:r>
      <w:r>
        <w:rPr>
          <w:rFonts w:ascii="Times New Roman" w:hAnsi="Times New Roman" w:cs="Times New Roman" w:hint="eastAsia"/>
        </w:rPr>
        <w:t xml:space="preserve"> </w:t>
      </w:r>
      <w:r w:rsidRPr="00CD7DED">
        <w:rPr>
          <w:rFonts w:ascii="Times New Roman" w:hAnsi="Times New Roman" w:cs="Times New Roman"/>
        </w:rPr>
        <w:t xml:space="preserve">a) Numbers of DEGs numbers in the background of pathway analysis between </w:t>
      </w:r>
      <w:proofErr w:type="spellStart"/>
      <w:r w:rsidRPr="00CD7DED">
        <w:rPr>
          <w:rFonts w:ascii="Times New Roman" w:hAnsi="Times New Roman" w:cs="Times New Roman"/>
        </w:rPr>
        <w:t>Ribo</w:t>
      </w:r>
      <w:proofErr w:type="spellEnd"/>
      <w:r w:rsidRPr="00CD7DED">
        <w:rPr>
          <w:rFonts w:ascii="Times New Roman" w:hAnsi="Times New Roman" w:cs="Times New Roman"/>
        </w:rPr>
        <w:t xml:space="preserve">-Zero libraries (0% to 10% gDNA) and Poly (A) Selection libraries (0% gDNA) and between </w:t>
      </w:r>
      <w:proofErr w:type="spellStart"/>
      <w:r w:rsidRPr="00CD7DED">
        <w:rPr>
          <w:rFonts w:ascii="Times New Roman" w:hAnsi="Times New Roman" w:cs="Times New Roman"/>
        </w:rPr>
        <w:t>Ribo</w:t>
      </w:r>
      <w:proofErr w:type="spellEnd"/>
      <w:r w:rsidRPr="00CD7DED">
        <w:rPr>
          <w:rFonts w:ascii="Times New Roman" w:hAnsi="Times New Roman" w:cs="Times New Roman"/>
        </w:rPr>
        <w:t xml:space="preserve">-Zero libraries with 10% and with 0% gDNA. b) Venn diagram of DEGs in “hsa04740”, the most enriched pathway in </w:t>
      </w:r>
      <w:proofErr w:type="spellStart"/>
      <w:r w:rsidRPr="00CD7DED">
        <w:rPr>
          <w:rFonts w:ascii="Times New Roman" w:hAnsi="Times New Roman" w:cs="Times New Roman"/>
        </w:rPr>
        <w:t>Ribo</w:t>
      </w:r>
      <w:proofErr w:type="spellEnd"/>
      <w:r w:rsidRPr="00CD7DED">
        <w:rPr>
          <w:rFonts w:ascii="Times New Roman" w:hAnsi="Times New Roman" w:cs="Times New Roman"/>
        </w:rPr>
        <w:t xml:space="preserve">-Zero libraries, between </w:t>
      </w:r>
      <w:proofErr w:type="spellStart"/>
      <w:r w:rsidRPr="00CD7DED">
        <w:rPr>
          <w:rFonts w:ascii="Times New Roman" w:hAnsi="Times New Roman" w:cs="Times New Roman"/>
        </w:rPr>
        <w:t>Ribo</w:t>
      </w:r>
      <w:proofErr w:type="spellEnd"/>
      <w:r w:rsidRPr="00CD7DED">
        <w:rPr>
          <w:rFonts w:ascii="Times New Roman" w:hAnsi="Times New Roman" w:cs="Times New Roman"/>
        </w:rPr>
        <w:t xml:space="preserve">-Zero libraries with 10% gDNA and Poly (A) Selection libraries with 0% gDNA and between </w:t>
      </w:r>
      <w:proofErr w:type="spellStart"/>
      <w:r w:rsidRPr="00CD7DED">
        <w:rPr>
          <w:rFonts w:ascii="Times New Roman" w:hAnsi="Times New Roman" w:cs="Times New Roman"/>
        </w:rPr>
        <w:t>Ribo</w:t>
      </w:r>
      <w:proofErr w:type="spellEnd"/>
      <w:r w:rsidRPr="00CD7DED">
        <w:rPr>
          <w:rFonts w:ascii="Times New Roman" w:hAnsi="Times New Roman" w:cs="Times New Roman"/>
        </w:rPr>
        <w:t xml:space="preserve">-Zero libraries with 10% and with 0% gDNA. Most DEGs between </w:t>
      </w:r>
      <w:proofErr w:type="spellStart"/>
      <w:r w:rsidRPr="00CD7DED">
        <w:rPr>
          <w:rFonts w:ascii="Times New Roman" w:hAnsi="Times New Roman" w:cs="Times New Roman"/>
        </w:rPr>
        <w:t>Ribo</w:t>
      </w:r>
      <w:proofErr w:type="spellEnd"/>
      <w:r w:rsidRPr="00CD7DED">
        <w:rPr>
          <w:rFonts w:ascii="Times New Roman" w:hAnsi="Times New Roman" w:cs="Times New Roman"/>
        </w:rPr>
        <w:t xml:space="preserve">-Zero libraries were detected in the comparison of Poly (A) Selection and </w:t>
      </w:r>
      <w:proofErr w:type="spellStart"/>
      <w:r w:rsidRPr="00CD7DED">
        <w:rPr>
          <w:rFonts w:ascii="Times New Roman" w:hAnsi="Times New Roman" w:cs="Times New Roman"/>
        </w:rPr>
        <w:t>Ribo</w:t>
      </w:r>
      <w:proofErr w:type="spellEnd"/>
      <w:r w:rsidRPr="00CD7DED">
        <w:rPr>
          <w:rFonts w:ascii="Times New Roman" w:hAnsi="Times New Roman" w:cs="Times New Roman"/>
        </w:rPr>
        <w:t xml:space="preserve">-Zero. c) The most enriched pathway “hsa04740” in </w:t>
      </w:r>
      <w:proofErr w:type="spellStart"/>
      <w:r w:rsidRPr="00CD7DED">
        <w:rPr>
          <w:rFonts w:ascii="Times New Roman" w:hAnsi="Times New Roman" w:cs="Times New Roman"/>
        </w:rPr>
        <w:t>Ribo</w:t>
      </w:r>
      <w:proofErr w:type="spellEnd"/>
      <w:r w:rsidRPr="00CD7DED">
        <w:rPr>
          <w:rFonts w:ascii="Times New Roman" w:hAnsi="Times New Roman" w:cs="Times New Roman"/>
        </w:rPr>
        <w:t xml:space="preserve">-Zero </w:t>
      </w:r>
      <w:proofErr w:type="spellStart"/>
      <w:r w:rsidRPr="00CD7DED">
        <w:rPr>
          <w:rFonts w:ascii="Times New Roman" w:hAnsi="Times New Roman" w:cs="Times New Roman"/>
        </w:rPr>
        <w:t>libraires</w:t>
      </w:r>
      <w:proofErr w:type="spellEnd"/>
      <w:r w:rsidRPr="00CD7DED">
        <w:rPr>
          <w:rFonts w:ascii="Times New Roman" w:hAnsi="Times New Roman" w:cs="Times New Roman"/>
        </w:rPr>
        <w:t xml:space="preserve"> was not significantly enriched compared with </w:t>
      </w:r>
      <w:proofErr w:type="spellStart"/>
      <w:r w:rsidRPr="00CD7DED">
        <w:rPr>
          <w:rFonts w:ascii="Times New Roman" w:hAnsi="Times New Roman" w:cs="Times New Roman"/>
        </w:rPr>
        <w:t>Ribo</w:t>
      </w:r>
      <w:proofErr w:type="spellEnd"/>
      <w:r w:rsidRPr="00CD7DED">
        <w:rPr>
          <w:rFonts w:ascii="Times New Roman" w:hAnsi="Times New Roman" w:cs="Times New Roman"/>
        </w:rPr>
        <w:t xml:space="preserve">-Zero and Poly (A) Selection libraries with 10% and 0% gDNA. The large number of DEGs in “PA VS RZ” contributed to a higher p-value compared with “RZ”. d) The p value indicated statistical significance when the number of DEGs in the background decreased to approximately 1650 for “hsa04740” for “PA VS RZ” (Fisher exact test, FDR adjusted). PA: Poly (A) Selection; RZ: </w:t>
      </w:r>
      <w:proofErr w:type="spellStart"/>
      <w:r w:rsidRPr="00CD7DED">
        <w:rPr>
          <w:rFonts w:ascii="Times New Roman" w:hAnsi="Times New Roman" w:cs="Times New Roman"/>
        </w:rPr>
        <w:t>Ribo</w:t>
      </w:r>
      <w:proofErr w:type="spellEnd"/>
      <w:r w:rsidRPr="00CD7DED">
        <w:rPr>
          <w:rFonts w:ascii="Times New Roman" w:hAnsi="Times New Roman" w:cs="Times New Roman"/>
        </w:rPr>
        <w:t>-Zero.</w:t>
      </w:r>
    </w:p>
    <w:p w14:paraId="6D40AB07" w14:textId="77777777" w:rsidR="000E67B8" w:rsidRDefault="000E67B8" w:rsidP="000E67B8"/>
    <w:p w14:paraId="64EE12A4" w14:textId="77777777" w:rsidR="000E67B8" w:rsidRDefault="000E67B8" w:rsidP="000E67B8">
      <w:pPr>
        <w:spacing w:after="0" w:line="240" w:lineRule="auto"/>
      </w:pPr>
      <w:r>
        <w:br w:type="page"/>
      </w:r>
    </w:p>
    <w:p w14:paraId="1C4E1B63" w14:textId="0C665AFC" w:rsidR="000E67B8" w:rsidRPr="0091009F" w:rsidRDefault="002B08FD" w:rsidP="000E67B8">
      <w:pPr>
        <w:widowControl w:val="0"/>
        <w:snapToGrid w:val="0"/>
        <w:spacing w:after="0" w:line="360" w:lineRule="auto"/>
        <w:jc w:val="center"/>
        <w:rPr>
          <w:rFonts w:ascii="Times New Roman" w:eastAsiaTheme="minorEastAsia" w:hAnsi="Times New Roman" w:cs="Times New Roman"/>
          <w:kern w:val="2"/>
          <w:sz w:val="21"/>
          <w:lang w:val="en-US"/>
        </w:rPr>
      </w:pPr>
      <w:r w:rsidRPr="002B08FD">
        <w:rPr>
          <w:rFonts w:hint="eastAsia"/>
          <w:noProof/>
        </w:rPr>
        <w:lastRenderedPageBreak/>
        <w:drawing>
          <wp:inline distT="0" distB="0" distL="0" distR="0" wp14:anchorId="2C0EBF38" wp14:editId="4603194B">
            <wp:extent cx="5274310" cy="5274310"/>
            <wp:effectExtent l="0" t="0" r="2540" b="254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5274310"/>
                    </a:xfrm>
                    <a:prstGeom prst="rect">
                      <a:avLst/>
                    </a:prstGeom>
                    <a:noFill/>
                    <a:ln>
                      <a:noFill/>
                    </a:ln>
                  </pic:spPr>
                </pic:pic>
              </a:graphicData>
            </a:graphic>
          </wp:inline>
        </w:drawing>
      </w:r>
    </w:p>
    <w:p w14:paraId="7B7D5777" w14:textId="77777777" w:rsidR="000E67B8" w:rsidRPr="002A1025" w:rsidRDefault="000E67B8" w:rsidP="008238F5">
      <w:pPr>
        <w:widowControl w:val="0"/>
        <w:snapToGrid w:val="0"/>
        <w:spacing w:after="0" w:line="360" w:lineRule="auto"/>
        <w:rPr>
          <w:rFonts w:ascii="Times New Roman" w:eastAsiaTheme="minorEastAsia" w:hAnsi="Times New Roman" w:cs="Times New Roman"/>
          <w:kern w:val="2"/>
          <w:lang w:val="en-US"/>
        </w:rPr>
      </w:pPr>
      <w:r w:rsidRPr="002A1025">
        <w:rPr>
          <w:rFonts w:ascii="Times New Roman" w:eastAsiaTheme="minorEastAsia" w:hAnsi="Times New Roman" w:cs="Times New Roman"/>
          <w:b/>
          <w:kern w:val="2"/>
          <w:lang w:val="en-US"/>
        </w:rPr>
        <w:t>Figure S4.</w:t>
      </w:r>
      <w:r w:rsidRPr="002A1025">
        <w:rPr>
          <w:rFonts w:ascii="Times New Roman" w:eastAsiaTheme="minorEastAsia" w:hAnsi="Times New Roman" w:cs="Times New Roman"/>
          <w:kern w:val="2"/>
          <w:lang w:val="en-US"/>
        </w:rPr>
        <w:t xml:space="preserve"> Adjusting expression levels did not reduce the number of DEGs of Poly (A) Selection libraries. DEGs were detected by comparing the treatments with gDNA contamination (Treatment) and that with 0% gDNA contamination (Control) for Poly (A) Selection libraries. The red bar represents DEGs detected before expression adjustment, and the blue bar represents DEGs detected after expression adjustment. The x-axis represents different treatments, and the y-axis represents the number of DEGs in each comparison. (</w:t>
      </w:r>
      <w:r w:rsidRPr="002A1025">
        <w:rPr>
          <w:rFonts w:ascii="Times New Roman" w:eastAsiaTheme="minorEastAsia" w:hAnsi="Times New Roman" w:cs="Times New Roman"/>
          <w:i/>
          <w:iCs/>
          <w:kern w:val="2"/>
          <w:lang w:val="en-US"/>
        </w:rPr>
        <w:t xml:space="preserve">t </w:t>
      </w:r>
      <w:r w:rsidRPr="002A1025">
        <w:rPr>
          <w:rFonts w:ascii="Times New Roman" w:eastAsiaTheme="minorEastAsia" w:hAnsi="Times New Roman" w:cs="Times New Roman"/>
          <w:kern w:val="2"/>
          <w:lang w:val="en-US"/>
        </w:rPr>
        <w:t>test; two-sided p &lt;0.05 and |log2(fold-</w:t>
      </w:r>
      <w:proofErr w:type="gramStart"/>
      <w:r w:rsidRPr="002A1025">
        <w:rPr>
          <w:rFonts w:ascii="Times New Roman" w:eastAsiaTheme="minorEastAsia" w:hAnsi="Times New Roman" w:cs="Times New Roman"/>
          <w:kern w:val="2"/>
          <w:lang w:val="en-US"/>
        </w:rPr>
        <w:t>change)|</w:t>
      </w:r>
      <w:proofErr w:type="gramEnd"/>
      <w:r w:rsidRPr="002A1025">
        <w:rPr>
          <w:rFonts w:ascii="Times New Roman" w:eastAsiaTheme="minorEastAsia" w:hAnsi="Times New Roman" w:cs="Times New Roman"/>
          <w:kern w:val="2"/>
          <w:lang w:val="en-US"/>
        </w:rPr>
        <w:t>&gt;1).</w:t>
      </w:r>
    </w:p>
    <w:p w14:paraId="12915A68" w14:textId="77777777" w:rsidR="000E67B8" w:rsidRDefault="000E67B8" w:rsidP="000E67B8"/>
    <w:p w14:paraId="6D460A17" w14:textId="77777777" w:rsidR="000E67B8" w:rsidRDefault="000E67B8" w:rsidP="000E67B8">
      <w:pPr>
        <w:spacing w:after="0" w:line="240" w:lineRule="auto"/>
      </w:pPr>
      <w:r>
        <w:br w:type="page"/>
      </w:r>
    </w:p>
    <w:p w14:paraId="32FE0B0B" w14:textId="5FD58236" w:rsidR="000E67B8" w:rsidRPr="00451053" w:rsidRDefault="00966986" w:rsidP="00966986">
      <w:pPr>
        <w:widowControl w:val="0"/>
        <w:snapToGrid w:val="0"/>
        <w:spacing w:after="0" w:line="360" w:lineRule="auto"/>
        <w:jc w:val="center"/>
        <w:rPr>
          <w:rFonts w:ascii="Times New Roman" w:eastAsiaTheme="minorEastAsia" w:hAnsi="Times New Roman" w:cs="Times New Roman"/>
          <w:kern w:val="2"/>
          <w:sz w:val="21"/>
          <w:lang w:val="en-US"/>
        </w:rPr>
      </w:pPr>
      <w:r w:rsidRPr="00966986">
        <w:rPr>
          <w:rFonts w:hint="eastAsia"/>
          <w:noProof/>
        </w:rPr>
        <w:lastRenderedPageBreak/>
        <w:drawing>
          <wp:inline distT="0" distB="0" distL="0" distR="0" wp14:anchorId="087101BD" wp14:editId="11FE3AA4">
            <wp:extent cx="5274310" cy="2660310"/>
            <wp:effectExtent l="0" t="0" r="2540" b="698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2660310"/>
                    </a:xfrm>
                    <a:prstGeom prst="rect">
                      <a:avLst/>
                    </a:prstGeom>
                    <a:noFill/>
                    <a:ln>
                      <a:noFill/>
                    </a:ln>
                  </pic:spPr>
                </pic:pic>
              </a:graphicData>
            </a:graphic>
          </wp:inline>
        </w:drawing>
      </w:r>
    </w:p>
    <w:p w14:paraId="56FA740B" w14:textId="77777777" w:rsidR="000E67B8" w:rsidRPr="002A1025" w:rsidRDefault="000E67B8" w:rsidP="008238F5">
      <w:pPr>
        <w:widowControl w:val="0"/>
        <w:snapToGrid w:val="0"/>
        <w:spacing w:after="0" w:line="360" w:lineRule="auto"/>
        <w:rPr>
          <w:rFonts w:ascii="Times New Roman" w:eastAsiaTheme="minorEastAsia" w:hAnsi="Times New Roman" w:cs="Times New Roman"/>
          <w:kern w:val="2"/>
          <w:lang w:val="en-US"/>
        </w:rPr>
      </w:pPr>
      <w:r w:rsidRPr="002A1025">
        <w:rPr>
          <w:rFonts w:ascii="Times New Roman" w:eastAsiaTheme="minorEastAsia" w:hAnsi="Times New Roman" w:cs="Times New Roman"/>
          <w:b/>
          <w:kern w:val="2"/>
          <w:lang w:val="en-US"/>
        </w:rPr>
        <w:t>Figure S5.</w:t>
      </w:r>
      <w:r w:rsidRPr="002A1025">
        <w:rPr>
          <w:rFonts w:ascii="Times New Roman" w:eastAsiaTheme="minorEastAsia" w:hAnsi="Times New Roman" w:cs="Times New Roman"/>
          <w:kern w:val="2"/>
          <w:lang w:val="en-US"/>
        </w:rPr>
        <w:t xml:space="preserve"> Varying gene expression filter thresholds avoid DEGs caused by gDNA contamination.</w:t>
      </w:r>
      <w:r w:rsidRPr="002A1025">
        <w:rPr>
          <w:rFonts w:ascii="Times New Roman" w:eastAsiaTheme="minorEastAsia" w:hAnsi="Times New Roman" w:cs="Times New Roman" w:hint="eastAsia"/>
          <w:kern w:val="2"/>
          <w:lang w:val="en-US"/>
        </w:rPr>
        <w:t xml:space="preserve"> </w:t>
      </w:r>
      <w:r w:rsidRPr="002A1025">
        <w:rPr>
          <w:rFonts w:ascii="Times New Roman" w:eastAsiaTheme="minorEastAsia" w:hAnsi="Times New Roman" w:cs="Times New Roman"/>
          <w:kern w:val="2"/>
          <w:lang w:val="en-US"/>
        </w:rPr>
        <w:t xml:space="preserve">a, b) The number of overall DEGs decreased when the low-abundance filtering threshold (raw FPKM) increased at different concentrations of contaminating gDNA. a, b) </w:t>
      </w:r>
      <w:proofErr w:type="spellStart"/>
      <w:r w:rsidRPr="002A1025">
        <w:rPr>
          <w:rFonts w:ascii="Times New Roman" w:eastAsiaTheme="minorEastAsia" w:hAnsi="Times New Roman" w:cs="Times New Roman"/>
          <w:kern w:val="2"/>
          <w:lang w:val="en-US"/>
        </w:rPr>
        <w:t>Ribo</w:t>
      </w:r>
      <w:proofErr w:type="spellEnd"/>
      <w:r w:rsidRPr="002A1025">
        <w:rPr>
          <w:rFonts w:ascii="Times New Roman" w:eastAsiaTheme="minorEastAsia" w:hAnsi="Times New Roman" w:cs="Times New Roman"/>
          <w:kern w:val="2"/>
          <w:lang w:val="en-US"/>
        </w:rPr>
        <w:t>-Zero and Poly (A) Selection, respectively. The x-axis represents the low-abundance gene filtering threshold, the y-axis represents the number of DEGs.</w:t>
      </w:r>
    </w:p>
    <w:p w14:paraId="6142BC09" w14:textId="77777777" w:rsidR="000E67B8" w:rsidRDefault="000E67B8" w:rsidP="000E67B8">
      <w:pPr>
        <w:rPr>
          <w:lang w:val="en-US"/>
        </w:rPr>
      </w:pPr>
    </w:p>
    <w:p w14:paraId="583490A4" w14:textId="77777777" w:rsidR="000E67B8" w:rsidRDefault="000E67B8" w:rsidP="000E67B8">
      <w:pPr>
        <w:spacing w:after="0" w:line="240" w:lineRule="auto"/>
        <w:rPr>
          <w:lang w:val="en-US"/>
        </w:rPr>
      </w:pPr>
      <w:r>
        <w:rPr>
          <w:lang w:val="en-US"/>
        </w:rPr>
        <w:br w:type="page"/>
      </w:r>
    </w:p>
    <w:p w14:paraId="739DC894" w14:textId="42A00D7E" w:rsidR="000E67B8" w:rsidRPr="00C03A52" w:rsidRDefault="00BD5911" w:rsidP="000E67B8">
      <w:pPr>
        <w:snapToGrid w:val="0"/>
        <w:spacing w:after="0" w:line="360" w:lineRule="auto"/>
        <w:jc w:val="center"/>
        <w:rPr>
          <w:rFonts w:ascii="Times New Roman" w:eastAsiaTheme="minorEastAsia" w:hAnsi="Times New Roman" w:cs="Times New Roman"/>
          <w:kern w:val="2"/>
          <w:sz w:val="21"/>
          <w:lang w:val="en-US"/>
        </w:rPr>
      </w:pPr>
      <w:r w:rsidRPr="00BD5911">
        <w:rPr>
          <w:rFonts w:hint="eastAsia"/>
          <w:noProof/>
        </w:rPr>
        <w:lastRenderedPageBreak/>
        <w:drawing>
          <wp:inline distT="0" distB="0" distL="0" distR="0" wp14:anchorId="7928E95D" wp14:editId="7F660F9F">
            <wp:extent cx="5274310" cy="3200569"/>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3200569"/>
                    </a:xfrm>
                    <a:prstGeom prst="rect">
                      <a:avLst/>
                    </a:prstGeom>
                    <a:noFill/>
                    <a:ln>
                      <a:noFill/>
                    </a:ln>
                  </pic:spPr>
                </pic:pic>
              </a:graphicData>
            </a:graphic>
          </wp:inline>
        </w:drawing>
      </w:r>
    </w:p>
    <w:p w14:paraId="0724D047" w14:textId="30064366" w:rsidR="000E67B8" w:rsidRPr="002A1025" w:rsidRDefault="000E67B8" w:rsidP="00EE270E">
      <w:pPr>
        <w:snapToGrid w:val="0"/>
        <w:spacing w:after="0" w:line="360" w:lineRule="auto"/>
        <w:rPr>
          <w:rFonts w:ascii="Times New Roman" w:eastAsiaTheme="minorEastAsia" w:hAnsi="Times New Roman" w:cs="Times New Roman"/>
          <w:kern w:val="2"/>
          <w:lang w:val="en-US"/>
        </w:rPr>
      </w:pPr>
      <w:r w:rsidRPr="002A1025">
        <w:rPr>
          <w:rFonts w:ascii="Times New Roman" w:eastAsiaTheme="minorEastAsia" w:hAnsi="Times New Roman" w:cs="Times New Roman"/>
          <w:b/>
          <w:kern w:val="2"/>
          <w:lang w:val="en-US"/>
        </w:rPr>
        <w:t>Figure S6.</w:t>
      </w:r>
      <w:r w:rsidRPr="002A1025">
        <w:rPr>
          <w:rFonts w:ascii="Times New Roman" w:eastAsiaTheme="minorEastAsia" w:hAnsi="Times New Roman" w:cs="Times New Roman"/>
          <w:kern w:val="2"/>
          <w:lang w:val="en-US"/>
        </w:rPr>
        <w:t xml:space="preserve"> Libr</w:t>
      </w:r>
      <w:bookmarkStart w:id="0" w:name="_GoBack"/>
      <w:bookmarkEnd w:id="0"/>
      <w:r w:rsidRPr="002A1025">
        <w:rPr>
          <w:rFonts w:ascii="Times New Roman" w:eastAsiaTheme="minorEastAsia" w:hAnsi="Times New Roman" w:cs="Times New Roman"/>
          <w:kern w:val="2"/>
          <w:lang w:val="en-US"/>
        </w:rPr>
        <w:t xml:space="preserve">ary Preparation. Library preparation started from extracting RNA from lymphoblasts. After DNase digestion, all RNA species and residual gDNA were present in total RNA. Next, different concentrations of extracted gDNA were added to total RNA. During the next target-RNA capturing step, target RNA and some gDNA are captured. However, capture efficiencies differed for Poly (A) Selection and </w:t>
      </w:r>
      <w:proofErr w:type="spellStart"/>
      <w:r w:rsidRPr="002A1025">
        <w:rPr>
          <w:rFonts w:ascii="Times New Roman" w:eastAsiaTheme="minorEastAsia" w:hAnsi="Times New Roman" w:cs="Times New Roman"/>
          <w:kern w:val="2"/>
          <w:lang w:val="en-US"/>
        </w:rPr>
        <w:t>Ribo</w:t>
      </w:r>
      <w:proofErr w:type="spellEnd"/>
      <w:r w:rsidRPr="002A1025">
        <w:rPr>
          <w:rFonts w:ascii="Times New Roman" w:eastAsiaTheme="minorEastAsia" w:hAnsi="Times New Roman" w:cs="Times New Roman"/>
          <w:kern w:val="2"/>
          <w:lang w:val="en-US"/>
        </w:rPr>
        <w:t xml:space="preserve">-Zero. In the next step, the captured RNA was reverse transcribed, and the cDNA served as template for Polymerase Chain Reaction (PCR) assays with captured DNA to generate sequencing libraries. The cDNAs and captured DNA contained DNA located in intergenic and </w:t>
      </w:r>
      <w:r w:rsidRPr="002A1025">
        <w:rPr>
          <w:rFonts w:ascii="Times New Roman" w:eastAsiaTheme="minorEastAsia" w:hAnsi="Times New Roman" w:cs="Times New Roman" w:hint="eastAsia"/>
          <w:kern w:val="2"/>
          <w:lang w:val="en-US"/>
        </w:rPr>
        <w:t>coding</w:t>
      </w:r>
      <w:r w:rsidRPr="002A1025">
        <w:rPr>
          <w:rFonts w:ascii="Times New Roman" w:eastAsiaTheme="minorEastAsia" w:hAnsi="Times New Roman" w:cs="Times New Roman"/>
          <w:kern w:val="2"/>
          <w:lang w:val="en-US"/>
        </w:rPr>
        <w:t xml:space="preserve"> regions. The cDNA sequences located in the intergenic region represent</w:t>
      </w:r>
      <w:r w:rsidR="009D4C0B" w:rsidRPr="002A1025">
        <w:rPr>
          <w:rFonts w:ascii="Times New Roman" w:eastAsiaTheme="minorEastAsia" w:hAnsi="Times New Roman" w:cs="Times New Roman" w:hint="eastAsia"/>
          <w:kern w:val="2"/>
          <w:lang w:val="en-US"/>
        </w:rPr>
        <w:t>s</w:t>
      </w:r>
      <w:r w:rsidRPr="002A1025">
        <w:rPr>
          <w:rFonts w:ascii="Times New Roman" w:eastAsiaTheme="minorEastAsia" w:hAnsi="Times New Roman" w:cs="Times New Roman"/>
          <w:kern w:val="2"/>
          <w:lang w:val="en-US"/>
        </w:rPr>
        <w:t xml:space="preserve"> unannotated transcripts.</w:t>
      </w:r>
    </w:p>
    <w:p w14:paraId="49C4C65B" w14:textId="5EA92178" w:rsidR="00396667" w:rsidRDefault="00396667" w:rsidP="00262BD1">
      <w:pPr>
        <w:spacing w:after="0" w:line="240" w:lineRule="auto"/>
        <w:rPr>
          <w:lang w:val="en-US"/>
        </w:rPr>
      </w:pPr>
    </w:p>
    <w:p w14:paraId="3FD80E4B" w14:textId="23A18876" w:rsidR="008C26FF" w:rsidRPr="00262BD1" w:rsidRDefault="008C26FF" w:rsidP="00262BD1">
      <w:pPr>
        <w:spacing w:after="0" w:line="240" w:lineRule="auto"/>
        <w:rPr>
          <w:lang w:val="en-US"/>
        </w:rPr>
      </w:pPr>
    </w:p>
    <w:sectPr w:rsidR="008C26FF" w:rsidRPr="00262BD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8829B5" w14:textId="77777777" w:rsidR="00672627" w:rsidRDefault="00672627" w:rsidP="000E67B8">
      <w:pPr>
        <w:spacing w:after="0" w:line="240" w:lineRule="auto"/>
      </w:pPr>
      <w:r>
        <w:separator/>
      </w:r>
    </w:p>
  </w:endnote>
  <w:endnote w:type="continuationSeparator" w:id="0">
    <w:p w14:paraId="2C7322E7" w14:textId="77777777" w:rsidR="00672627" w:rsidRDefault="00672627" w:rsidP="000E6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710F9E" w14:textId="77777777" w:rsidR="00672627" w:rsidRDefault="00672627" w:rsidP="000E67B8">
      <w:pPr>
        <w:spacing w:after="0" w:line="240" w:lineRule="auto"/>
      </w:pPr>
      <w:r>
        <w:separator/>
      </w:r>
    </w:p>
  </w:footnote>
  <w:footnote w:type="continuationSeparator" w:id="0">
    <w:p w14:paraId="01F15D29" w14:textId="77777777" w:rsidR="00672627" w:rsidRDefault="00672627" w:rsidP="000E67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BAF"/>
    <w:rsid w:val="000E67B8"/>
    <w:rsid w:val="002202F9"/>
    <w:rsid w:val="00262BD1"/>
    <w:rsid w:val="002A1025"/>
    <w:rsid w:val="002B08FD"/>
    <w:rsid w:val="00396667"/>
    <w:rsid w:val="003C6243"/>
    <w:rsid w:val="00480D83"/>
    <w:rsid w:val="004D56BB"/>
    <w:rsid w:val="00534403"/>
    <w:rsid w:val="00672627"/>
    <w:rsid w:val="008238F5"/>
    <w:rsid w:val="008C26FF"/>
    <w:rsid w:val="008C3B6E"/>
    <w:rsid w:val="00966986"/>
    <w:rsid w:val="009D4C0B"/>
    <w:rsid w:val="00B85DCE"/>
    <w:rsid w:val="00BA36B7"/>
    <w:rsid w:val="00BB1273"/>
    <w:rsid w:val="00BD5911"/>
    <w:rsid w:val="00C241FD"/>
    <w:rsid w:val="00C322DD"/>
    <w:rsid w:val="00C35448"/>
    <w:rsid w:val="00CC4522"/>
    <w:rsid w:val="00CD3125"/>
    <w:rsid w:val="00D71C6D"/>
    <w:rsid w:val="00EE270E"/>
    <w:rsid w:val="00FA4B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E0B3FFA"/>
  <w15:chartTrackingRefBased/>
  <w15:docId w15:val="{E4CCBFC5-896A-499E-90B8-4C184B114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67B8"/>
    <w:pPr>
      <w:spacing w:after="200" w:line="276" w:lineRule="auto"/>
    </w:pPr>
    <w:rPr>
      <w:rFonts w:ascii="Calibri" w:eastAsia="宋体" w:hAnsi="Calibri" w:cs="Arial"/>
      <w:kern w:val="0"/>
      <w:sz w:val="22"/>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67B8"/>
    <w:pPr>
      <w:widowControl w:val="0"/>
      <w:pBdr>
        <w:bottom w:val="single" w:sz="6" w:space="1" w:color="auto"/>
      </w:pBdr>
      <w:tabs>
        <w:tab w:val="center" w:pos="4153"/>
        <w:tab w:val="right" w:pos="8306"/>
      </w:tabs>
      <w:snapToGrid w:val="0"/>
      <w:spacing w:after="0" w:line="240" w:lineRule="auto"/>
      <w:jc w:val="center"/>
    </w:pPr>
    <w:rPr>
      <w:rFonts w:asciiTheme="minorHAnsi" w:eastAsiaTheme="minorEastAsia" w:hAnsiTheme="minorHAnsi" w:cstheme="minorBidi"/>
      <w:kern w:val="2"/>
      <w:sz w:val="18"/>
      <w:szCs w:val="18"/>
      <w:lang w:val="en-US"/>
    </w:rPr>
  </w:style>
  <w:style w:type="character" w:customStyle="1" w:styleId="a4">
    <w:name w:val="页眉 字符"/>
    <w:basedOn w:val="a0"/>
    <w:link w:val="a3"/>
    <w:uiPriority w:val="99"/>
    <w:rsid w:val="000E67B8"/>
    <w:rPr>
      <w:sz w:val="18"/>
      <w:szCs w:val="18"/>
    </w:rPr>
  </w:style>
  <w:style w:type="paragraph" w:styleId="a5">
    <w:name w:val="footer"/>
    <w:basedOn w:val="a"/>
    <w:link w:val="a6"/>
    <w:uiPriority w:val="99"/>
    <w:unhideWhenUsed/>
    <w:rsid w:val="000E67B8"/>
    <w:pPr>
      <w:widowControl w:val="0"/>
      <w:tabs>
        <w:tab w:val="center" w:pos="4153"/>
        <w:tab w:val="right" w:pos="8306"/>
      </w:tabs>
      <w:snapToGrid w:val="0"/>
      <w:spacing w:after="0" w:line="240" w:lineRule="auto"/>
    </w:pPr>
    <w:rPr>
      <w:rFonts w:asciiTheme="minorHAnsi" w:eastAsiaTheme="minorEastAsia" w:hAnsiTheme="minorHAnsi" w:cstheme="minorBidi"/>
      <w:kern w:val="2"/>
      <w:sz w:val="18"/>
      <w:szCs w:val="18"/>
      <w:lang w:val="en-US"/>
    </w:rPr>
  </w:style>
  <w:style w:type="character" w:customStyle="1" w:styleId="a6">
    <w:name w:val="页脚 字符"/>
    <w:basedOn w:val="a0"/>
    <w:link w:val="a5"/>
    <w:uiPriority w:val="99"/>
    <w:rsid w:val="000E67B8"/>
    <w:rPr>
      <w:sz w:val="18"/>
      <w:szCs w:val="18"/>
    </w:rPr>
  </w:style>
  <w:style w:type="table" w:customStyle="1" w:styleId="3">
    <w:name w:val="网格型3"/>
    <w:basedOn w:val="a1"/>
    <w:next w:val="a7"/>
    <w:uiPriority w:val="39"/>
    <w:rsid w:val="000E67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网格型4"/>
    <w:basedOn w:val="a1"/>
    <w:next w:val="a7"/>
    <w:uiPriority w:val="39"/>
    <w:rsid w:val="000E67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网格型1"/>
    <w:basedOn w:val="a1"/>
    <w:next w:val="a7"/>
    <w:uiPriority w:val="39"/>
    <w:rsid w:val="000E67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a1"/>
    <w:next w:val="a7"/>
    <w:uiPriority w:val="39"/>
    <w:rsid w:val="000E67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0E67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5964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endnotes" Target="endnotes.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6</Pages>
  <Words>556</Words>
  <Characters>3170</Characters>
  <Application>Microsoft Office Word</Application>
  <DocSecurity>0</DocSecurity>
  <Lines>26</Lines>
  <Paragraphs>7</Paragraphs>
  <ScaleCrop>false</ScaleCrop>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HGBS</dc:creator>
  <cp:keywords/>
  <dc:description/>
  <cp:lastModifiedBy>HGBS</cp:lastModifiedBy>
  <cp:revision>18</cp:revision>
  <dcterms:created xsi:type="dcterms:W3CDTF">2022-02-22T03:08:00Z</dcterms:created>
  <dcterms:modified xsi:type="dcterms:W3CDTF">2022-06-12T12:53:00Z</dcterms:modified>
</cp:coreProperties>
</file>