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drawings/drawing2.xml" ContentType="application/vnd.openxmlformats-officedocument.drawingml.chartshapes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drawings/drawing3.xml" ContentType="application/vnd.openxmlformats-officedocument.drawingml.chartshap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E48B297" w14:textId="75F82F68" w:rsidR="00221601" w:rsidRDefault="00221601"/>
    <w:p w14:paraId="443B487E" w14:textId="77777777" w:rsidR="00221601" w:rsidRDefault="00221601" w:rsidP="00221601">
      <w:r w:rsidRPr="00C109D3">
        <w:rPr>
          <w:rFonts w:cstheme="minorHAnsi"/>
          <w:noProof/>
        </w:rPr>
        <w:drawing>
          <wp:inline distT="0" distB="0" distL="0" distR="0" wp14:anchorId="384964EB" wp14:editId="09C97936">
            <wp:extent cx="5943600" cy="2086610"/>
            <wp:effectExtent l="0" t="0" r="12700" b="8890"/>
            <wp:docPr id="1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E5BD828-9A72-0D4A-8A02-B35A3EDCD9B9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3158D753" w14:textId="77777777" w:rsidR="00221601" w:rsidRDefault="00221601" w:rsidP="00221601">
      <w:r w:rsidRPr="00C109D3">
        <w:rPr>
          <w:rFonts w:cstheme="minorHAnsi"/>
          <w:noProof/>
        </w:rPr>
        <w:drawing>
          <wp:inline distT="0" distB="0" distL="0" distR="0" wp14:anchorId="183FF46A" wp14:editId="6890545B">
            <wp:extent cx="5943600" cy="2098040"/>
            <wp:effectExtent l="0" t="0" r="12700" b="10160"/>
            <wp:docPr id="3" name="Chart 3">
              <a:extLst xmlns:a="http://schemas.openxmlformats.org/drawingml/2006/main">
                <a:ext uri="{FF2B5EF4-FFF2-40B4-BE49-F238E27FC236}">
                  <a16:creationId xmlns:a16="http://schemas.microsoft.com/office/drawing/2014/main" id="{F3953D09-21C4-6642-BE86-71253952CD0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14:paraId="4D3F9FFE" w14:textId="69EDBD6C" w:rsidR="00221601" w:rsidRDefault="00221601"/>
    <w:p w14:paraId="49952BC0" w14:textId="60DBB989" w:rsidR="00320337" w:rsidRDefault="009C5E07" w:rsidP="00014DB6">
      <w:r>
        <w:rPr>
          <w:noProof/>
        </w:rPr>
        <w:drawing>
          <wp:inline distT="0" distB="0" distL="0" distR="0" wp14:anchorId="6869B0FB" wp14:editId="2DF30C07">
            <wp:extent cx="5943600" cy="2683510"/>
            <wp:effectExtent l="0" t="0" r="12700" b="8890"/>
            <wp:docPr id="2" name="Chart 2">
              <a:extLst xmlns:a="http://schemas.openxmlformats.org/drawingml/2006/main">
                <a:ext uri="{FF2B5EF4-FFF2-40B4-BE49-F238E27FC236}">
                  <a16:creationId xmlns:a16="http://schemas.microsoft.com/office/drawing/2014/main" id="{628EDEA6-8C6A-B048-98CA-9467EF2B26C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sectPr w:rsidR="00320337" w:rsidSect="002B7B2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63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1601"/>
    <w:rsid w:val="00014DB6"/>
    <w:rsid w:val="00020EFE"/>
    <w:rsid w:val="00043029"/>
    <w:rsid w:val="000455FF"/>
    <w:rsid w:val="000459CE"/>
    <w:rsid w:val="00071F83"/>
    <w:rsid w:val="000A1361"/>
    <w:rsid w:val="000D05C0"/>
    <w:rsid w:val="000E1D9B"/>
    <w:rsid w:val="000E4CBF"/>
    <w:rsid w:val="00106F2C"/>
    <w:rsid w:val="001140AB"/>
    <w:rsid w:val="00125237"/>
    <w:rsid w:val="001275C9"/>
    <w:rsid w:val="00127905"/>
    <w:rsid w:val="001430D8"/>
    <w:rsid w:val="001646ED"/>
    <w:rsid w:val="00177AAE"/>
    <w:rsid w:val="001B0AA0"/>
    <w:rsid w:val="001D54A1"/>
    <w:rsid w:val="001D5F2D"/>
    <w:rsid w:val="001D7C17"/>
    <w:rsid w:val="001E0B38"/>
    <w:rsid w:val="001F1B29"/>
    <w:rsid w:val="001F2A49"/>
    <w:rsid w:val="002036F4"/>
    <w:rsid w:val="00221601"/>
    <w:rsid w:val="00227437"/>
    <w:rsid w:val="00232FEB"/>
    <w:rsid w:val="0023524A"/>
    <w:rsid w:val="002463CF"/>
    <w:rsid w:val="00254CE9"/>
    <w:rsid w:val="00260080"/>
    <w:rsid w:val="002841A6"/>
    <w:rsid w:val="002B7B2E"/>
    <w:rsid w:val="002D40D1"/>
    <w:rsid w:val="002F6C70"/>
    <w:rsid w:val="00300C3F"/>
    <w:rsid w:val="00320337"/>
    <w:rsid w:val="003337E4"/>
    <w:rsid w:val="00337B9C"/>
    <w:rsid w:val="00340A24"/>
    <w:rsid w:val="0036756A"/>
    <w:rsid w:val="00377844"/>
    <w:rsid w:val="00391492"/>
    <w:rsid w:val="003B20B5"/>
    <w:rsid w:val="003B3CA4"/>
    <w:rsid w:val="003E5B3B"/>
    <w:rsid w:val="00402E4C"/>
    <w:rsid w:val="00421A86"/>
    <w:rsid w:val="0049408A"/>
    <w:rsid w:val="004A520A"/>
    <w:rsid w:val="004B00DA"/>
    <w:rsid w:val="004C7C5C"/>
    <w:rsid w:val="004D194E"/>
    <w:rsid w:val="004F7D21"/>
    <w:rsid w:val="00520798"/>
    <w:rsid w:val="0052752C"/>
    <w:rsid w:val="0053485F"/>
    <w:rsid w:val="00560C7C"/>
    <w:rsid w:val="0058796D"/>
    <w:rsid w:val="005B0556"/>
    <w:rsid w:val="005B7A6C"/>
    <w:rsid w:val="005C3613"/>
    <w:rsid w:val="005D3736"/>
    <w:rsid w:val="005E78AD"/>
    <w:rsid w:val="006132BA"/>
    <w:rsid w:val="006140BA"/>
    <w:rsid w:val="00647054"/>
    <w:rsid w:val="00674928"/>
    <w:rsid w:val="00675D74"/>
    <w:rsid w:val="0067768E"/>
    <w:rsid w:val="0068084D"/>
    <w:rsid w:val="00690534"/>
    <w:rsid w:val="00696861"/>
    <w:rsid w:val="006A69A8"/>
    <w:rsid w:val="006B3B1E"/>
    <w:rsid w:val="006C0A6E"/>
    <w:rsid w:val="006C6A95"/>
    <w:rsid w:val="006D6521"/>
    <w:rsid w:val="006E49B9"/>
    <w:rsid w:val="006F15D5"/>
    <w:rsid w:val="00704421"/>
    <w:rsid w:val="0071070A"/>
    <w:rsid w:val="007177AE"/>
    <w:rsid w:val="00744227"/>
    <w:rsid w:val="0077067F"/>
    <w:rsid w:val="00776B7A"/>
    <w:rsid w:val="007919F6"/>
    <w:rsid w:val="00793E92"/>
    <w:rsid w:val="007B2518"/>
    <w:rsid w:val="007C2081"/>
    <w:rsid w:val="007C3FEB"/>
    <w:rsid w:val="007C4479"/>
    <w:rsid w:val="007D2CB7"/>
    <w:rsid w:val="007D54FF"/>
    <w:rsid w:val="007E427F"/>
    <w:rsid w:val="00807AF5"/>
    <w:rsid w:val="00847829"/>
    <w:rsid w:val="00856CB8"/>
    <w:rsid w:val="00863E98"/>
    <w:rsid w:val="00895CF8"/>
    <w:rsid w:val="008A7736"/>
    <w:rsid w:val="008E4737"/>
    <w:rsid w:val="008F2D36"/>
    <w:rsid w:val="00910DA1"/>
    <w:rsid w:val="00922A28"/>
    <w:rsid w:val="009246FE"/>
    <w:rsid w:val="0095710B"/>
    <w:rsid w:val="00960A12"/>
    <w:rsid w:val="009A303C"/>
    <w:rsid w:val="009B5809"/>
    <w:rsid w:val="009B7988"/>
    <w:rsid w:val="009C5E07"/>
    <w:rsid w:val="009F4740"/>
    <w:rsid w:val="00A04495"/>
    <w:rsid w:val="00A16ADA"/>
    <w:rsid w:val="00A22135"/>
    <w:rsid w:val="00A26A8B"/>
    <w:rsid w:val="00A340DA"/>
    <w:rsid w:val="00AA6B8C"/>
    <w:rsid w:val="00AC7BB3"/>
    <w:rsid w:val="00AE030B"/>
    <w:rsid w:val="00B2559F"/>
    <w:rsid w:val="00B56C03"/>
    <w:rsid w:val="00B72015"/>
    <w:rsid w:val="00B7600A"/>
    <w:rsid w:val="00B80C6D"/>
    <w:rsid w:val="00B97366"/>
    <w:rsid w:val="00BA751C"/>
    <w:rsid w:val="00BC1CCF"/>
    <w:rsid w:val="00BC48B7"/>
    <w:rsid w:val="00BD5938"/>
    <w:rsid w:val="00BE3EDA"/>
    <w:rsid w:val="00C056B2"/>
    <w:rsid w:val="00C079A2"/>
    <w:rsid w:val="00C10EE1"/>
    <w:rsid w:val="00C268EB"/>
    <w:rsid w:val="00C26FEF"/>
    <w:rsid w:val="00C724BE"/>
    <w:rsid w:val="00C74C25"/>
    <w:rsid w:val="00C91D36"/>
    <w:rsid w:val="00C9624B"/>
    <w:rsid w:val="00CB1435"/>
    <w:rsid w:val="00CC1AB2"/>
    <w:rsid w:val="00CD2C14"/>
    <w:rsid w:val="00CD4127"/>
    <w:rsid w:val="00CE3C7E"/>
    <w:rsid w:val="00CF530E"/>
    <w:rsid w:val="00D2207D"/>
    <w:rsid w:val="00D24908"/>
    <w:rsid w:val="00D53743"/>
    <w:rsid w:val="00D6198D"/>
    <w:rsid w:val="00D61D67"/>
    <w:rsid w:val="00D7237D"/>
    <w:rsid w:val="00D95D91"/>
    <w:rsid w:val="00DD3B43"/>
    <w:rsid w:val="00DD7A77"/>
    <w:rsid w:val="00E16F89"/>
    <w:rsid w:val="00E251A5"/>
    <w:rsid w:val="00E433B8"/>
    <w:rsid w:val="00E51499"/>
    <w:rsid w:val="00E571B2"/>
    <w:rsid w:val="00E63FC6"/>
    <w:rsid w:val="00E67A41"/>
    <w:rsid w:val="00E76B24"/>
    <w:rsid w:val="00E97326"/>
    <w:rsid w:val="00EA31DE"/>
    <w:rsid w:val="00EB5DB4"/>
    <w:rsid w:val="00EC3441"/>
    <w:rsid w:val="00ED4A23"/>
    <w:rsid w:val="00F10498"/>
    <w:rsid w:val="00F217DE"/>
    <w:rsid w:val="00F27C1E"/>
    <w:rsid w:val="00F53F62"/>
    <w:rsid w:val="00F617EC"/>
    <w:rsid w:val="00F66ADB"/>
    <w:rsid w:val="00FC3686"/>
    <w:rsid w:val="00FD53F3"/>
    <w:rsid w:val="00FF0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05B928"/>
  <w15:chartTrackingRefBased/>
  <w15:docId w15:val="{410571C3-D5FE-AD40-BCAD-00DDE9826E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014DB6"/>
    <w:rPr>
      <w:rFonts w:ascii="Times New Roman" w:hAnsi="Times New Roman" w:cs="Times New Roman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4DB6"/>
    <w:rPr>
      <w:rFonts w:ascii="Times New Roman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alexjohnson\Desktop\paper%20combining%20chapter%201%20and%202\mdp2\mdp2_prediction_analysis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alexjohnson\Desktop\paper%20combining%20chapter%201%20and%202\mdp2\mdp2_prediction_analysis.xlsx" TargetMode="External"/><Relationship Id="rId2" Type="http://schemas.microsoft.com/office/2011/relationships/chartColorStyle" Target="colors2.xml"/><Relationship Id="rId1" Type="http://schemas.microsoft.com/office/2011/relationships/chartStyle" Target="style2.xml"/><Relationship Id="rId4" Type="http://schemas.openxmlformats.org/officeDocument/2006/relationships/chartUserShapes" Target="../drawings/drawing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alexjohnson\Desktop\paper%20combining%20chapter%201%20and%202\mdp2\mdp2_prediction_analysis.xlsx" TargetMode="External"/><Relationship Id="rId2" Type="http://schemas.microsoft.com/office/2011/relationships/chartColorStyle" Target="colors3.xml"/><Relationship Id="rId1" Type="http://schemas.microsoft.com/office/2011/relationships/chartStyle" Target="style3.xml"/><Relationship Id="rId4" Type="http://schemas.openxmlformats.org/officeDocument/2006/relationships/chartUserShapes" Target="../drawings/drawing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graphs!$E$2</c:f>
              <c:strCache>
                <c:ptCount val="1"/>
                <c:pt idx="0">
                  <c:v>F1_304H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graphs!$D$3:$D$7</c:f>
              <c:strCache>
                <c:ptCount val="5"/>
                <c:pt idx="0">
                  <c:v>20nt</c:v>
                </c:pt>
                <c:pt idx="1">
                  <c:v>21nt</c:v>
                </c:pt>
                <c:pt idx="2">
                  <c:v>22nt</c:v>
                </c:pt>
                <c:pt idx="3">
                  <c:v>23nt</c:v>
                </c:pt>
                <c:pt idx="4">
                  <c:v>24nt</c:v>
                </c:pt>
              </c:strCache>
            </c:strRef>
          </c:cat>
          <c:val>
            <c:numRef>
              <c:f>graphs!$E$3:$E$7</c:f>
              <c:numCache>
                <c:formatCode>General</c:formatCode>
                <c:ptCount val="5"/>
                <c:pt idx="0">
                  <c:v>26</c:v>
                </c:pt>
                <c:pt idx="1">
                  <c:v>126</c:v>
                </c:pt>
                <c:pt idx="2">
                  <c:v>16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B48-884E-A98E-C2855A7053A1}"/>
            </c:ext>
          </c:extLst>
        </c:ser>
        <c:ser>
          <c:idx val="1"/>
          <c:order val="1"/>
          <c:tx>
            <c:strRef>
              <c:f>graphs!$F$2</c:f>
              <c:strCache>
                <c:ptCount val="1"/>
                <c:pt idx="0">
                  <c:v>F1_346L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graphs!$D$3:$D$7</c:f>
              <c:strCache>
                <c:ptCount val="5"/>
                <c:pt idx="0">
                  <c:v>20nt</c:v>
                </c:pt>
                <c:pt idx="1">
                  <c:v>21nt</c:v>
                </c:pt>
                <c:pt idx="2">
                  <c:v>22nt</c:v>
                </c:pt>
                <c:pt idx="3">
                  <c:v>23nt</c:v>
                </c:pt>
                <c:pt idx="4">
                  <c:v>24nt</c:v>
                </c:pt>
              </c:strCache>
            </c:strRef>
          </c:cat>
          <c:val>
            <c:numRef>
              <c:f>graphs!$F$3:$F$7</c:f>
              <c:numCache>
                <c:formatCode>General</c:formatCode>
                <c:ptCount val="5"/>
                <c:pt idx="0">
                  <c:v>24</c:v>
                </c:pt>
                <c:pt idx="1">
                  <c:v>130</c:v>
                </c:pt>
                <c:pt idx="2">
                  <c:v>20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B48-884E-A98E-C2855A7053A1}"/>
            </c:ext>
          </c:extLst>
        </c:ser>
        <c:ser>
          <c:idx val="2"/>
          <c:order val="2"/>
          <c:tx>
            <c:strRef>
              <c:f>graphs!$G$2</c:f>
              <c:strCache>
                <c:ptCount val="1"/>
                <c:pt idx="0">
                  <c:v>Alamo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graphs!$D$3:$D$7</c:f>
              <c:strCache>
                <c:ptCount val="5"/>
                <c:pt idx="0">
                  <c:v>20nt</c:v>
                </c:pt>
                <c:pt idx="1">
                  <c:v>21nt</c:v>
                </c:pt>
                <c:pt idx="2">
                  <c:v>22nt</c:v>
                </c:pt>
                <c:pt idx="3">
                  <c:v>23nt</c:v>
                </c:pt>
                <c:pt idx="4">
                  <c:v>24nt</c:v>
                </c:pt>
              </c:strCache>
            </c:strRef>
          </c:cat>
          <c:val>
            <c:numRef>
              <c:f>graphs!$G$3:$G$7</c:f>
              <c:numCache>
                <c:formatCode>General</c:formatCode>
                <c:ptCount val="5"/>
                <c:pt idx="0">
                  <c:v>25</c:v>
                </c:pt>
                <c:pt idx="1">
                  <c:v>121</c:v>
                </c:pt>
                <c:pt idx="2">
                  <c:v>6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B48-884E-A98E-C2855A7053A1}"/>
            </c:ext>
          </c:extLst>
        </c:ser>
        <c:ser>
          <c:idx val="3"/>
          <c:order val="3"/>
          <c:tx>
            <c:strRef>
              <c:f>graphs!$H$2</c:f>
              <c:strCache>
                <c:ptCount val="1"/>
                <c:pt idx="0">
                  <c:v>Dacotah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graphs!$D$3:$D$7</c:f>
              <c:strCache>
                <c:ptCount val="5"/>
                <c:pt idx="0">
                  <c:v>20nt</c:v>
                </c:pt>
                <c:pt idx="1">
                  <c:v>21nt</c:v>
                </c:pt>
                <c:pt idx="2">
                  <c:v>22nt</c:v>
                </c:pt>
                <c:pt idx="3">
                  <c:v>23nt</c:v>
                </c:pt>
                <c:pt idx="4">
                  <c:v>24nt</c:v>
                </c:pt>
              </c:strCache>
            </c:strRef>
          </c:cat>
          <c:val>
            <c:numRef>
              <c:f>graphs!$H$3:$H$7</c:f>
              <c:numCache>
                <c:formatCode>General</c:formatCode>
                <c:ptCount val="5"/>
                <c:pt idx="0">
                  <c:v>22</c:v>
                </c:pt>
                <c:pt idx="1">
                  <c:v>112</c:v>
                </c:pt>
                <c:pt idx="2">
                  <c:v>18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B48-884E-A98E-C2855A7053A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10022352"/>
        <c:axId val="586417808"/>
      </c:barChart>
      <c:catAx>
        <c:axId val="6100223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86417808"/>
        <c:crosses val="autoZero"/>
        <c:auto val="1"/>
        <c:lblAlgn val="ctr"/>
        <c:lblOffset val="100"/>
        <c:noMultiLvlLbl val="0"/>
      </c:catAx>
      <c:valAx>
        <c:axId val="586417808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kern="1200" baseline="0">
                    <a:solidFill>
                      <a:srgbClr val="000000"/>
                    </a:solidFill>
                    <a:effectLst/>
                  </a:rPr>
                  <a:t>Number of miRNA-producing loci</a:t>
                </a:r>
                <a:endParaRPr lang="en-US">
                  <a:effectLst/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0022352"/>
        <c:crosses val="autoZero"/>
        <c:crossBetween val="between"/>
      </c:valAx>
      <c:spPr>
        <a:noFill/>
        <a:ln w="25400"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clustered"/>
        <c:varyColors val="0"/>
        <c:ser>
          <c:idx val="0"/>
          <c:order val="0"/>
          <c:tx>
            <c:strRef>
              <c:f>graphs!$E$11</c:f>
              <c:strCache>
                <c:ptCount val="1"/>
                <c:pt idx="0">
                  <c:v>F1_304H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graphs!$D$12:$D$16</c:f>
              <c:strCache>
                <c:ptCount val="5"/>
                <c:pt idx="0">
                  <c:v>20nt</c:v>
                </c:pt>
                <c:pt idx="1">
                  <c:v>21nt</c:v>
                </c:pt>
                <c:pt idx="2">
                  <c:v>22nt</c:v>
                </c:pt>
                <c:pt idx="3">
                  <c:v>23nt</c:v>
                </c:pt>
                <c:pt idx="4">
                  <c:v>24nt</c:v>
                </c:pt>
              </c:strCache>
            </c:strRef>
          </c:cat>
          <c:val>
            <c:numRef>
              <c:f>graphs!$E$12:$E$16</c:f>
              <c:numCache>
                <c:formatCode>General</c:formatCode>
                <c:ptCount val="5"/>
                <c:pt idx="0">
                  <c:v>1</c:v>
                </c:pt>
                <c:pt idx="1">
                  <c:v>22</c:v>
                </c:pt>
                <c:pt idx="2">
                  <c:v>12</c:v>
                </c:pt>
                <c:pt idx="3">
                  <c:v>0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0956-1849-904E-392087EAF550}"/>
            </c:ext>
          </c:extLst>
        </c:ser>
        <c:ser>
          <c:idx val="1"/>
          <c:order val="1"/>
          <c:tx>
            <c:strRef>
              <c:f>graphs!$F$11</c:f>
              <c:strCache>
                <c:ptCount val="1"/>
                <c:pt idx="0">
                  <c:v>F1_346L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graphs!$D$12:$D$16</c:f>
              <c:strCache>
                <c:ptCount val="5"/>
                <c:pt idx="0">
                  <c:v>20nt</c:v>
                </c:pt>
                <c:pt idx="1">
                  <c:v>21nt</c:v>
                </c:pt>
                <c:pt idx="2">
                  <c:v>22nt</c:v>
                </c:pt>
                <c:pt idx="3">
                  <c:v>23nt</c:v>
                </c:pt>
                <c:pt idx="4">
                  <c:v>24nt</c:v>
                </c:pt>
              </c:strCache>
            </c:strRef>
          </c:cat>
          <c:val>
            <c:numRef>
              <c:f>graphs!$F$12:$F$16</c:f>
              <c:numCache>
                <c:formatCode>General</c:formatCode>
                <c:ptCount val="5"/>
                <c:pt idx="0">
                  <c:v>1</c:v>
                </c:pt>
                <c:pt idx="1">
                  <c:v>21</c:v>
                </c:pt>
                <c:pt idx="2">
                  <c:v>13</c:v>
                </c:pt>
                <c:pt idx="3">
                  <c:v>0</c:v>
                </c:pt>
                <c:pt idx="4">
                  <c:v>5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0956-1849-904E-392087EAF550}"/>
            </c:ext>
          </c:extLst>
        </c:ser>
        <c:ser>
          <c:idx val="2"/>
          <c:order val="2"/>
          <c:tx>
            <c:strRef>
              <c:f>graphs!$G$11</c:f>
              <c:strCache>
                <c:ptCount val="1"/>
                <c:pt idx="0">
                  <c:v>Alamo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graphs!$D$12:$D$16</c:f>
              <c:strCache>
                <c:ptCount val="5"/>
                <c:pt idx="0">
                  <c:v>20nt</c:v>
                </c:pt>
                <c:pt idx="1">
                  <c:v>21nt</c:v>
                </c:pt>
                <c:pt idx="2">
                  <c:v>22nt</c:v>
                </c:pt>
                <c:pt idx="3">
                  <c:v>23nt</c:v>
                </c:pt>
                <c:pt idx="4">
                  <c:v>24nt</c:v>
                </c:pt>
              </c:strCache>
            </c:strRef>
          </c:cat>
          <c:val>
            <c:numRef>
              <c:f>graphs!$G$12:$G$16</c:f>
              <c:numCache>
                <c:formatCode>General</c:formatCode>
                <c:ptCount val="5"/>
                <c:pt idx="0">
                  <c:v>1</c:v>
                </c:pt>
                <c:pt idx="1">
                  <c:v>15</c:v>
                </c:pt>
                <c:pt idx="2">
                  <c:v>7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0956-1849-904E-392087EAF550}"/>
            </c:ext>
          </c:extLst>
        </c:ser>
        <c:ser>
          <c:idx val="3"/>
          <c:order val="3"/>
          <c:tx>
            <c:strRef>
              <c:f>graphs!$H$11</c:f>
              <c:strCache>
                <c:ptCount val="1"/>
                <c:pt idx="0">
                  <c:v>Dacotah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graphs!$D$12:$D$16</c:f>
              <c:strCache>
                <c:ptCount val="5"/>
                <c:pt idx="0">
                  <c:v>20nt</c:v>
                </c:pt>
                <c:pt idx="1">
                  <c:v>21nt</c:v>
                </c:pt>
                <c:pt idx="2">
                  <c:v>22nt</c:v>
                </c:pt>
                <c:pt idx="3">
                  <c:v>23nt</c:v>
                </c:pt>
                <c:pt idx="4">
                  <c:v>24nt</c:v>
                </c:pt>
              </c:strCache>
            </c:strRef>
          </c:cat>
          <c:val>
            <c:numRef>
              <c:f>graphs!$H$12:$H$16</c:f>
              <c:numCache>
                <c:formatCode>General</c:formatCode>
                <c:ptCount val="5"/>
                <c:pt idx="0">
                  <c:v>0</c:v>
                </c:pt>
                <c:pt idx="1">
                  <c:v>22</c:v>
                </c:pt>
                <c:pt idx="2">
                  <c:v>13</c:v>
                </c:pt>
                <c:pt idx="3">
                  <c:v>0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0956-1849-904E-392087EAF550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609861472"/>
        <c:axId val="610062512"/>
      </c:barChart>
      <c:catAx>
        <c:axId val="60986147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10062512"/>
        <c:crosses val="autoZero"/>
        <c:auto val="1"/>
        <c:lblAlgn val="ctr"/>
        <c:lblOffset val="100"/>
        <c:noMultiLvlLbl val="0"/>
      </c:catAx>
      <c:valAx>
        <c:axId val="610062512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 sz="10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000" b="0" i="0" kern="1200" baseline="0">
                    <a:solidFill>
                      <a:srgbClr val="000000"/>
                    </a:solidFill>
                    <a:effectLst/>
                  </a:rPr>
                  <a:t>Number of miRNA-producing loci</a:t>
                </a:r>
                <a:endParaRPr lang="en-US">
                  <a:effectLst/>
                </a:endParaRPr>
              </a:p>
              <a:p>
                <a:pPr marL="0" marR="0" lvl="0" indent="0" algn="ctr" defTabSz="914400" rtl="0" eaLnBrk="1" fontAlgn="auto" latinLnBrk="0" hangingPunct="1">
                  <a:lnSpc>
                    <a:spcPct val="100000"/>
                  </a:lnSpc>
                  <a:spcBef>
                    <a:spcPts val="0"/>
                  </a:spcBef>
                  <a:spcAft>
                    <a:spcPts val="0"/>
                  </a:spcAft>
                  <a:buClrTx/>
                  <a:buSzTx/>
                  <a:buFontTx/>
                  <a:buNone/>
                  <a:tabLst/>
                  <a:defRPr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defRPr>
                </a:pP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 marL="0" marR="0" lvl="0" indent="0" algn="ctr" defTabSz="914400" rtl="0" eaLnBrk="1" fontAlgn="auto" latinLnBrk="0" hangingPunct="1">
                <a:lnSpc>
                  <a:spcPct val="100000"/>
                </a:lnSpc>
                <a:spcBef>
                  <a:spcPts val="0"/>
                </a:spcBef>
                <a:spcAft>
                  <a:spcPts val="0"/>
                </a:spcAft>
                <a:buClrTx/>
                <a:buSzTx/>
                <a:buFontTx/>
                <a:buNone/>
                <a:tabLst/>
                <a:defRPr sz="1000" b="0" i="0" u="none" strike="noStrike" kern="1200" baseline="0">
                  <a:solidFill>
                    <a:sysClr val="windowText" lastClr="000000">
                      <a:lumMod val="65000"/>
                      <a:lumOff val="35000"/>
                    </a:sys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986147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>
        <c:manualLayout>
          <c:layoutTarget val="inner"/>
          <c:xMode val="edge"/>
          <c:yMode val="edge"/>
          <c:x val="9.4389259034928313E-2"/>
          <c:y val="5.205868433506862E-2"/>
          <c:w val="0.879969715324046"/>
          <c:h val="0.60705903834902797"/>
        </c:manualLayout>
      </c:layout>
      <c:barChart>
        <c:barDir val="col"/>
        <c:grouping val="clustered"/>
        <c:varyColors val="0"/>
        <c:ser>
          <c:idx val="0"/>
          <c:order val="0"/>
          <c:tx>
            <c:strRef>
              <c:f>Family_numbers!$I$2</c:f>
              <c:strCache>
                <c:ptCount val="1"/>
                <c:pt idx="0">
                  <c:v>F1_304H</c:v>
                </c:pt>
              </c:strCache>
            </c:strRef>
          </c:tx>
          <c:spPr>
            <a:solidFill>
              <a:schemeClr val="accent1"/>
            </a:solidFill>
            <a:ln>
              <a:noFill/>
            </a:ln>
            <a:effectLst/>
          </c:spPr>
          <c:invertIfNegative val="0"/>
          <c:cat>
            <c:strRef>
              <c:f>Family_numbers!$H$3:$H$35</c:f>
              <c:strCache>
                <c:ptCount val="33"/>
                <c:pt idx="0">
                  <c:v>miR11341</c:v>
                </c:pt>
                <c:pt idx="1">
                  <c:v>miR1432</c:v>
                </c:pt>
                <c:pt idx="2">
                  <c:v>miR156</c:v>
                </c:pt>
                <c:pt idx="3">
                  <c:v>miR159</c:v>
                </c:pt>
                <c:pt idx="4">
                  <c:v>miR160</c:v>
                </c:pt>
                <c:pt idx="5">
                  <c:v>miR162</c:v>
                </c:pt>
                <c:pt idx="6">
                  <c:v>miR164</c:v>
                </c:pt>
                <c:pt idx="7">
                  <c:v>miR166</c:v>
                </c:pt>
                <c:pt idx="8">
                  <c:v>miR167</c:v>
                </c:pt>
                <c:pt idx="9">
                  <c:v>miR168</c:v>
                </c:pt>
                <c:pt idx="10">
                  <c:v>miR169</c:v>
                </c:pt>
                <c:pt idx="11">
                  <c:v>miR171</c:v>
                </c:pt>
                <c:pt idx="12">
                  <c:v>miR172</c:v>
                </c:pt>
                <c:pt idx="13">
                  <c:v>miR2118</c:v>
                </c:pt>
                <c:pt idx="14">
                  <c:v>miR319</c:v>
                </c:pt>
                <c:pt idx="15">
                  <c:v>miR390</c:v>
                </c:pt>
                <c:pt idx="16">
                  <c:v>miR393</c:v>
                </c:pt>
                <c:pt idx="17">
                  <c:v>miR394</c:v>
                </c:pt>
                <c:pt idx="18">
                  <c:v>miR395</c:v>
                </c:pt>
                <c:pt idx="19">
                  <c:v>miR396</c:v>
                </c:pt>
                <c:pt idx="20">
                  <c:v>miR397</c:v>
                </c:pt>
                <c:pt idx="21">
                  <c:v>miR398</c:v>
                </c:pt>
                <c:pt idx="22">
                  <c:v>miR399</c:v>
                </c:pt>
                <c:pt idx="23">
                  <c:v>miR408</c:v>
                </c:pt>
                <c:pt idx="24">
                  <c:v>miR479</c:v>
                </c:pt>
                <c:pt idx="25">
                  <c:v>miR528</c:v>
                </c:pt>
                <c:pt idx="26">
                  <c:v>miR529</c:v>
                </c:pt>
                <c:pt idx="27">
                  <c:v>miR827</c:v>
                </c:pt>
                <c:pt idx="28">
                  <c:v>miR858</c:v>
                </c:pt>
                <c:pt idx="29">
                  <c:v>miR477</c:v>
                </c:pt>
                <c:pt idx="30">
                  <c:v>miR535</c:v>
                </c:pt>
                <c:pt idx="31">
                  <c:v>miR3979</c:v>
                </c:pt>
                <c:pt idx="32">
                  <c:v>miR5168</c:v>
                </c:pt>
              </c:strCache>
            </c:strRef>
          </c:cat>
          <c:val>
            <c:numRef>
              <c:f>Family_numbers!$I$3:$I$35</c:f>
              <c:numCache>
                <c:formatCode>General</c:formatCode>
                <c:ptCount val="33"/>
                <c:pt idx="0">
                  <c:v>1</c:v>
                </c:pt>
                <c:pt idx="1">
                  <c:v>1</c:v>
                </c:pt>
                <c:pt idx="2">
                  <c:v>20</c:v>
                </c:pt>
                <c:pt idx="3">
                  <c:v>4</c:v>
                </c:pt>
                <c:pt idx="4">
                  <c:v>10</c:v>
                </c:pt>
                <c:pt idx="5">
                  <c:v>2</c:v>
                </c:pt>
                <c:pt idx="6">
                  <c:v>12</c:v>
                </c:pt>
                <c:pt idx="7">
                  <c:v>15</c:v>
                </c:pt>
                <c:pt idx="8">
                  <c:v>17</c:v>
                </c:pt>
                <c:pt idx="9">
                  <c:v>2</c:v>
                </c:pt>
                <c:pt idx="10">
                  <c:v>6</c:v>
                </c:pt>
                <c:pt idx="11">
                  <c:v>14</c:v>
                </c:pt>
                <c:pt idx="12">
                  <c:v>6</c:v>
                </c:pt>
                <c:pt idx="13">
                  <c:v>3</c:v>
                </c:pt>
                <c:pt idx="14">
                  <c:v>3</c:v>
                </c:pt>
                <c:pt idx="15">
                  <c:v>1</c:v>
                </c:pt>
                <c:pt idx="16">
                  <c:v>2</c:v>
                </c:pt>
                <c:pt idx="17">
                  <c:v>2</c:v>
                </c:pt>
                <c:pt idx="18">
                  <c:v>13</c:v>
                </c:pt>
                <c:pt idx="19">
                  <c:v>9</c:v>
                </c:pt>
                <c:pt idx="20">
                  <c:v>2</c:v>
                </c:pt>
                <c:pt idx="21">
                  <c:v>2</c:v>
                </c:pt>
                <c:pt idx="22">
                  <c:v>6</c:v>
                </c:pt>
                <c:pt idx="23">
                  <c:v>3</c:v>
                </c:pt>
                <c:pt idx="24">
                  <c:v>3</c:v>
                </c:pt>
                <c:pt idx="25">
                  <c:v>4</c:v>
                </c:pt>
                <c:pt idx="26">
                  <c:v>4</c:v>
                </c:pt>
                <c:pt idx="27">
                  <c:v>1</c:v>
                </c:pt>
                <c:pt idx="28">
                  <c:v>1</c:v>
                </c:pt>
                <c:pt idx="29">
                  <c:v>0</c:v>
                </c:pt>
                <c:pt idx="30">
                  <c:v>0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E2E4-F144-9E93-81BE3AD7E847}"/>
            </c:ext>
          </c:extLst>
        </c:ser>
        <c:ser>
          <c:idx val="1"/>
          <c:order val="1"/>
          <c:tx>
            <c:strRef>
              <c:f>Family_numbers!$J$2</c:f>
              <c:strCache>
                <c:ptCount val="1"/>
                <c:pt idx="0">
                  <c:v>F1_346L</c:v>
                </c:pt>
              </c:strCache>
            </c:strRef>
          </c:tx>
          <c:spPr>
            <a:solidFill>
              <a:schemeClr val="accent2"/>
            </a:solidFill>
            <a:ln>
              <a:noFill/>
            </a:ln>
            <a:effectLst/>
          </c:spPr>
          <c:invertIfNegative val="0"/>
          <c:cat>
            <c:strRef>
              <c:f>Family_numbers!$H$3:$H$35</c:f>
              <c:strCache>
                <c:ptCount val="33"/>
                <c:pt idx="0">
                  <c:v>miR11341</c:v>
                </c:pt>
                <c:pt idx="1">
                  <c:v>miR1432</c:v>
                </c:pt>
                <c:pt idx="2">
                  <c:v>miR156</c:v>
                </c:pt>
                <c:pt idx="3">
                  <c:v>miR159</c:v>
                </c:pt>
                <c:pt idx="4">
                  <c:v>miR160</c:v>
                </c:pt>
                <c:pt idx="5">
                  <c:v>miR162</c:v>
                </c:pt>
                <c:pt idx="6">
                  <c:v>miR164</c:v>
                </c:pt>
                <c:pt idx="7">
                  <c:v>miR166</c:v>
                </c:pt>
                <c:pt idx="8">
                  <c:v>miR167</c:v>
                </c:pt>
                <c:pt idx="9">
                  <c:v>miR168</c:v>
                </c:pt>
                <c:pt idx="10">
                  <c:v>miR169</c:v>
                </c:pt>
                <c:pt idx="11">
                  <c:v>miR171</c:v>
                </c:pt>
                <c:pt idx="12">
                  <c:v>miR172</c:v>
                </c:pt>
                <c:pt idx="13">
                  <c:v>miR2118</c:v>
                </c:pt>
                <c:pt idx="14">
                  <c:v>miR319</c:v>
                </c:pt>
                <c:pt idx="15">
                  <c:v>miR390</c:v>
                </c:pt>
                <c:pt idx="16">
                  <c:v>miR393</c:v>
                </c:pt>
                <c:pt idx="17">
                  <c:v>miR394</c:v>
                </c:pt>
                <c:pt idx="18">
                  <c:v>miR395</c:v>
                </c:pt>
                <c:pt idx="19">
                  <c:v>miR396</c:v>
                </c:pt>
                <c:pt idx="20">
                  <c:v>miR397</c:v>
                </c:pt>
                <c:pt idx="21">
                  <c:v>miR398</c:v>
                </c:pt>
                <c:pt idx="22">
                  <c:v>miR399</c:v>
                </c:pt>
                <c:pt idx="23">
                  <c:v>miR408</c:v>
                </c:pt>
                <c:pt idx="24">
                  <c:v>miR479</c:v>
                </c:pt>
                <c:pt idx="25">
                  <c:v>miR528</c:v>
                </c:pt>
                <c:pt idx="26">
                  <c:v>miR529</c:v>
                </c:pt>
                <c:pt idx="27">
                  <c:v>miR827</c:v>
                </c:pt>
                <c:pt idx="28">
                  <c:v>miR858</c:v>
                </c:pt>
                <c:pt idx="29">
                  <c:v>miR477</c:v>
                </c:pt>
                <c:pt idx="30">
                  <c:v>miR535</c:v>
                </c:pt>
                <c:pt idx="31">
                  <c:v>miR3979</c:v>
                </c:pt>
                <c:pt idx="32">
                  <c:v>miR5168</c:v>
                </c:pt>
              </c:strCache>
            </c:strRef>
          </c:cat>
          <c:val>
            <c:numRef>
              <c:f>Family_numbers!$J$3:$J$35</c:f>
              <c:numCache>
                <c:formatCode>General</c:formatCode>
                <c:ptCount val="33"/>
                <c:pt idx="0">
                  <c:v>1</c:v>
                </c:pt>
                <c:pt idx="1">
                  <c:v>1</c:v>
                </c:pt>
                <c:pt idx="2">
                  <c:v>22</c:v>
                </c:pt>
                <c:pt idx="3">
                  <c:v>3</c:v>
                </c:pt>
                <c:pt idx="4">
                  <c:v>11</c:v>
                </c:pt>
                <c:pt idx="5">
                  <c:v>2</c:v>
                </c:pt>
                <c:pt idx="6">
                  <c:v>12</c:v>
                </c:pt>
                <c:pt idx="7">
                  <c:v>15</c:v>
                </c:pt>
                <c:pt idx="8">
                  <c:v>16</c:v>
                </c:pt>
                <c:pt idx="9">
                  <c:v>2</c:v>
                </c:pt>
                <c:pt idx="10">
                  <c:v>6</c:v>
                </c:pt>
                <c:pt idx="11">
                  <c:v>17</c:v>
                </c:pt>
                <c:pt idx="12">
                  <c:v>6</c:v>
                </c:pt>
                <c:pt idx="13">
                  <c:v>6</c:v>
                </c:pt>
                <c:pt idx="14">
                  <c:v>3</c:v>
                </c:pt>
                <c:pt idx="15">
                  <c:v>1</c:v>
                </c:pt>
                <c:pt idx="16">
                  <c:v>2</c:v>
                </c:pt>
                <c:pt idx="17">
                  <c:v>2</c:v>
                </c:pt>
                <c:pt idx="18">
                  <c:v>12</c:v>
                </c:pt>
                <c:pt idx="19">
                  <c:v>9</c:v>
                </c:pt>
                <c:pt idx="20">
                  <c:v>2</c:v>
                </c:pt>
                <c:pt idx="21">
                  <c:v>2</c:v>
                </c:pt>
                <c:pt idx="22">
                  <c:v>4</c:v>
                </c:pt>
                <c:pt idx="23">
                  <c:v>3</c:v>
                </c:pt>
                <c:pt idx="24">
                  <c:v>3</c:v>
                </c:pt>
                <c:pt idx="25">
                  <c:v>4</c:v>
                </c:pt>
                <c:pt idx="26">
                  <c:v>4</c:v>
                </c:pt>
                <c:pt idx="27">
                  <c:v>1</c:v>
                </c:pt>
                <c:pt idx="28">
                  <c:v>0</c:v>
                </c:pt>
                <c:pt idx="29">
                  <c:v>1</c:v>
                </c:pt>
                <c:pt idx="30">
                  <c:v>2</c:v>
                </c:pt>
                <c:pt idx="31">
                  <c:v>0</c:v>
                </c:pt>
                <c:pt idx="3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E2E4-F144-9E93-81BE3AD7E847}"/>
            </c:ext>
          </c:extLst>
        </c:ser>
        <c:ser>
          <c:idx val="2"/>
          <c:order val="2"/>
          <c:tx>
            <c:strRef>
              <c:f>Family_numbers!$K$2</c:f>
              <c:strCache>
                <c:ptCount val="1"/>
                <c:pt idx="0">
                  <c:v>Alamo</c:v>
                </c:pt>
              </c:strCache>
            </c:strRef>
          </c:tx>
          <c:spPr>
            <a:solidFill>
              <a:schemeClr val="accent3"/>
            </a:solidFill>
            <a:ln>
              <a:noFill/>
            </a:ln>
            <a:effectLst/>
          </c:spPr>
          <c:invertIfNegative val="0"/>
          <c:cat>
            <c:strRef>
              <c:f>Family_numbers!$H$3:$H$35</c:f>
              <c:strCache>
                <c:ptCount val="33"/>
                <c:pt idx="0">
                  <c:v>miR11341</c:v>
                </c:pt>
                <c:pt idx="1">
                  <c:v>miR1432</c:v>
                </c:pt>
                <c:pt idx="2">
                  <c:v>miR156</c:v>
                </c:pt>
                <c:pt idx="3">
                  <c:v>miR159</c:v>
                </c:pt>
                <c:pt idx="4">
                  <c:v>miR160</c:v>
                </c:pt>
                <c:pt idx="5">
                  <c:v>miR162</c:v>
                </c:pt>
                <c:pt idx="6">
                  <c:v>miR164</c:v>
                </c:pt>
                <c:pt idx="7">
                  <c:v>miR166</c:v>
                </c:pt>
                <c:pt idx="8">
                  <c:v>miR167</c:v>
                </c:pt>
                <c:pt idx="9">
                  <c:v>miR168</c:v>
                </c:pt>
                <c:pt idx="10">
                  <c:v>miR169</c:v>
                </c:pt>
                <c:pt idx="11">
                  <c:v>miR171</c:v>
                </c:pt>
                <c:pt idx="12">
                  <c:v>miR172</c:v>
                </c:pt>
                <c:pt idx="13">
                  <c:v>miR2118</c:v>
                </c:pt>
                <c:pt idx="14">
                  <c:v>miR319</c:v>
                </c:pt>
                <c:pt idx="15">
                  <c:v>miR390</c:v>
                </c:pt>
                <c:pt idx="16">
                  <c:v>miR393</c:v>
                </c:pt>
                <c:pt idx="17">
                  <c:v>miR394</c:v>
                </c:pt>
                <c:pt idx="18">
                  <c:v>miR395</c:v>
                </c:pt>
                <c:pt idx="19">
                  <c:v>miR396</c:v>
                </c:pt>
                <c:pt idx="20">
                  <c:v>miR397</c:v>
                </c:pt>
                <c:pt idx="21">
                  <c:v>miR398</c:v>
                </c:pt>
                <c:pt idx="22">
                  <c:v>miR399</c:v>
                </c:pt>
                <c:pt idx="23">
                  <c:v>miR408</c:v>
                </c:pt>
                <c:pt idx="24">
                  <c:v>miR479</c:v>
                </c:pt>
                <c:pt idx="25">
                  <c:v>miR528</c:v>
                </c:pt>
                <c:pt idx="26">
                  <c:v>miR529</c:v>
                </c:pt>
                <c:pt idx="27">
                  <c:v>miR827</c:v>
                </c:pt>
                <c:pt idx="28">
                  <c:v>miR858</c:v>
                </c:pt>
                <c:pt idx="29">
                  <c:v>miR477</c:v>
                </c:pt>
                <c:pt idx="30">
                  <c:v>miR535</c:v>
                </c:pt>
                <c:pt idx="31">
                  <c:v>miR3979</c:v>
                </c:pt>
                <c:pt idx="32">
                  <c:v>miR5168</c:v>
                </c:pt>
              </c:strCache>
            </c:strRef>
          </c:cat>
          <c:val>
            <c:numRef>
              <c:f>Family_numbers!$K$3:$K$35</c:f>
              <c:numCache>
                <c:formatCode>General</c:formatCode>
                <c:ptCount val="33"/>
                <c:pt idx="0">
                  <c:v>0</c:v>
                </c:pt>
                <c:pt idx="1">
                  <c:v>1</c:v>
                </c:pt>
                <c:pt idx="2">
                  <c:v>14</c:v>
                </c:pt>
                <c:pt idx="3">
                  <c:v>3</c:v>
                </c:pt>
                <c:pt idx="4">
                  <c:v>10</c:v>
                </c:pt>
                <c:pt idx="5">
                  <c:v>2</c:v>
                </c:pt>
                <c:pt idx="6">
                  <c:v>12</c:v>
                </c:pt>
                <c:pt idx="7">
                  <c:v>15</c:v>
                </c:pt>
                <c:pt idx="8">
                  <c:v>16</c:v>
                </c:pt>
                <c:pt idx="9">
                  <c:v>2</c:v>
                </c:pt>
                <c:pt idx="10">
                  <c:v>3</c:v>
                </c:pt>
                <c:pt idx="11">
                  <c:v>13</c:v>
                </c:pt>
                <c:pt idx="12">
                  <c:v>5</c:v>
                </c:pt>
                <c:pt idx="13">
                  <c:v>0</c:v>
                </c:pt>
                <c:pt idx="14">
                  <c:v>3</c:v>
                </c:pt>
                <c:pt idx="15">
                  <c:v>1</c:v>
                </c:pt>
                <c:pt idx="16">
                  <c:v>2</c:v>
                </c:pt>
                <c:pt idx="17">
                  <c:v>2</c:v>
                </c:pt>
                <c:pt idx="18">
                  <c:v>13</c:v>
                </c:pt>
                <c:pt idx="19">
                  <c:v>7</c:v>
                </c:pt>
                <c:pt idx="20">
                  <c:v>2</c:v>
                </c:pt>
                <c:pt idx="21">
                  <c:v>3</c:v>
                </c:pt>
                <c:pt idx="22">
                  <c:v>4</c:v>
                </c:pt>
                <c:pt idx="23">
                  <c:v>3</c:v>
                </c:pt>
                <c:pt idx="24">
                  <c:v>5</c:v>
                </c:pt>
                <c:pt idx="25">
                  <c:v>4</c:v>
                </c:pt>
                <c:pt idx="26">
                  <c:v>4</c:v>
                </c:pt>
                <c:pt idx="27">
                  <c:v>1</c:v>
                </c:pt>
                <c:pt idx="28">
                  <c:v>0</c:v>
                </c:pt>
                <c:pt idx="29">
                  <c:v>0</c:v>
                </c:pt>
                <c:pt idx="30">
                  <c:v>2</c:v>
                </c:pt>
                <c:pt idx="31">
                  <c:v>1</c:v>
                </c:pt>
                <c:pt idx="3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E2E4-F144-9E93-81BE3AD7E847}"/>
            </c:ext>
          </c:extLst>
        </c:ser>
        <c:ser>
          <c:idx val="3"/>
          <c:order val="3"/>
          <c:tx>
            <c:strRef>
              <c:f>Family_numbers!$L$2</c:f>
              <c:strCache>
                <c:ptCount val="1"/>
                <c:pt idx="0">
                  <c:v>Dacotah</c:v>
                </c:pt>
              </c:strCache>
            </c:strRef>
          </c:tx>
          <c:spPr>
            <a:solidFill>
              <a:schemeClr val="accent4"/>
            </a:solidFill>
            <a:ln>
              <a:noFill/>
            </a:ln>
            <a:effectLst/>
          </c:spPr>
          <c:invertIfNegative val="0"/>
          <c:cat>
            <c:strRef>
              <c:f>Family_numbers!$H$3:$H$35</c:f>
              <c:strCache>
                <c:ptCount val="33"/>
                <c:pt idx="0">
                  <c:v>miR11341</c:v>
                </c:pt>
                <c:pt idx="1">
                  <c:v>miR1432</c:v>
                </c:pt>
                <c:pt idx="2">
                  <c:v>miR156</c:v>
                </c:pt>
                <c:pt idx="3">
                  <c:v>miR159</c:v>
                </c:pt>
                <c:pt idx="4">
                  <c:v>miR160</c:v>
                </c:pt>
                <c:pt idx="5">
                  <c:v>miR162</c:v>
                </c:pt>
                <c:pt idx="6">
                  <c:v>miR164</c:v>
                </c:pt>
                <c:pt idx="7">
                  <c:v>miR166</c:v>
                </c:pt>
                <c:pt idx="8">
                  <c:v>miR167</c:v>
                </c:pt>
                <c:pt idx="9">
                  <c:v>miR168</c:v>
                </c:pt>
                <c:pt idx="10">
                  <c:v>miR169</c:v>
                </c:pt>
                <c:pt idx="11">
                  <c:v>miR171</c:v>
                </c:pt>
                <c:pt idx="12">
                  <c:v>miR172</c:v>
                </c:pt>
                <c:pt idx="13">
                  <c:v>miR2118</c:v>
                </c:pt>
                <c:pt idx="14">
                  <c:v>miR319</c:v>
                </c:pt>
                <c:pt idx="15">
                  <c:v>miR390</c:v>
                </c:pt>
                <c:pt idx="16">
                  <c:v>miR393</c:v>
                </c:pt>
                <c:pt idx="17">
                  <c:v>miR394</c:v>
                </c:pt>
                <c:pt idx="18">
                  <c:v>miR395</c:v>
                </c:pt>
                <c:pt idx="19">
                  <c:v>miR396</c:v>
                </c:pt>
                <c:pt idx="20">
                  <c:v>miR397</c:v>
                </c:pt>
                <c:pt idx="21">
                  <c:v>miR398</c:v>
                </c:pt>
                <c:pt idx="22">
                  <c:v>miR399</c:v>
                </c:pt>
                <c:pt idx="23">
                  <c:v>miR408</c:v>
                </c:pt>
                <c:pt idx="24">
                  <c:v>miR479</c:v>
                </c:pt>
                <c:pt idx="25">
                  <c:v>miR528</c:v>
                </c:pt>
                <c:pt idx="26">
                  <c:v>miR529</c:v>
                </c:pt>
                <c:pt idx="27">
                  <c:v>miR827</c:v>
                </c:pt>
                <c:pt idx="28">
                  <c:v>miR858</c:v>
                </c:pt>
                <c:pt idx="29">
                  <c:v>miR477</c:v>
                </c:pt>
                <c:pt idx="30">
                  <c:v>miR535</c:v>
                </c:pt>
                <c:pt idx="31">
                  <c:v>miR3979</c:v>
                </c:pt>
                <c:pt idx="32">
                  <c:v>miR5168</c:v>
                </c:pt>
              </c:strCache>
            </c:strRef>
          </c:cat>
          <c:val>
            <c:numRef>
              <c:f>Family_numbers!$L$3:$L$35</c:f>
              <c:numCache>
                <c:formatCode>General</c:formatCode>
                <c:ptCount val="33"/>
                <c:pt idx="0">
                  <c:v>0</c:v>
                </c:pt>
                <c:pt idx="1">
                  <c:v>1</c:v>
                </c:pt>
                <c:pt idx="2">
                  <c:v>17</c:v>
                </c:pt>
                <c:pt idx="3">
                  <c:v>0</c:v>
                </c:pt>
                <c:pt idx="4">
                  <c:v>10</c:v>
                </c:pt>
                <c:pt idx="5">
                  <c:v>2</c:v>
                </c:pt>
                <c:pt idx="6">
                  <c:v>10</c:v>
                </c:pt>
                <c:pt idx="7">
                  <c:v>14</c:v>
                </c:pt>
                <c:pt idx="8">
                  <c:v>17</c:v>
                </c:pt>
                <c:pt idx="9">
                  <c:v>2</c:v>
                </c:pt>
                <c:pt idx="10">
                  <c:v>0</c:v>
                </c:pt>
                <c:pt idx="11">
                  <c:v>14</c:v>
                </c:pt>
                <c:pt idx="12">
                  <c:v>5</c:v>
                </c:pt>
                <c:pt idx="13">
                  <c:v>0</c:v>
                </c:pt>
                <c:pt idx="14">
                  <c:v>3</c:v>
                </c:pt>
                <c:pt idx="15">
                  <c:v>1</c:v>
                </c:pt>
                <c:pt idx="16">
                  <c:v>2</c:v>
                </c:pt>
                <c:pt idx="17">
                  <c:v>2</c:v>
                </c:pt>
                <c:pt idx="18">
                  <c:v>13</c:v>
                </c:pt>
                <c:pt idx="19">
                  <c:v>10</c:v>
                </c:pt>
                <c:pt idx="20">
                  <c:v>2</c:v>
                </c:pt>
                <c:pt idx="21">
                  <c:v>3</c:v>
                </c:pt>
                <c:pt idx="22">
                  <c:v>4</c:v>
                </c:pt>
                <c:pt idx="23">
                  <c:v>3</c:v>
                </c:pt>
                <c:pt idx="24">
                  <c:v>5</c:v>
                </c:pt>
                <c:pt idx="25">
                  <c:v>4</c:v>
                </c:pt>
                <c:pt idx="26">
                  <c:v>4</c:v>
                </c:pt>
                <c:pt idx="27">
                  <c:v>1</c:v>
                </c:pt>
                <c:pt idx="28">
                  <c:v>0</c:v>
                </c:pt>
                <c:pt idx="29">
                  <c:v>0</c:v>
                </c:pt>
                <c:pt idx="30">
                  <c:v>2</c:v>
                </c:pt>
                <c:pt idx="31">
                  <c:v>0</c:v>
                </c:pt>
                <c:pt idx="32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E2E4-F144-9E93-81BE3AD7E847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219"/>
        <c:overlap val="-27"/>
        <c:axId val="551921952"/>
        <c:axId val="607346944"/>
      </c:barChart>
      <c:catAx>
        <c:axId val="551921952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07346944"/>
        <c:crosses val="autoZero"/>
        <c:auto val="1"/>
        <c:lblAlgn val="ctr"/>
        <c:lblOffset val="100"/>
        <c:noMultiLvlLbl val="0"/>
      </c:catAx>
      <c:valAx>
        <c:axId val="607346944"/>
        <c:scaling>
          <c:orientation val="minMax"/>
        </c:scaling>
        <c:delete val="0"/>
        <c:axPos val="l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/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>
                    <a:solidFill>
                      <a:schemeClr val="tx1"/>
                    </a:solidFill>
                  </a:rPr>
                  <a:t>Number of miRNA</a:t>
                </a:r>
                <a:r>
                  <a:rPr lang="en-US" baseline="0">
                    <a:solidFill>
                      <a:schemeClr val="tx1"/>
                    </a:solidFill>
                  </a:rPr>
                  <a:t>-producing loci</a:t>
                </a:r>
                <a:endParaRPr lang="en-US">
                  <a:solidFill>
                    <a:schemeClr val="tx1"/>
                  </a:solidFill>
                </a:endParaRP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/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/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55192195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b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/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  <c:userShapes r:id="rId4"/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01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0.87157</cdr:x>
      <cdr:y>0.04893</cdr:y>
    </cdr:from>
    <cdr:to>
      <cdr:x>0.93962</cdr:x>
      <cdr:y>0.16745</cdr:y>
    </cdr:to>
    <cdr:sp macro="" textlink="">
      <cdr:nvSpPr>
        <cdr:cNvPr id="2" name="Text Box 13"/>
        <cdr:cNvSpPr txBox="1"/>
      </cdr:nvSpPr>
      <cdr:spPr>
        <a:xfrm xmlns:a="http://schemas.openxmlformats.org/drawingml/2006/main">
          <a:off x="3984804" y="134224"/>
          <a:ext cx="311150" cy="32512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/>
        <a:p xmlns:a="http://schemas.openxmlformats.org/drawingml/2006/main">
          <a:pPr marL="0" marR="0">
            <a:spcBef>
              <a:spcPts val="0"/>
            </a:spcBef>
            <a:spcAft>
              <a:spcPts val="0"/>
            </a:spcAft>
          </a:pPr>
          <a:r>
            <a:rPr lang="en-US" sz="12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B</a:t>
          </a:r>
        </a:p>
      </cdr:txBody>
    </cdr:sp>
  </cdr:relSizeAnchor>
  <cdr:relSizeAnchor xmlns:cdr="http://schemas.openxmlformats.org/drawingml/2006/chartDrawing">
    <cdr:from>
      <cdr:x>0.87009</cdr:x>
      <cdr:y>0.03277</cdr:y>
    </cdr:from>
    <cdr:to>
      <cdr:x>0.93814</cdr:x>
      <cdr:y>0.15129</cdr:y>
    </cdr:to>
    <cdr:sp macro="" textlink="">
      <cdr:nvSpPr>
        <cdr:cNvPr id="3" name="Text Box 13"/>
        <cdr:cNvSpPr txBox="1"/>
      </cdr:nvSpPr>
      <cdr:spPr>
        <a:xfrm xmlns:a="http://schemas.openxmlformats.org/drawingml/2006/main">
          <a:off x="5140530" y="68374"/>
          <a:ext cx="402043" cy="247305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>
            <a:spcBef>
              <a:spcPts val="0"/>
            </a:spcBef>
            <a:spcAft>
              <a:spcPts val="0"/>
            </a:spcAft>
          </a:pPr>
          <a:r>
            <a:rPr lang="en-US" sz="12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A</a:t>
          </a: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0.8649</cdr:x>
      <cdr:y>0.0235</cdr:y>
    </cdr:from>
    <cdr:to>
      <cdr:x>0.93295</cdr:x>
      <cdr:y>0.14202</cdr:y>
    </cdr:to>
    <cdr:sp macro="" textlink="">
      <cdr:nvSpPr>
        <cdr:cNvPr id="2" name="Text Box 13"/>
        <cdr:cNvSpPr txBox="1"/>
      </cdr:nvSpPr>
      <cdr:spPr>
        <a:xfrm xmlns:a="http://schemas.openxmlformats.org/drawingml/2006/main">
          <a:off x="5140618" y="49304"/>
          <a:ext cx="404462" cy="248659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>
            <a:spcBef>
              <a:spcPts val="0"/>
            </a:spcBef>
            <a:spcAft>
              <a:spcPts val="0"/>
            </a:spcAft>
          </a:pPr>
          <a:r>
            <a:rPr lang="en-US" sz="12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B</a:t>
          </a:r>
        </a:p>
      </cdr:txBody>
    </cdr:sp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0.87345</cdr:x>
      <cdr:y>0.0373</cdr:y>
    </cdr:from>
    <cdr:to>
      <cdr:x>0.9415</cdr:x>
      <cdr:y>0.12997</cdr:y>
    </cdr:to>
    <cdr:sp macro="" textlink="">
      <cdr:nvSpPr>
        <cdr:cNvPr id="2" name="Text Box 13"/>
        <cdr:cNvSpPr txBox="1"/>
      </cdr:nvSpPr>
      <cdr:spPr>
        <a:xfrm xmlns:a="http://schemas.openxmlformats.org/drawingml/2006/main">
          <a:off x="5191420" y="100104"/>
          <a:ext cx="404462" cy="248660"/>
        </a:xfrm>
        <a:prstGeom xmlns:a="http://schemas.openxmlformats.org/drawingml/2006/main" prst="rect">
          <a:avLst/>
        </a:prstGeom>
        <a:solidFill xmlns:a="http://schemas.openxmlformats.org/drawingml/2006/main">
          <a:sysClr val="window" lastClr="FFFFFF"/>
        </a:solidFill>
        <a:ln xmlns:a="http://schemas.openxmlformats.org/drawingml/2006/main" w="6350">
          <a:noFill/>
        </a:ln>
      </cdr:spPr>
      <cdr:txBody>
        <a:bodyPr xmlns:a="http://schemas.openxmlformats.org/drawingml/2006/main" rot="0" spcFirstLastPara="0" vert="horz" wrap="square" lIns="91440" tIns="45720" rIns="91440" bIns="45720" numCol="1" spcCol="0" rtlCol="0" fromWordArt="0" anchor="t" anchorCtr="0" forceAA="0" compatLnSpc="1">
          <a:prstTxWarp prst="textNoShape">
            <a:avLst/>
          </a:prstTxWarp>
          <a:noAutofit/>
        </a:bodyPr>
        <a:lstStyle xmlns:a="http://schemas.openxmlformats.org/drawingml/2006/main">
          <a:lvl1pPr marL="0" indent="0">
            <a:defRPr sz="1100">
              <a:latin typeface="+mn-lt"/>
              <a:ea typeface="+mn-ea"/>
              <a:cs typeface="+mn-cs"/>
            </a:defRPr>
          </a:lvl1pPr>
          <a:lvl2pPr marL="457200" indent="0">
            <a:defRPr sz="1100">
              <a:latin typeface="+mn-lt"/>
              <a:ea typeface="+mn-ea"/>
              <a:cs typeface="+mn-cs"/>
            </a:defRPr>
          </a:lvl2pPr>
          <a:lvl3pPr marL="914400" indent="0">
            <a:defRPr sz="1100">
              <a:latin typeface="+mn-lt"/>
              <a:ea typeface="+mn-ea"/>
              <a:cs typeface="+mn-cs"/>
            </a:defRPr>
          </a:lvl3pPr>
          <a:lvl4pPr marL="1371600" indent="0">
            <a:defRPr sz="1100">
              <a:latin typeface="+mn-lt"/>
              <a:ea typeface="+mn-ea"/>
              <a:cs typeface="+mn-cs"/>
            </a:defRPr>
          </a:lvl4pPr>
          <a:lvl5pPr marL="1828800" indent="0">
            <a:defRPr sz="1100">
              <a:latin typeface="+mn-lt"/>
              <a:ea typeface="+mn-ea"/>
              <a:cs typeface="+mn-cs"/>
            </a:defRPr>
          </a:lvl5pPr>
          <a:lvl6pPr marL="2286000" indent="0">
            <a:defRPr sz="1100">
              <a:latin typeface="+mn-lt"/>
              <a:ea typeface="+mn-ea"/>
              <a:cs typeface="+mn-cs"/>
            </a:defRPr>
          </a:lvl6pPr>
          <a:lvl7pPr marL="2743200" indent="0">
            <a:defRPr sz="1100">
              <a:latin typeface="+mn-lt"/>
              <a:ea typeface="+mn-ea"/>
              <a:cs typeface="+mn-cs"/>
            </a:defRPr>
          </a:lvl7pPr>
          <a:lvl8pPr marL="3200400" indent="0">
            <a:defRPr sz="1100">
              <a:latin typeface="+mn-lt"/>
              <a:ea typeface="+mn-ea"/>
              <a:cs typeface="+mn-cs"/>
            </a:defRPr>
          </a:lvl8pPr>
          <a:lvl9pPr marL="3657600" indent="0">
            <a:defRPr sz="1100">
              <a:latin typeface="+mn-lt"/>
              <a:ea typeface="+mn-ea"/>
              <a:cs typeface="+mn-cs"/>
            </a:defRPr>
          </a:lvl9pPr>
        </a:lstStyle>
        <a:p xmlns:a="http://schemas.openxmlformats.org/drawingml/2006/main">
          <a:pPr marL="0" marR="0">
            <a:spcBef>
              <a:spcPts val="0"/>
            </a:spcBef>
            <a:spcAft>
              <a:spcPts val="0"/>
            </a:spcAft>
          </a:pPr>
          <a:r>
            <a:rPr lang="en-US" sz="1200">
              <a:effectLst/>
              <a:latin typeface="Calibri" panose="020F0502020204030204" pitchFamily="34" charset="0"/>
              <a:ea typeface="Calibri" panose="020F0502020204030204" pitchFamily="34" charset="0"/>
              <a:cs typeface="Times New Roman" panose="02020603050405020304" pitchFamily="18" charset="0"/>
            </a:rPr>
            <a:t>C</a:t>
          </a: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Alexander Charles Johnson</dc:creator>
  <cp:keywords/>
  <dc:description/>
  <cp:lastModifiedBy>Alexander Charles Johnson</cp:lastModifiedBy>
  <cp:revision>5</cp:revision>
  <dcterms:created xsi:type="dcterms:W3CDTF">2021-12-28T21:10:00Z</dcterms:created>
  <dcterms:modified xsi:type="dcterms:W3CDTF">2022-06-10T20:49:00Z</dcterms:modified>
</cp:coreProperties>
</file>