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34ED" w14:textId="0417C1C7" w:rsidR="007F798A" w:rsidRDefault="007F798A" w:rsidP="00F26080">
      <w:pPr>
        <w:jc w:val="center"/>
        <w:rPr>
          <w:bCs w:val="0"/>
          <w:color w:val="000000" w:themeColor="text1"/>
          <w:sz w:val="28"/>
          <w:szCs w:val="28"/>
        </w:rPr>
      </w:pPr>
      <w:r>
        <w:rPr>
          <w:bCs w:val="0"/>
          <w:color w:val="000000" w:themeColor="text1"/>
          <w:sz w:val="28"/>
          <w:szCs w:val="28"/>
        </w:rPr>
        <w:t>Additional File 1</w:t>
      </w:r>
    </w:p>
    <w:p w14:paraId="199120B6" w14:textId="1E719D00" w:rsidR="00F26080" w:rsidRPr="00AB60FB" w:rsidRDefault="00F26080" w:rsidP="007F798A">
      <w:pPr>
        <w:jc w:val="center"/>
        <w:rPr>
          <w:b/>
          <w:bCs w:val="0"/>
          <w:color w:val="000000" w:themeColor="text1"/>
          <w:sz w:val="28"/>
          <w:szCs w:val="28"/>
        </w:rPr>
      </w:pPr>
      <w:r w:rsidRPr="00AB60FB">
        <w:rPr>
          <w:bCs w:val="0"/>
          <w:color w:val="000000" w:themeColor="text1"/>
          <w:sz w:val="28"/>
          <w:szCs w:val="28"/>
        </w:rPr>
        <w:t>Supplemental Information for:</w:t>
      </w:r>
    </w:p>
    <w:p w14:paraId="2406A9EB" w14:textId="6FA0A08F" w:rsidR="00F31FCE" w:rsidRPr="00AB60FB" w:rsidRDefault="00F31FCE" w:rsidP="00F26080">
      <w:pPr>
        <w:jc w:val="center"/>
        <w:rPr>
          <w:color w:val="000000" w:themeColor="text1"/>
          <w:sz w:val="28"/>
          <w:szCs w:val="28"/>
        </w:rPr>
      </w:pPr>
      <w:r w:rsidRPr="00AB60FB">
        <w:rPr>
          <w:bCs w:val="0"/>
          <w:color w:val="000000" w:themeColor="text1"/>
          <w:sz w:val="28"/>
          <w:szCs w:val="28"/>
        </w:rPr>
        <w:t>Transcriptomic stability or lability explains sensitivity to climate stressors in coralline algae</w:t>
      </w:r>
    </w:p>
    <w:p w14:paraId="2C1C4BB8" w14:textId="77777777" w:rsidR="00321C05" w:rsidRPr="00AB60FB" w:rsidRDefault="00321C05" w:rsidP="00321C05">
      <w:pPr>
        <w:spacing w:line="276" w:lineRule="auto"/>
        <w:rPr>
          <w:b/>
          <w:bCs w:val="0"/>
        </w:rPr>
      </w:pPr>
    </w:p>
    <w:p w14:paraId="1D274C24" w14:textId="6D3F98D4" w:rsidR="00321C05" w:rsidRPr="00AB60FB" w:rsidRDefault="00321C05" w:rsidP="00321C05">
      <w:pPr>
        <w:spacing w:line="276" w:lineRule="auto"/>
        <w:rPr>
          <w:b/>
          <w:bCs w:val="0"/>
          <w:sz w:val="20"/>
          <w:szCs w:val="20"/>
        </w:rPr>
      </w:pPr>
      <w:r w:rsidRPr="00AB60FB">
        <w:rPr>
          <w:bCs w:val="0"/>
          <w:sz w:val="20"/>
          <w:szCs w:val="20"/>
        </w:rPr>
        <w:t>Tessa M. Page</w:t>
      </w:r>
      <w:r w:rsidRPr="00AB60FB">
        <w:rPr>
          <w:bCs w:val="0"/>
          <w:sz w:val="20"/>
          <w:szCs w:val="20"/>
          <w:vertAlign w:val="superscript"/>
        </w:rPr>
        <w:t>*</w:t>
      </w:r>
      <w:r w:rsidRPr="00AB60FB">
        <w:rPr>
          <w:bCs w:val="0"/>
          <w:sz w:val="20"/>
          <w:szCs w:val="20"/>
        </w:rPr>
        <w:t xml:space="preserve">, Carmel McDougall, </w:t>
      </w:r>
      <w:proofErr w:type="spellStart"/>
      <w:r w:rsidRPr="00AB60FB">
        <w:rPr>
          <w:bCs w:val="0"/>
          <w:sz w:val="20"/>
          <w:szCs w:val="20"/>
        </w:rPr>
        <w:t>Ido</w:t>
      </w:r>
      <w:proofErr w:type="spellEnd"/>
      <w:r w:rsidRPr="00AB60FB">
        <w:rPr>
          <w:bCs w:val="0"/>
          <w:sz w:val="20"/>
          <w:szCs w:val="20"/>
        </w:rPr>
        <w:t xml:space="preserve"> Bar, Guillermo Diaz-Pulido</w:t>
      </w:r>
      <w:r w:rsidRPr="00AB60FB">
        <w:rPr>
          <w:bCs w:val="0"/>
          <w:sz w:val="20"/>
          <w:szCs w:val="20"/>
          <w:vertAlign w:val="superscript"/>
        </w:rPr>
        <w:t>*</w:t>
      </w:r>
    </w:p>
    <w:p w14:paraId="07A0BC5A" w14:textId="77777777" w:rsidR="00321C05" w:rsidRPr="00AB60FB" w:rsidRDefault="00321C05" w:rsidP="00321C05">
      <w:pPr>
        <w:spacing w:line="276" w:lineRule="auto"/>
        <w:rPr>
          <w:b/>
          <w:bCs w:val="0"/>
          <w:sz w:val="20"/>
          <w:szCs w:val="20"/>
        </w:rPr>
      </w:pPr>
    </w:p>
    <w:p w14:paraId="7ABE3EAD" w14:textId="1CDE636F" w:rsidR="004E22BC" w:rsidRPr="00AB60FB" w:rsidRDefault="00075C3D" w:rsidP="00DF1EE8">
      <w:pPr>
        <w:rPr>
          <w:b/>
          <w:bCs w:val="0"/>
          <w:color w:val="000000" w:themeColor="text1"/>
          <w:sz w:val="20"/>
          <w:szCs w:val="20"/>
        </w:rPr>
      </w:pPr>
      <w:r w:rsidRPr="00AB60FB">
        <w:rPr>
          <w:bCs w:val="0"/>
          <w:color w:val="000000" w:themeColor="text1"/>
          <w:sz w:val="20"/>
          <w:szCs w:val="20"/>
        </w:rPr>
        <w:t>Corresponding authors:</w:t>
      </w:r>
    </w:p>
    <w:p w14:paraId="49539759" w14:textId="4A787D3D" w:rsidR="00926D57" w:rsidRPr="00AB60FB" w:rsidRDefault="00075C3D" w:rsidP="00DF1EE8">
      <w:pPr>
        <w:rPr>
          <w:b/>
          <w:bCs w:val="0"/>
          <w:color w:val="000000" w:themeColor="text1"/>
          <w:sz w:val="20"/>
          <w:szCs w:val="20"/>
        </w:rPr>
      </w:pPr>
      <w:r w:rsidRPr="00AB60FB">
        <w:rPr>
          <w:bCs w:val="0"/>
          <w:color w:val="000000" w:themeColor="text1"/>
          <w:sz w:val="20"/>
          <w:szCs w:val="20"/>
        </w:rPr>
        <w:t>Tessa M Page: tessa.page@griffith.edu.au or Guillermo Diaz-Pulido: g.diaz-pulido@griffith.edu.au</w:t>
      </w:r>
    </w:p>
    <w:p w14:paraId="073C577C" w14:textId="30F4DBE2" w:rsidR="001078CF" w:rsidRDefault="001078CF" w:rsidP="00DF1EE8">
      <w:pPr>
        <w:rPr>
          <w:rFonts w:ascii="Arial" w:hAnsi="Arial" w:cs="Arial"/>
          <w:b/>
          <w:bCs w:val="0"/>
          <w:color w:val="000000" w:themeColor="text1"/>
          <w:sz w:val="20"/>
          <w:szCs w:val="20"/>
        </w:rPr>
      </w:pPr>
    </w:p>
    <w:p w14:paraId="28AE1B89" w14:textId="7910A078" w:rsidR="0007076F" w:rsidRDefault="00410673" w:rsidP="001C74F5">
      <w:pPr>
        <w:pStyle w:val="NoSpacing"/>
      </w:pPr>
      <w:r>
        <w:t>Additional File 1, Supplementary</w:t>
      </w:r>
      <w:r w:rsidRPr="0007076F">
        <w:t xml:space="preserve"> </w:t>
      </w:r>
      <w:r w:rsidR="0007076F" w:rsidRPr="0007076F">
        <w:t>Methods</w:t>
      </w:r>
    </w:p>
    <w:p w14:paraId="59285198" w14:textId="77777777" w:rsidR="00796304" w:rsidRDefault="00796304" w:rsidP="00DF1EE8">
      <w:pPr>
        <w:rPr>
          <w:color w:val="000000" w:themeColor="text1"/>
        </w:rPr>
      </w:pPr>
    </w:p>
    <w:p w14:paraId="630A54B3" w14:textId="6A625373" w:rsidR="00C14285" w:rsidRPr="00FC0540" w:rsidRDefault="00C14285" w:rsidP="00FC0540">
      <w:pPr>
        <w:pStyle w:val="NoSpacing"/>
        <w:spacing w:line="480" w:lineRule="auto"/>
        <w:rPr>
          <w:b/>
          <w:bCs w:val="0"/>
        </w:rPr>
      </w:pPr>
      <w:r w:rsidRPr="00FC0540">
        <w:rPr>
          <w:b/>
          <w:bCs w:val="0"/>
        </w:rPr>
        <w:t>S</w:t>
      </w:r>
      <w:r w:rsidR="006F63F9" w:rsidRPr="00FC0540">
        <w:rPr>
          <w:b/>
          <w:bCs w:val="0"/>
        </w:rPr>
        <w:t>1</w:t>
      </w:r>
      <w:r w:rsidRPr="00FC0540">
        <w:rPr>
          <w:b/>
          <w:bCs w:val="0"/>
        </w:rPr>
        <w:t xml:space="preserve"> Methods</w:t>
      </w:r>
    </w:p>
    <w:p w14:paraId="5F47A71A" w14:textId="08E28919" w:rsidR="00C92A04" w:rsidRPr="00FC0540" w:rsidRDefault="006F63F9" w:rsidP="00FC0540">
      <w:pPr>
        <w:pStyle w:val="NoSpacing"/>
        <w:spacing w:line="480" w:lineRule="auto"/>
        <w:rPr>
          <w:b/>
          <w:bCs w:val="0"/>
        </w:rPr>
      </w:pPr>
      <w:r w:rsidRPr="00FC0540">
        <w:rPr>
          <w:b/>
          <w:bCs w:val="0"/>
        </w:rPr>
        <w:t>Seawater chemistry</w:t>
      </w:r>
    </w:p>
    <w:p w14:paraId="715DC720" w14:textId="0E92BEB6" w:rsidR="006F63F9" w:rsidRPr="006F63F9" w:rsidRDefault="006F63F9" w:rsidP="00FC0540">
      <w:pPr>
        <w:spacing w:line="480" w:lineRule="auto"/>
        <w:rPr>
          <w:bCs w:val="0"/>
        </w:rPr>
      </w:pPr>
      <w:r w:rsidRPr="006F63F9">
        <w:rPr>
          <w:bCs w:val="0"/>
        </w:rPr>
        <w:t xml:space="preserve">Temperature and seawater pH (measured on total scale, </w:t>
      </w:r>
      <w:proofErr w:type="spellStart"/>
      <w:r w:rsidRPr="006F63F9">
        <w:rPr>
          <w:bCs w:val="0"/>
        </w:rPr>
        <w:t>pH</w:t>
      </w:r>
      <w:r w:rsidRPr="006F63F9">
        <w:rPr>
          <w:bCs w:val="0"/>
          <w:vertAlign w:val="subscript"/>
        </w:rPr>
        <w:t>T</w:t>
      </w:r>
      <w:proofErr w:type="spellEnd"/>
      <w:r w:rsidRPr="006F63F9">
        <w:rPr>
          <w:bCs w:val="0"/>
        </w:rPr>
        <w:t xml:space="preserve">) were measured twice per day, at 08:00 and 15:00 in each experimental tank using a pH electrode with integrated temperature probe (Mettler Toledo, </w:t>
      </w:r>
      <w:proofErr w:type="spellStart"/>
      <w:r w:rsidRPr="006F63F9">
        <w:rPr>
          <w:bCs w:val="0"/>
        </w:rPr>
        <w:t>InLab</w:t>
      </w:r>
      <w:proofErr w:type="spellEnd"/>
      <w:r w:rsidRPr="006F63F9">
        <w:rPr>
          <w:bCs w:val="0"/>
        </w:rPr>
        <w:t xml:space="preserve"> Routine Pro) attached to a pH meter (Mettler Toledo, </w:t>
      </w:r>
      <w:proofErr w:type="spellStart"/>
      <w:r w:rsidRPr="006F63F9">
        <w:rPr>
          <w:bCs w:val="0"/>
        </w:rPr>
        <w:t>SevenGo</w:t>
      </w:r>
      <w:proofErr w:type="spellEnd"/>
      <w:r w:rsidRPr="006F63F9">
        <w:rPr>
          <w:bCs w:val="0"/>
        </w:rPr>
        <w:t xml:space="preserve"> Duo SG98). The pH electrode was calibrated on the total scale using Tris-HCl buffers </w:t>
      </w:r>
      <w:r w:rsidRPr="006F63F9">
        <w:rPr>
          <w:bCs w:val="0"/>
        </w:rPr>
        <w:fldChar w:fldCharType="begin"/>
      </w:r>
      <w:r w:rsidR="00EF3BEA">
        <w:rPr>
          <w:bCs w:val="0"/>
        </w:rPr>
        <w:instrText xml:space="preserve"> ADDIN EN.CITE &lt;EndNote&gt;&lt;Cite&gt;&lt;Author&gt;Dickson&lt;/Author&gt;&lt;Year&gt;2007&lt;/Year&gt;&lt;RecNum&gt;483&lt;/RecNum&gt;&lt;DisplayText&gt;[1]&lt;/DisplayText&gt;&lt;record&gt;&lt;rec-number&gt;483&lt;/rec-number&gt;&lt;foreign-keys&gt;&lt;key app="EN" db-id="5rdwapt2bfwze6edv59v2dwm2vapa5vptpr0" timestamp="1569463570"&gt;483&lt;/key&gt;&lt;/foreign-keys&gt;&lt;ref-type name="Book"&gt;6&lt;/ref-type&gt;&lt;contributors&gt;&lt;authors&gt;&lt;author&gt;Dickson, Andrew Gilmore&lt;/author&gt;&lt;author&gt;Sabine, Christopher L&lt;/author&gt;&lt;author&gt;Christian, James Robert&lt;/author&gt;&lt;/authors&gt;&lt;/contributors&gt;&lt;titles&gt;&lt;title&gt;&lt;style face="normal" font="default" size="100%"&gt;Guide to best practices for ocean CO&lt;/style&gt;&lt;style face="subscript" font="default" size="100%"&gt;2&lt;/style&gt;&lt;style face="normal" font="default" size="100%"&gt; measurements&lt;/style&gt;&lt;/title&gt;&lt;/titles&gt;&lt;dates&gt;&lt;year&gt;2007&lt;/year&gt;&lt;/dates&gt;&lt;publisher&gt;North Pacific Marine Science Organization&lt;/publisher&gt;&lt;isbn&gt;1897176074&lt;/isbn&gt;&lt;urls&gt;&lt;/urls&gt;&lt;/record&gt;&lt;/Cite&gt;&lt;/EndNote&gt;</w:instrText>
      </w:r>
      <w:r w:rsidRPr="006F63F9">
        <w:rPr>
          <w:bCs w:val="0"/>
        </w:rPr>
        <w:fldChar w:fldCharType="separate"/>
      </w:r>
      <w:r w:rsidR="00EF3BEA">
        <w:rPr>
          <w:bCs w:val="0"/>
          <w:noProof/>
        </w:rPr>
        <w:t>[1]</w:t>
      </w:r>
      <w:r w:rsidRPr="006F63F9">
        <w:rPr>
          <w:bCs w:val="0"/>
        </w:rPr>
        <w:fldChar w:fldCharType="end"/>
      </w:r>
      <w:r w:rsidRPr="006F63F9">
        <w:rPr>
          <w:bCs w:val="0"/>
        </w:rPr>
        <w:t xml:space="preserve">. Salinity was measured once a day using a conductivity meter (Mettler Toledo, </w:t>
      </w:r>
      <w:proofErr w:type="spellStart"/>
      <w:r w:rsidRPr="006F63F9">
        <w:rPr>
          <w:bCs w:val="0"/>
        </w:rPr>
        <w:t>SevenGo</w:t>
      </w:r>
      <w:proofErr w:type="spellEnd"/>
      <w:r w:rsidRPr="006F63F9">
        <w:rPr>
          <w:bCs w:val="0"/>
        </w:rPr>
        <w:t xml:space="preserve"> Pro). Total alkalinity (</w:t>
      </w:r>
      <w:r w:rsidRPr="006F63F9">
        <w:rPr>
          <w:bCs w:val="0"/>
          <w:i/>
          <w:iCs/>
        </w:rPr>
        <w:t>A</w:t>
      </w:r>
      <w:r w:rsidRPr="006F63F9">
        <w:rPr>
          <w:bCs w:val="0"/>
          <w:vertAlign w:val="subscript"/>
        </w:rPr>
        <w:t>T</w:t>
      </w:r>
      <w:r w:rsidRPr="006F63F9">
        <w:rPr>
          <w:bCs w:val="0"/>
        </w:rPr>
        <w:t xml:space="preserve">) was measured every 3 days for the first week of the experiment, and then every 6 – 7 days following using potentiometric titration on an automatic titrator (Mettler Toledo, T50) following standard operating procedures 3b </w:t>
      </w:r>
      <w:r w:rsidRPr="006F63F9">
        <w:rPr>
          <w:bCs w:val="0"/>
        </w:rPr>
        <w:fldChar w:fldCharType="begin"/>
      </w:r>
      <w:r w:rsidR="00EF3BEA">
        <w:rPr>
          <w:bCs w:val="0"/>
        </w:rPr>
        <w:instrText xml:space="preserve"> ADDIN EN.CITE &lt;EndNote&gt;&lt;Cite&gt;&lt;Author&gt;Dickson&lt;/Author&gt;&lt;Year&gt;2007&lt;/Year&gt;&lt;RecNum&gt;483&lt;/RecNum&gt;&lt;DisplayText&gt;[1]&lt;/DisplayText&gt;&lt;record&gt;&lt;rec-number&gt;483&lt;/rec-number&gt;&lt;foreign-keys&gt;&lt;key app="EN" db-id="5rdwapt2bfwze6edv59v2dwm2vapa5vptpr0" timestamp="1569463570"&gt;483&lt;/key&gt;&lt;/foreign-keys&gt;&lt;ref-type name="Book"&gt;6&lt;/ref-type&gt;&lt;contributors&gt;&lt;authors&gt;&lt;author&gt;Dickson, Andrew Gilmore&lt;/author&gt;&lt;author&gt;Sabine, Christopher L&lt;/author&gt;&lt;author&gt;Christian, James Robert&lt;/author&gt;&lt;/authors&gt;&lt;/contributors&gt;&lt;titles&gt;&lt;title&gt;&lt;style face="normal" font="default" size="100%"&gt;Guide to best practices for ocean CO&lt;/style&gt;&lt;style face="subscript" font="default" size="100%"&gt;2&lt;/style&gt;&lt;style face="normal" font="default" size="100%"&gt; measurements&lt;/style&gt;&lt;/title&gt;&lt;/titles&gt;&lt;dates&gt;&lt;year&gt;2007&lt;/year&gt;&lt;/dates&gt;&lt;publisher&gt;North Pacific Marine Science Organization&lt;/publisher&gt;&lt;isbn&gt;1897176074&lt;/isbn&gt;&lt;urls&gt;&lt;/urls&gt;&lt;/record&gt;&lt;/Cite&gt;&lt;/EndNote&gt;</w:instrText>
      </w:r>
      <w:r w:rsidRPr="006F63F9">
        <w:rPr>
          <w:bCs w:val="0"/>
        </w:rPr>
        <w:fldChar w:fldCharType="separate"/>
      </w:r>
      <w:r w:rsidR="00EF3BEA">
        <w:rPr>
          <w:bCs w:val="0"/>
          <w:noProof/>
        </w:rPr>
        <w:t>[1]</w:t>
      </w:r>
      <w:r w:rsidRPr="006F63F9">
        <w:rPr>
          <w:bCs w:val="0"/>
        </w:rPr>
        <w:fldChar w:fldCharType="end"/>
      </w:r>
      <w:r w:rsidRPr="006F63F9">
        <w:rPr>
          <w:bCs w:val="0"/>
        </w:rPr>
        <w:t xml:space="preserve">. </w:t>
      </w:r>
      <w:proofErr w:type="spellStart"/>
      <w:r w:rsidRPr="006F63F9">
        <w:rPr>
          <w:bCs w:val="0"/>
        </w:rPr>
        <w:t>pH</w:t>
      </w:r>
      <w:r w:rsidRPr="006F63F9">
        <w:rPr>
          <w:bCs w:val="0"/>
          <w:vertAlign w:val="subscript"/>
        </w:rPr>
        <w:t>T</w:t>
      </w:r>
      <w:proofErr w:type="spellEnd"/>
      <w:r w:rsidRPr="006F63F9">
        <w:rPr>
          <w:bCs w:val="0"/>
        </w:rPr>
        <w:t xml:space="preserve">, </w:t>
      </w:r>
      <w:r w:rsidRPr="006F63F9">
        <w:rPr>
          <w:bCs w:val="0"/>
          <w:i/>
          <w:iCs/>
        </w:rPr>
        <w:t>A</w:t>
      </w:r>
      <w:r w:rsidRPr="006F63F9">
        <w:rPr>
          <w:bCs w:val="0"/>
          <w:vertAlign w:val="subscript"/>
        </w:rPr>
        <w:t>T</w:t>
      </w:r>
      <w:r w:rsidRPr="006F63F9">
        <w:rPr>
          <w:bCs w:val="0"/>
        </w:rPr>
        <w:t xml:space="preserve">, temperature, and salinity were used to calculate the remaining carbonate chemistry variables using the </w:t>
      </w:r>
      <w:proofErr w:type="spellStart"/>
      <w:r w:rsidRPr="006F63F9">
        <w:rPr>
          <w:bCs w:val="0"/>
        </w:rPr>
        <w:t>seacarb</w:t>
      </w:r>
      <w:proofErr w:type="spellEnd"/>
      <w:r w:rsidRPr="006F63F9">
        <w:rPr>
          <w:bCs w:val="0"/>
        </w:rPr>
        <w:t xml:space="preserve"> package version 3.2.12 </w:t>
      </w:r>
      <w:r w:rsidRPr="006F63F9">
        <w:rPr>
          <w:bCs w:val="0"/>
        </w:rPr>
        <w:fldChar w:fldCharType="begin"/>
      </w:r>
      <w:r w:rsidR="00EF3BEA">
        <w:rPr>
          <w:bCs w:val="0"/>
        </w:rPr>
        <w:instrText xml:space="preserve"> ADDIN EN.CITE &lt;EndNote&gt;&lt;Cite&gt;&lt;Author&gt;Gattuso&lt;/Author&gt;&lt;Year&gt;2019&lt;/Year&gt;&lt;RecNum&gt;503&lt;/RecNum&gt;&lt;DisplayText&gt;[2]&lt;/DisplayText&gt;&lt;record&gt;&lt;rec-number&gt;503&lt;/rec-number&gt;&lt;foreign-keys&gt;&lt;key app="EN" db-id="5rdwapt2bfwze6edv59v2dwm2vapa5vptpr0" timestamp="1569463570"&gt;503&lt;/key&gt;&lt;/foreign-keys&gt;&lt;ref-type name="Computer Program"&gt;9&lt;/ref-type&gt;&lt;contributors&gt;&lt;authors&gt;&lt;author&gt;Gattuso, Jean-Pierre&lt;/author&gt;&lt;author&gt;Epitalon, Jean-Marie&lt;/author&gt;&lt;author&gt;Lavigne, Héloise&lt;/author&gt;&lt;author&gt;Orr, James C&lt;/author&gt;&lt;author&gt;Gentili, Bernard&lt;/author&gt;&lt;author&gt;Hagens, Mathilde&lt;/author&gt;&lt;author&gt;Hofmann, Andreas&lt;/author&gt;&lt;author&gt;Mueller, Jens-Daniel&lt;/author&gt;&lt;author&gt;Proye, Aurélien&lt;/author&gt;&lt;author&gt;Rae, James&lt;/author&gt;&lt;author&gt;Soetaert, Karline&lt;/author&gt;&lt;/authors&gt;&lt;/contributors&gt;&lt;titles&gt;&lt;title&gt;seacarb: seawater carbonate chemistry with R&lt;/title&gt;&lt;/titles&gt;&lt;edition&gt;3.2.12&lt;/edition&gt;&lt;dates&gt;&lt;year&gt;2019&lt;/year&gt;&lt;/dates&gt;&lt;urls&gt;&lt;/urls&gt;&lt;/record&gt;&lt;/Cite&gt;&lt;/EndNote&gt;</w:instrText>
      </w:r>
      <w:r w:rsidRPr="006F63F9">
        <w:rPr>
          <w:bCs w:val="0"/>
        </w:rPr>
        <w:fldChar w:fldCharType="separate"/>
      </w:r>
      <w:r w:rsidR="00EF3BEA">
        <w:rPr>
          <w:bCs w:val="0"/>
          <w:noProof/>
        </w:rPr>
        <w:t>[2]</w:t>
      </w:r>
      <w:r w:rsidRPr="006F63F9">
        <w:rPr>
          <w:bCs w:val="0"/>
        </w:rPr>
        <w:fldChar w:fldCharType="end"/>
      </w:r>
      <w:r w:rsidRPr="006F63F9">
        <w:rPr>
          <w:bCs w:val="0"/>
        </w:rPr>
        <w:t xml:space="preserve"> in the statistical software R version 3.5.1 (Table S5). High-Mg calcite was calculated for a 16.4% MgCO</w:t>
      </w:r>
      <w:r w:rsidRPr="006F63F9">
        <w:rPr>
          <w:bCs w:val="0"/>
          <w:vertAlign w:val="subscript"/>
        </w:rPr>
        <w:t>3</w:t>
      </w:r>
      <w:r w:rsidRPr="006F63F9">
        <w:rPr>
          <w:bCs w:val="0"/>
        </w:rPr>
        <w:t xml:space="preserve">, following method described in </w:t>
      </w:r>
      <w:r w:rsidRPr="006F63F9">
        <w:rPr>
          <w:bCs w:val="0"/>
        </w:rPr>
        <w:fldChar w:fldCharType="begin"/>
      </w:r>
      <w:r w:rsidR="00E511F0">
        <w:rPr>
          <w:bCs w:val="0"/>
        </w:rPr>
        <w:instrText xml:space="preserve"> ADDIN EN.CITE &lt;EndNote&gt;&lt;Cite AuthorYear="1"&gt;&lt;Author&gt;Diaz-Pulido&lt;/Author&gt;&lt;Year&gt;2012&lt;/Year&gt;&lt;RecNum&gt;426&lt;/RecNum&gt;&lt;DisplayText&gt;G Diaz-Pulido, KRN Anthony, DI Kline, S Dove and O Hoegh-Guldberg [3]&lt;/DisplayText&gt;&lt;record&gt;&lt;rec-number&gt;426&lt;/rec-number&gt;&lt;foreign-keys&gt;&lt;key app="EN" db-id="5rdwapt2bfwze6edv59v2dwm2vapa5vptpr0" timestamp="1569463570"&gt;426&lt;/key&gt;&lt;/foreign-keys&gt;&lt;ref-type name="Journal Article"&gt;17&lt;/ref-type&gt;&lt;contributors&gt;&lt;authors&gt;&lt;author&gt;Diaz-Pulido, G.&lt;/author&gt;&lt;author&gt;Anthony, K. R. N.&lt;/author&gt;&lt;author&gt;Kline, D. I.&lt;/author&gt;&lt;author&gt;Dove, S.&lt;/author&gt;&lt;author&gt;Hoegh-Guldberg, O.&lt;/author&gt;&lt;/authors&gt;&lt;/contributors&gt;&lt;titles&gt;&lt;title&gt;Interactions between ocean acidification and warming on the mortality and dissolution of coralline algae&lt;/title&gt;&lt;secondary-title&gt;Journal of Phycology&lt;/secondary-title&gt;&lt;alt-title&gt;J Phycol&lt;/alt-title&gt;&lt;/titles&gt;&lt;alt-periodical&gt;&lt;full-title&gt;J Phycol&lt;/full-title&gt;&lt;/alt-periodical&gt;&lt;pages&gt;32-39&lt;/pages&gt;&lt;volume&gt;1&lt;/volume&gt;&lt;number&gt;48&lt;/number&gt;&lt;dates&gt;&lt;year&gt;2012&lt;/year&gt;&lt;/dates&gt;&lt;urls&gt;&lt;/urls&gt;&lt;electronic-resource-num&gt;10.1111/j.1529-8817.2011.01084.x&lt;/electronic-resource-num&gt;&lt;/record&gt;&lt;/Cite&gt;&lt;/EndNote&gt;</w:instrText>
      </w:r>
      <w:r w:rsidRPr="006F63F9">
        <w:rPr>
          <w:bCs w:val="0"/>
        </w:rPr>
        <w:fldChar w:fldCharType="separate"/>
      </w:r>
      <w:r w:rsidR="00B27AEA">
        <w:rPr>
          <w:bCs w:val="0"/>
          <w:noProof/>
        </w:rPr>
        <w:t>G Diaz-Pulido, KRN Anthony, DI Kline, S Dove and O Hoegh-Guldberg [3]</w:t>
      </w:r>
      <w:r w:rsidRPr="006F63F9">
        <w:rPr>
          <w:bCs w:val="0"/>
        </w:rPr>
        <w:fldChar w:fldCharType="end"/>
      </w:r>
      <w:r w:rsidRPr="006F63F9">
        <w:rPr>
          <w:bCs w:val="0"/>
        </w:rPr>
        <w:t>.</w:t>
      </w:r>
    </w:p>
    <w:p w14:paraId="2EFF6C88" w14:textId="3B18BFBC" w:rsidR="006F63F9" w:rsidRDefault="006F63F9" w:rsidP="00FC0540">
      <w:pPr>
        <w:spacing w:line="480" w:lineRule="auto"/>
        <w:rPr>
          <w:color w:val="000000" w:themeColor="text1"/>
        </w:rPr>
      </w:pPr>
    </w:p>
    <w:p w14:paraId="3F80628B" w14:textId="77777777" w:rsidR="00AC796F" w:rsidRDefault="00AC796F" w:rsidP="00FC0540">
      <w:pPr>
        <w:spacing w:line="480" w:lineRule="auto"/>
        <w:rPr>
          <w:color w:val="000000" w:themeColor="text1"/>
        </w:rPr>
      </w:pPr>
    </w:p>
    <w:p w14:paraId="25B0DFA9" w14:textId="199ECB5B" w:rsidR="006F63F9" w:rsidRPr="00FC0540" w:rsidRDefault="006F63F9" w:rsidP="00FC0540">
      <w:pPr>
        <w:pStyle w:val="NoSpacing"/>
        <w:spacing w:line="480" w:lineRule="auto"/>
        <w:rPr>
          <w:b/>
          <w:bCs w:val="0"/>
        </w:rPr>
      </w:pPr>
      <w:r w:rsidRPr="00FC0540">
        <w:rPr>
          <w:b/>
          <w:bCs w:val="0"/>
        </w:rPr>
        <w:lastRenderedPageBreak/>
        <w:t>S2 Methods</w:t>
      </w:r>
    </w:p>
    <w:p w14:paraId="6A7D01CE" w14:textId="66B36864" w:rsidR="00C92A04" w:rsidRPr="00FC0540" w:rsidRDefault="00B60DD1" w:rsidP="00FC0540">
      <w:pPr>
        <w:pStyle w:val="NoSpacing"/>
        <w:spacing w:line="480" w:lineRule="auto"/>
        <w:rPr>
          <w:b/>
          <w:bCs w:val="0"/>
        </w:rPr>
      </w:pPr>
      <w:r w:rsidRPr="00FC0540">
        <w:rPr>
          <w:b/>
          <w:bCs w:val="0"/>
        </w:rPr>
        <w:t>Sequencing preparation, s</w:t>
      </w:r>
      <w:r w:rsidR="0007076F" w:rsidRPr="00FC0540">
        <w:rPr>
          <w:b/>
          <w:bCs w:val="0"/>
        </w:rPr>
        <w:t>equencing</w:t>
      </w:r>
      <w:r w:rsidRPr="00FC0540">
        <w:rPr>
          <w:b/>
          <w:bCs w:val="0"/>
        </w:rPr>
        <w:t>,</w:t>
      </w:r>
      <w:r w:rsidR="0007076F" w:rsidRPr="00FC0540">
        <w:rPr>
          <w:b/>
          <w:bCs w:val="0"/>
        </w:rPr>
        <w:t xml:space="preserve"> and differential expression analyses</w:t>
      </w:r>
    </w:p>
    <w:p w14:paraId="46BF9385" w14:textId="23DF6FAD" w:rsidR="00B60DD1" w:rsidRPr="009661DB" w:rsidRDefault="00B60DD1" w:rsidP="00FC0540">
      <w:pPr>
        <w:spacing w:line="480" w:lineRule="auto"/>
      </w:pPr>
      <w:r>
        <w:rPr>
          <w:bCs w:val="0"/>
          <w:color w:val="000000" w:themeColor="text1"/>
          <w:lang w:val="en-GB"/>
        </w:rPr>
        <w:t xml:space="preserve">The top, pigmented layer </w:t>
      </w:r>
      <w:r w:rsidRPr="004D278D">
        <w:rPr>
          <w:bCs w:val="0"/>
          <w:color w:val="000000" w:themeColor="text1"/>
          <w:lang w:val="en-GB"/>
        </w:rPr>
        <w:t xml:space="preserve">of the CCA fragments </w:t>
      </w:r>
      <w:r>
        <w:rPr>
          <w:bCs w:val="0"/>
          <w:color w:val="000000" w:themeColor="text1"/>
          <w:lang w:val="en-GB"/>
        </w:rPr>
        <w:t>was</w:t>
      </w:r>
      <w:r w:rsidRPr="004D278D">
        <w:rPr>
          <w:bCs w:val="0"/>
          <w:color w:val="000000" w:themeColor="text1"/>
          <w:lang w:val="en-GB"/>
        </w:rPr>
        <w:t xml:space="preserve"> collected under a microscope using sterile razors and placed directly into </w:t>
      </w:r>
      <w:proofErr w:type="spellStart"/>
      <w:r w:rsidRPr="004D278D">
        <w:rPr>
          <w:bCs w:val="0"/>
          <w:color w:val="000000" w:themeColor="text1"/>
          <w:lang w:val="en-GB"/>
        </w:rPr>
        <w:t>RNAlater</w:t>
      </w:r>
      <w:proofErr w:type="spellEnd"/>
      <w:r w:rsidRPr="004D278D">
        <w:rPr>
          <w:bCs w:val="0"/>
          <w:color w:val="000000" w:themeColor="text1"/>
          <w:lang w:val="en-GB"/>
        </w:rPr>
        <w:t>®. Care was taken to avoid collection of any endolithic organisms when obtaining samples. Samples were left at 4 ºC for 24 hrs and then transferred to -20 ºC until processed.</w:t>
      </w:r>
      <w:r w:rsidR="0039089F" w:rsidRPr="0039089F">
        <w:rPr>
          <w:bCs w:val="0"/>
          <w:color w:val="000000" w:themeColor="text1"/>
          <w:lang w:val="en-GB"/>
        </w:rPr>
        <w:t xml:space="preserve"> </w:t>
      </w:r>
      <w:r w:rsidR="0039089F" w:rsidRPr="00F91442">
        <w:rPr>
          <w:bCs w:val="0"/>
          <w:color w:val="000000" w:themeColor="text1"/>
          <w:lang w:val="en-GB"/>
        </w:rPr>
        <w:t xml:space="preserve">RNA extraction procedure followed the method detailed in </w:t>
      </w:r>
      <w:r w:rsidR="0039089F" w:rsidRPr="00F91442">
        <w:rPr>
          <w:b/>
          <w:bCs w:val="0"/>
          <w:color w:val="000000" w:themeColor="text1"/>
          <w:lang w:val="en-GB"/>
        </w:rPr>
        <w:fldChar w:fldCharType="begin">
          <w:fldData xml:space="preserve">PEVuZE5vdGU+PENpdGUgQXV0aG9yWWVhcj0iMSI+PEF1dGhvcj5QYWdlPC9BdXRob3I+PFllYXI+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</w:fldData>
        </w:fldChar>
      </w:r>
      <w:r w:rsidR="00B27AEA">
        <w:rPr>
          <w:b/>
          <w:bCs w:val="0"/>
          <w:color w:val="000000" w:themeColor="text1"/>
          <w:lang w:val="en-GB"/>
        </w:rPr>
        <w:instrText xml:space="preserve"> ADDIN EN.CITE </w:instrText>
      </w:r>
      <w:r w:rsidR="00B27AEA">
        <w:rPr>
          <w:b/>
          <w:bCs w:val="0"/>
          <w:color w:val="000000" w:themeColor="text1"/>
          <w:lang w:val="en-GB"/>
        </w:rPr>
        <w:fldChar w:fldCharType="begin">
          <w:fldData xml:space="preserve">PEVuZE5vdGU+PENpdGUgQXV0aG9yWWVhcj0iMSI+PEF1dGhvcj5QYWdlPC9BdXRob3I+PFllYXI+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</w:fldData>
        </w:fldChar>
      </w:r>
      <w:r w:rsidR="00B27AEA">
        <w:rPr>
          <w:b/>
          <w:bCs w:val="0"/>
          <w:color w:val="000000" w:themeColor="text1"/>
          <w:lang w:val="en-GB"/>
        </w:rPr>
        <w:instrText xml:space="preserve"> ADDIN EN.CITE.DATA </w:instrText>
      </w:r>
      <w:r w:rsidR="00B27AEA">
        <w:rPr>
          <w:b/>
          <w:bCs w:val="0"/>
          <w:color w:val="000000" w:themeColor="text1"/>
          <w:lang w:val="en-GB"/>
        </w:rPr>
      </w:r>
      <w:r w:rsidR="00B27AEA">
        <w:rPr>
          <w:b/>
          <w:bCs w:val="0"/>
          <w:color w:val="000000" w:themeColor="text1"/>
          <w:lang w:val="en-GB"/>
        </w:rPr>
        <w:fldChar w:fldCharType="end"/>
      </w:r>
      <w:r w:rsidR="0039089F" w:rsidRPr="00F91442">
        <w:rPr>
          <w:b/>
          <w:bCs w:val="0"/>
          <w:color w:val="000000" w:themeColor="text1"/>
          <w:lang w:val="en-GB"/>
        </w:rPr>
      </w:r>
      <w:r w:rsidR="0039089F" w:rsidRPr="00F91442">
        <w:rPr>
          <w:b/>
          <w:bCs w:val="0"/>
          <w:color w:val="000000" w:themeColor="text1"/>
          <w:lang w:val="en-GB"/>
        </w:rPr>
        <w:fldChar w:fldCharType="separate"/>
      </w:r>
      <w:r w:rsidR="00B27AEA" w:rsidRPr="00B27AEA">
        <w:rPr>
          <w:bCs w:val="0"/>
          <w:noProof/>
          <w:color w:val="000000" w:themeColor="text1"/>
          <w:lang w:val="en-GB"/>
        </w:rPr>
        <w:t>TM Page, C McDougall and G Diaz-Pulido [4]</w:t>
      </w:r>
      <w:r w:rsidR="0039089F" w:rsidRPr="00F91442">
        <w:rPr>
          <w:b/>
          <w:bCs w:val="0"/>
          <w:color w:val="000000" w:themeColor="text1"/>
          <w:lang w:val="en-GB"/>
        </w:rPr>
        <w:fldChar w:fldCharType="end"/>
      </w:r>
      <w:r w:rsidR="0039089F" w:rsidRPr="00F91442">
        <w:rPr>
          <w:bCs w:val="0"/>
          <w:color w:val="000000" w:themeColor="text1"/>
          <w:lang w:val="en-GB"/>
        </w:rPr>
        <w:t>.</w:t>
      </w:r>
      <w:r w:rsidRPr="009661DB">
        <w:rPr>
          <w:bCs w:val="0"/>
          <w:color w:val="000000" w:themeColor="text1"/>
          <w:lang w:val="en-GB"/>
        </w:rPr>
        <w:t xml:space="preserve"> RNA quantity was checked spectrophotometrically using an Invitrogen Qubit® Broad Range RNA </w:t>
      </w:r>
      <w:proofErr w:type="gramStart"/>
      <w:r w:rsidRPr="009661DB">
        <w:rPr>
          <w:bCs w:val="0"/>
          <w:color w:val="000000" w:themeColor="text1"/>
          <w:lang w:val="en-GB"/>
        </w:rPr>
        <w:t>kit, and</w:t>
      </w:r>
      <w:proofErr w:type="gramEnd"/>
      <w:r w:rsidRPr="009661DB">
        <w:rPr>
          <w:bCs w:val="0"/>
          <w:color w:val="000000" w:themeColor="text1"/>
          <w:lang w:val="en-GB"/>
        </w:rPr>
        <w:t xml:space="preserve"> ranged from 10.4 to 340 ng /µl. One RNA sample of </w:t>
      </w:r>
      <w:r w:rsidRPr="009661DB">
        <w:rPr>
          <w:bCs w:val="0"/>
          <w:i/>
          <w:iCs/>
          <w:color w:val="000000" w:themeColor="text1"/>
          <w:lang w:val="en-GB"/>
        </w:rPr>
        <w:t>S. durum</w:t>
      </w:r>
      <w:r w:rsidRPr="009661DB">
        <w:rPr>
          <w:bCs w:val="0"/>
          <w:color w:val="000000" w:themeColor="text1"/>
          <w:lang w:val="en-GB"/>
        </w:rPr>
        <w:t xml:space="preserve"> yielded an undetectable amount of RNA and therefore was not used for further analyses. A random selection of samples, 2 – 3 samples from each treatment and species, were tested using the 4200 </w:t>
      </w:r>
      <w:proofErr w:type="spellStart"/>
      <w:r w:rsidRPr="009661DB">
        <w:rPr>
          <w:bCs w:val="0"/>
          <w:color w:val="000000" w:themeColor="text1"/>
          <w:lang w:val="en-GB"/>
        </w:rPr>
        <w:t>TapeStation</w:t>
      </w:r>
      <w:proofErr w:type="spellEnd"/>
      <w:r w:rsidRPr="009661DB">
        <w:rPr>
          <w:bCs w:val="0"/>
          <w:color w:val="000000" w:themeColor="text1"/>
          <w:lang w:val="en-GB"/>
        </w:rPr>
        <w:t xml:space="preserve"> System to ensure RNA quality and absence of degradation and contamination.</w:t>
      </w:r>
      <w:r w:rsidR="0039089F">
        <w:rPr>
          <w:bCs w:val="0"/>
          <w:color w:val="000000" w:themeColor="text1"/>
          <w:lang w:val="en-GB"/>
        </w:rPr>
        <w:t xml:space="preserve"> RNA was then used for </w:t>
      </w:r>
      <w:r w:rsidR="009661DB">
        <w:rPr>
          <w:bCs w:val="0"/>
          <w:color w:val="000000" w:themeColor="text1"/>
          <w:lang w:val="en-GB"/>
        </w:rPr>
        <w:t>preparation</w:t>
      </w:r>
      <w:r w:rsidR="0039089F">
        <w:rPr>
          <w:bCs w:val="0"/>
          <w:color w:val="000000" w:themeColor="text1"/>
          <w:lang w:val="en-GB"/>
        </w:rPr>
        <w:t xml:space="preserve"> of cDNA libraries for sequencing and analyses.</w:t>
      </w:r>
    </w:p>
    <w:p w14:paraId="14554751" w14:textId="3E935F4D" w:rsidR="0007076F" w:rsidRPr="0007076F" w:rsidRDefault="0007076F" w:rsidP="00FC0540">
      <w:pPr>
        <w:spacing w:line="480" w:lineRule="auto"/>
        <w:ind w:firstLine="720"/>
        <w:rPr>
          <w:rFonts w:eastAsia="Times New Roman"/>
          <w:b/>
          <w:bCs w:val="0"/>
          <w:lang w:eastAsia="en-GB"/>
        </w:rPr>
      </w:pPr>
      <w:r w:rsidRPr="0007076F">
        <w:rPr>
          <w:bCs w:val="0"/>
          <w:color w:val="000000" w:themeColor="text1"/>
        </w:rPr>
        <w:t xml:space="preserve">cDNA synthesis, library preparation, and sequencing followed the single-cell sequencing (CEL-Seq2) protocol detailed in </w:t>
      </w:r>
      <w:proofErr w:type="spellStart"/>
      <w:r w:rsidRPr="0007076F">
        <w:rPr>
          <w:bCs w:val="0"/>
          <w:color w:val="000000" w:themeColor="text1"/>
        </w:rPr>
        <w:t>Hashimonshony</w:t>
      </w:r>
      <w:proofErr w:type="spellEnd"/>
      <w:r w:rsidRPr="0007076F">
        <w:rPr>
          <w:bCs w:val="0"/>
          <w:color w:val="000000" w:themeColor="text1"/>
        </w:rPr>
        <w:t xml:space="preserve"> et al. 2016 </w:t>
      </w:r>
      <w:r w:rsidRPr="0007076F">
        <w:rPr>
          <w:b/>
          <w:bCs w:val="0"/>
          <w:color w:val="000000" w:themeColor="text1"/>
        </w:rPr>
        <w:fldChar w:fldCharType="begin"/>
      </w:r>
      <w:r w:rsidR="0039089F">
        <w:rPr>
          <w:bCs w:val="0"/>
          <w:color w:val="000000" w:themeColor="text1"/>
        </w:rPr>
        <w:instrText xml:space="preserve"> ADDIN EN.CITE &lt;EndNote&gt;&lt;Cite&gt;&lt;Author&gt;Hashimshony&lt;/Author&gt;&lt;Year&gt;2016&lt;/Year&gt;&lt;RecNum&gt;524&lt;/RecNum&gt;&lt;DisplayText&gt;[5]&lt;/DisplayText&gt;&lt;record&gt;&lt;rec-number&gt;524&lt;/rec-number&gt;&lt;foreign-keys&gt;&lt;key app="EN" db-id="5rdwapt2bfwze6edv59v2dwm2vapa5vptpr0" timestamp="1569463570"&gt;524&lt;/key&gt;&lt;/foreign-keys&gt;&lt;ref-type name="Journal Article"&gt;17&lt;/ref-type&gt;&lt;contributors&gt;&lt;authors&gt;&lt;author&gt;Hashimshony, Tamar&lt;/author&gt;&lt;author&gt;Senderovich, Naftalie&lt;/author&gt;&lt;author&gt;Avital, Gal&lt;/author&gt;&lt;author&gt;Klochendler, Agnes&lt;/author&gt;&lt;author&gt;de Leeuw, Yaron&lt;/author&gt;&lt;author&gt;Anavy, Leon&lt;/author&gt;&lt;author&gt;Gennert, Dave&lt;/author&gt;&lt;author&gt;Li, Shuqiang&lt;/author&gt;&lt;author&gt;Livak, Kenneth J.&lt;/author&gt;&lt;author&gt;Rozenblatt-Rosen, Orit&lt;/author&gt;&lt;author&gt;Dor, Yuval&lt;/author&gt;&lt;author&gt;Regev, Aviv&lt;/author&gt;&lt;author&gt;Yanai, Itai&lt;/author&gt;&lt;/authors&gt;&lt;/contributors&gt;&lt;titles&gt;&lt;title&gt;CEL-Seq2: Sensitive highly-multiplexed single-cell RNA-Seq&lt;/title&gt;&lt;secondary-title&gt;Genome Biology&lt;/secondary-title&gt;&lt;/titles&gt;&lt;pages&gt;77&lt;/pages&gt;&lt;volume&gt;17&lt;/volume&gt;&lt;number&gt;1&lt;/number&gt;&lt;dates&gt;&lt;year&gt;2016&lt;/year&gt;&lt;pub-dates&gt;&lt;date&gt;2016/04/28&lt;/date&gt;&lt;/pub-dates&gt;&lt;/dates&gt;&lt;isbn&gt;1474-760X&lt;/isbn&gt;&lt;urls&gt;&lt;related-urls&gt;&lt;url&gt;https://doi.org/10.1186/s13059-016-0938-8&lt;/url&gt;&lt;/related-urls&gt;&lt;/urls&gt;&lt;electronic-resource-num&gt;10.1186/s13059-016-0938-8&lt;/electronic-resource-num&gt;&lt;/record&gt;&lt;/Cite&gt;&lt;/EndNote&gt;</w:instrText>
      </w:r>
      <w:r w:rsidRPr="0007076F">
        <w:rPr>
          <w:b/>
          <w:bCs w:val="0"/>
          <w:color w:val="000000" w:themeColor="text1"/>
        </w:rPr>
        <w:fldChar w:fldCharType="separate"/>
      </w:r>
      <w:r w:rsidR="0039089F">
        <w:rPr>
          <w:bCs w:val="0"/>
          <w:noProof/>
          <w:color w:val="000000" w:themeColor="text1"/>
        </w:rPr>
        <w:t>[5]</w:t>
      </w:r>
      <w:r w:rsidRPr="0007076F">
        <w:rPr>
          <w:b/>
          <w:bCs w:val="0"/>
          <w:color w:val="000000" w:themeColor="text1"/>
        </w:rPr>
        <w:fldChar w:fldCharType="end"/>
      </w:r>
      <w:r w:rsidRPr="0007076F">
        <w:rPr>
          <w:bCs w:val="0"/>
          <w:color w:val="000000" w:themeColor="text1"/>
        </w:rPr>
        <w:t xml:space="preserve"> and McDougall et al. 2021 </w:t>
      </w:r>
      <w:r w:rsidRPr="0007076F">
        <w:rPr>
          <w:b/>
          <w:bCs w:val="0"/>
          <w:color w:val="000000" w:themeColor="text1"/>
        </w:rPr>
        <w:fldChar w:fldCharType="begin"/>
      </w:r>
      <w:r w:rsidR="0039089F">
        <w:rPr>
          <w:bCs w:val="0"/>
          <w:color w:val="000000" w:themeColor="text1"/>
        </w:rPr>
        <w:instrText xml:space="preserve"> ADDIN EN.CITE &lt;EndNote&gt;&lt;Cite&gt;&lt;Author&gt;McDougall&lt;/Author&gt;&lt;Year&gt;2021&lt;/Year&gt;&lt;RecNum&gt;807&lt;/RecNum&gt;&lt;DisplayText&gt;[6]&lt;/DisplayText&gt;&lt;record&gt;&lt;rec-number&gt;807&lt;/rec-number&gt;&lt;foreign-keys&gt;&lt;key app="EN" db-id="5rdwapt2bfwze6edv59v2dwm2vapa5vptpr0" timestamp="1612163669"&gt;807&lt;/key&gt;&lt;/foreign-keys&gt;&lt;ref-type name="Journal Article"&gt;17&lt;/ref-type&gt;&lt;contributors&gt;&lt;authors&gt;&lt;author&gt;McDougall, Carmel&lt;/author&gt;&lt;author&gt;Aguilera, Felipe&lt;/author&gt;&lt;author&gt;Shokoohmand, Ali&lt;/author&gt;&lt;author&gt;Moase, Patrick&lt;/author&gt;&lt;author&gt;Degnan, Bernard M.&lt;/author&gt;&lt;/authors&gt;&lt;/contributors&gt;&lt;titles&gt;&lt;title&gt;&lt;style face="normal" font="default" size="100%"&gt;Pearl sac gene expression profiles associated with pearl attributes in the silver-lip pearl oyster, &lt;/style&gt;&lt;style face="italic" font="default" size="100%"&gt;Pinctada maxima&lt;/style&gt;&lt;/title&gt;&lt;secondary-title&gt;Frontiers in Genetics&lt;/secondary-title&gt;&lt;alt-title&gt;Front Genet&lt;/alt-title&gt;&lt;/titles&gt;&lt;pages&gt;597459-597459&lt;/pages&gt;&lt;volume&gt;11&lt;/volume&gt;&lt;keywords&gt;&lt;keyword&gt;CEL-Seq&lt;/keyword&gt;&lt;keyword&gt;Pinctada maxima&lt;/keyword&gt;&lt;keyword&gt;biomineralization&lt;/keyword&gt;&lt;keyword&gt;nacre&lt;/keyword&gt;&lt;keyword&gt;pearl&lt;/keyword&gt;&lt;keyword&gt;pearl quality&lt;/keyword&gt;&lt;/keywords&gt;&lt;dates&gt;&lt;year&gt;2021&lt;/year&gt;&lt;/dates&gt;&lt;publisher&gt;Frontiers Media S.A.&lt;/publisher&gt;&lt;isbn&gt;1664-8021&lt;/isbn&gt;&lt;accession-num&gt;33488672&lt;/accession-num&gt;&lt;urls&gt;&lt;related-urls&gt;&lt;url&gt;https://pubmed.ncbi.nlm.nih.gov/33488672&lt;/url&gt;&lt;url&gt;https://www.ncbi.nlm.nih.gov/pmc/articles/PMC7820862/&lt;/url&gt;&lt;/related-urls&gt;&lt;/urls&gt;&lt;electronic-resource-num&gt;10.3389/fgene.2020.597459&lt;/electronic-resource-num&gt;&lt;remote-database-name&gt;PubMed&lt;/remote-database-name&gt;&lt;language&gt;eng&lt;/language&gt;&lt;/record&gt;&lt;/Cite&gt;&lt;/EndNote&gt;</w:instrText>
      </w:r>
      <w:r w:rsidRPr="0007076F">
        <w:rPr>
          <w:b/>
          <w:bCs w:val="0"/>
          <w:color w:val="000000" w:themeColor="text1"/>
        </w:rPr>
        <w:fldChar w:fldCharType="separate"/>
      </w:r>
      <w:r w:rsidR="0039089F">
        <w:rPr>
          <w:bCs w:val="0"/>
          <w:noProof/>
          <w:color w:val="000000" w:themeColor="text1"/>
        </w:rPr>
        <w:t>[6]</w:t>
      </w:r>
      <w:r w:rsidRPr="0007076F">
        <w:rPr>
          <w:b/>
          <w:bCs w:val="0"/>
          <w:color w:val="000000" w:themeColor="text1"/>
        </w:rPr>
        <w:fldChar w:fldCharType="end"/>
      </w:r>
      <w:r w:rsidRPr="0007076F">
        <w:rPr>
          <w:bCs w:val="0"/>
          <w:color w:val="000000" w:themeColor="text1"/>
        </w:rPr>
        <w:t>, which generates high sensitivity transcriptomes from low yield samples and utilised sample barcoding, 3’ end-tagging, and the inclusion of unique molecular identifiers. 25 ng of CCA RNA (</w:t>
      </w:r>
      <w:r w:rsidRPr="0007076F">
        <w:rPr>
          <w:bCs w:val="0"/>
          <w:i/>
          <w:iCs/>
          <w:color w:val="000000" w:themeColor="text1"/>
        </w:rPr>
        <w:t xml:space="preserve">n </w:t>
      </w:r>
      <w:r w:rsidRPr="0007076F">
        <w:rPr>
          <w:bCs w:val="0"/>
          <w:color w:val="000000" w:themeColor="text1"/>
        </w:rPr>
        <w:t xml:space="preserve">= 39) and 0.5 µl of ERCC spike-in (1:10,000 dilution) were added to an initial RNA/primer/ERCC/dNTP mix for each sample. Paired-end sequencing was performed at </w:t>
      </w:r>
      <w:proofErr w:type="spellStart"/>
      <w:r w:rsidRPr="0007076F">
        <w:rPr>
          <w:bCs w:val="0"/>
          <w:color w:val="000000" w:themeColor="text1"/>
        </w:rPr>
        <w:t>Ramaciotti</w:t>
      </w:r>
      <w:proofErr w:type="spellEnd"/>
      <w:r w:rsidRPr="0007076F">
        <w:rPr>
          <w:bCs w:val="0"/>
          <w:color w:val="000000" w:themeColor="text1"/>
        </w:rPr>
        <w:t xml:space="preserve"> Centre for Genomics, University of New South Wales, NSW, Australia. Customised sequencing was performed on a single lane of an Illumina </w:t>
      </w:r>
      <w:proofErr w:type="spellStart"/>
      <w:r w:rsidRPr="0007076F">
        <w:rPr>
          <w:bCs w:val="0"/>
          <w:color w:val="000000" w:themeColor="text1"/>
        </w:rPr>
        <w:t>NovaSeq</w:t>
      </w:r>
      <w:proofErr w:type="spellEnd"/>
      <w:r w:rsidRPr="0007076F">
        <w:rPr>
          <w:bCs w:val="0"/>
          <w:color w:val="000000" w:themeColor="text1"/>
        </w:rPr>
        <w:t xml:space="preserve"> 6000, sequencing 26 bp on read 1, and 100 bp on read 2</w:t>
      </w:r>
      <w:r w:rsidR="00A94CDB">
        <w:rPr>
          <w:bCs w:val="0"/>
          <w:color w:val="000000" w:themeColor="text1"/>
        </w:rPr>
        <w:t xml:space="preserve">. </w:t>
      </w:r>
      <w:r w:rsidRPr="0007076F">
        <w:rPr>
          <w:bCs w:val="0"/>
          <w:color w:val="000000" w:themeColor="text1"/>
        </w:rPr>
        <w:t xml:space="preserve">A technical issue was identified for one sample for </w:t>
      </w:r>
      <w:r w:rsidRPr="0007076F">
        <w:rPr>
          <w:bCs w:val="0"/>
          <w:i/>
          <w:iCs/>
          <w:color w:val="000000" w:themeColor="text1"/>
        </w:rPr>
        <w:t xml:space="preserve">P. onkodes, </w:t>
      </w:r>
      <w:r w:rsidRPr="0007076F">
        <w:rPr>
          <w:bCs w:val="0"/>
          <w:iCs/>
          <w:color w:val="000000" w:themeColor="text1"/>
        </w:rPr>
        <w:t xml:space="preserve">and this sample </w:t>
      </w:r>
      <w:r w:rsidRPr="0007076F">
        <w:rPr>
          <w:bCs w:val="0"/>
          <w:color w:val="000000" w:themeColor="text1"/>
        </w:rPr>
        <w:t xml:space="preserve">was not considered in downstream analyses after sequencing. </w:t>
      </w:r>
    </w:p>
    <w:p w14:paraId="269DB370" w14:textId="1F288881" w:rsidR="0007076F" w:rsidRPr="005B0B83" w:rsidRDefault="0007076F" w:rsidP="00C92A04">
      <w:pPr>
        <w:spacing w:line="480" w:lineRule="auto"/>
        <w:rPr>
          <w:b/>
          <w:bCs w:val="0"/>
          <w:iCs/>
        </w:rPr>
      </w:pPr>
      <w:r w:rsidRPr="0007076F">
        <w:rPr>
          <w:bCs w:val="0"/>
          <w:color w:val="000000" w:themeColor="text1"/>
        </w:rPr>
        <w:lastRenderedPageBreak/>
        <w:tab/>
        <w:t xml:space="preserve">Raw </w:t>
      </w:r>
      <w:r w:rsidR="009425CB">
        <w:rPr>
          <w:bCs w:val="0"/>
          <w:color w:val="000000" w:themeColor="text1"/>
        </w:rPr>
        <w:t xml:space="preserve">sequencing </w:t>
      </w:r>
      <w:r w:rsidRPr="0007076F">
        <w:rPr>
          <w:bCs w:val="0"/>
          <w:color w:val="000000" w:themeColor="text1"/>
        </w:rPr>
        <w:t xml:space="preserve">data </w:t>
      </w:r>
      <w:r w:rsidR="001C74F5">
        <w:rPr>
          <w:bCs w:val="0"/>
          <w:color w:val="000000" w:themeColor="text1"/>
        </w:rPr>
        <w:t>were</w:t>
      </w:r>
      <w:r w:rsidRPr="0007076F">
        <w:rPr>
          <w:bCs w:val="0"/>
          <w:color w:val="000000" w:themeColor="text1"/>
        </w:rPr>
        <w:t xml:space="preserve"> processed using the Illumina BCL2FASTQ software, using default settings but with a minimum trimmed read length of 15. Quality control was performed on the </w:t>
      </w:r>
      <w:proofErr w:type="spellStart"/>
      <w:r w:rsidRPr="0007076F">
        <w:rPr>
          <w:bCs w:val="0"/>
          <w:color w:val="000000" w:themeColor="text1"/>
        </w:rPr>
        <w:t>FastQ</w:t>
      </w:r>
      <w:proofErr w:type="spellEnd"/>
      <w:r w:rsidRPr="0007076F">
        <w:rPr>
          <w:bCs w:val="0"/>
          <w:color w:val="000000" w:themeColor="text1"/>
        </w:rPr>
        <w:t xml:space="preserve"> files using </w:t>
      </w:r>
      <w:proofErr w:type="spellStart"/>
      <w:r w:rsidRPr="0007076F">
        <w:rPr>
          <w:bCs w:val="0"/>
          <w:color w:val="000000" w:themeColor="text1"/>
        </w:rPr>
        <w:t>FastQC</w:t>
      </w:r>
      <w:proofErr w:type="spellEnd"/>
      <w:r w:rsidRPr="0007076F">
        <w:rPr>
          <w:bCs w:val="0"/>
          <w:color w:val="000000" w:themeColor="text1"/>
        </w:rPr>
        <w:t xml:space="preserve"> (v 0.11.3, </w:t>
      </w:r>
      <w:proofErr w:type="spellStart"/>
      <w:r w:rsidRPr="0007076F">
        <w:rPr>
          <w:bCs w:val="0"/>
          <w:color w:val="000000" w:themeColor="text1"/>
        </w:rPr>
        <w:t>Babraham</w:t>
      </w:r>
      <w:proofErr w:type="spellEnd"/>
      <w:r w:rsidRPr="0007076F">
        <w:rPr>
          <w:bCs w:val="0"/>
          <w:color w:val="000000" w:themeColor="text1"/>
        </w:rPr>
        <w:t xml:space="preserve"> Bioinformatics). </w:t>
      </w:r>
      <w:proofErr w:type="spellStart"/>
      <w:r w:rsidRPr="0007076F">
        <w:rPr>
          <w:bCs w:val="0"/>
          <w:color w:val="000000" w:themeColor="text1"/>
        </w:rPr>
        <w:t>FastQ</w:t>
      </w:r>
      <w:proofErr w:type="spellEnd"/>
      <w:r w:rsidRPr="0007076F">
        <w:rPr>
          <w:bCs w:val="0"/>
          <w:color w:val="000000" w:themeColor="text1"/>
        </w:rPr>
        <w:t xml:space="preserve"> files have been deposited on an </w:t>
      </w:r>
      <w:proofErr w:type="spellStart"/>
      <w:r w:rsidRPr="0007076F">
        <w:rPr>
          <w:bCs w:val="0"/>
          <w:color w:val="000000" w:themeColor="text1"/>
        </w:rPr>
        <w:t>OSFHome</w:t>
      </w:r>
      <w:proofErr w:type="spellEnd"/>
      <w:r w:rsidRPr="0007076F">
        <w:rPr>
          <w:bCs w:val="0"/>
          <w:color w:val="000000" w:themeColor="text1"/>
        </w:rPr>
        <w:t xml:space="preserve"> repository (</w:t>
      </w:r>
      <w:hyperlink r:id="rId7" w:history="1">
        <w:r w:rsidRPr="0007076F">
          <w:rPr>
            <w:rStyle w:val="Hyperlink"/>
            <w:bCs w:val="0"/>
          </w:rPr>
          <w:t>https://osf.io/2nkr4/</w:t>
        </w:r>
      </w:hyperlink>
      <w:r w:rsidRPr="0007076F">
        <w:rPr>
          <w:bCs w:val="0"/>
          <w:color w:val="000000" w:themeColor="text1"/>
        </w:rPr>
        <w:t xml:space="preserve">). Reference transcriptomes were created using transcriptomes for </w:t>
      </w:r>
      <w:r w:rsidRPr="0007076F">
        <w:rPr>
          <w:bCs w:val="0"/>
          <w:i/>
          <w:iCs/>
          <w:color w:val="000000" w:themeColor="text1"/>
        </w:rPr>
        <w:t xml:space="preserve">P. </w:t>
      </w:r>
      <w:r w:rsidRPr="004D278D">
        <w:rPr>
          <w:bCs w:val="0"/>
          <w:i/>
          <w:iCs/>
          <w:color w:val="000000" w:themeColor="text1"/>
        </w:rPr>
        <w:t xml:space="preserve">onkodes </w:t>
      </w:r>
      <w:r w:rsidRPr="004D278D">
        <w:rPr>
          <w:bCs w:val="0"/>
          <w:color w:val="000000" w:themeColor="text1"/>
        </w:rPr>
        <w:t xml:space="preserve">and </w:t>
      </w:r>
      <w:r w:rsidRPr="004D278D">
        <w:rPr>
          <w:bCs w:val="0"/>
          <w:i/>
          <w:iCs/>
          <w:color w:val="000000" w:themeColor="text1"/>
        </w:rPr>
        <w:t xml:space="preserve">S. durum </w:t>
      </w:r>
      <w:r w:rsidRPr="004D278D">
        <w:rPr>
          <w:bCs w:val="0"/>
          <w:color w:val="000000" w:themeColor="text1"/>
        </w:rPr>
        <w:t xml:space="preserve">(NCBI </w:t>
      </w:r>
      <w:proofErr w:type="spellStart"/>
      <w:r w:rsidRPr="004D278D">
        <w:rPr>
          <w:bCs w:val="0"/>
          <w:color w:val="000000" w:themeColor="text1"/>
        </w:rPr>
        <w:t>BioProject</w:t>
      </w:r>
      <w:proofErr w:type="spellEnd"/>
      <w:r w:rsidRPr="004D278D">
        <w:rPr>
          <w:bCs w:val="0"/>
          <w:color w:val="000000" w:themeColor="text1"/>
        </w:rPr>
        <w:t xml:space="preserve"> </w:t>
      </w:r>
      <w:r w:rsidRPr="004D278D">
        <w:rPr>
          <w:bCs w:val="0"/>
          <w:color w:val="000000" w:themeColor="text1"/>
          <w:shd w:val="clear" w:color="auto" w:fill="FFFFFF"/>
        </w:rPr>
        <w:t>PRJNA518156, accession numbers GHIN00000000.1</w:t>
      </w:r>
      <w:r w:rsidRPr="004D278D">
        <w:rPr>
          <w:bCs w:val="0"/>
          <w:color w:val="000000" w:themeColor="text1"/>
        </w:rPr>
        <w:t xml:space="preserve"> and </w:t>
      </w:r>
      <w:r w:rsidRPr="004D278D">
        <w:rPr>
          <w:bCs w:val="0"/>
          <w:color w:val="000000" w:themeColor="text1"/>
          <w:shd w:val="clear" w:color="auto" w:fill="FFFFFF"/>
        </w:rPr>
        <w:t>GHIO00000000.1</w:t>
      </w:r>
      <w:r w:rsidRPr="004D278D">
        <w:rPr>
          <w:bCs w:val="0"/>
          <w:color w:val="000000" w:themeColor="text1"/>
        </w:rPr>
        <w:t xml:space="preserve"> for </w:t>
      </w:r>
      <w:r w:rsidRPr="004D278D">
        <w:rPr>
          <w:bCs w:val="0"/>
          <w:i/>
          <w:iCs/>
          <w:color w:val="000000" w:themeColor="text1"/>
        </w:rPr>
        <w:t xml:space="preserve">S. </w:t>
      </w:r>
      <w:r w:rsidRPr="004D278D">
        <w:rPr>
          <w:bCs w:val="0"/>
          <w:color w:val="000000" w:themeColor="text1"/>
        </w:rPr>
        <w:t xml:space="preserve">cf. </w:t>
      </w:r>
      <w:r w:rsidRPr="004D278D">
        <w:rPr>
          <w:bCs w:val="0"/>
          <w:i/>
          <w:iCs/>
          <w:color w:val="000000" w:themeColor="text1"/>
        </w:rPr>
        <w:t>durum</w:t>
      </w:r>
      <w:r w:rsidRPr="004D278D">
        <w:rPr>
          <w:bCs w:val="0"/>
          <w:color w:val="000000" w:themeColor="text1"/>
        </w:rPr>
        <w:t xml:space="preserve"> </w:t>
      </w:r>
      <w:r w:rsidRPr="0007076F">
        <w:rPr>
          <w:bCs w:val="0"/>
        </w:rPr>
        <w:t xml:space="preserve">and </w:t>
      </w:r>
      <w:r w:rsidRPr="0007076F">
        <w:rPr>
          <w:bCs w:val="0"/>
          <w:i/>
          <w:iCs/>
        </w:rPr>
        <w:t xml:space="preserve">P. </w:t>
      </w:r>
      <w:r w:rsidRPr="0007076F">
        <w:rPr>
          <w:bCs w:val="0"/>
        </w:rPr>
        <w:t xml:space="preserve">cf. </w:t>
      </w:r>
      <w:r w:rsidRPr="0007076F">
        <w:rPr>
          <w:bCs w:val="0"/>
          <w:i/>
          <w:iCs/>
        </w:rPr>
        <w:t>onkodes</w:t>
      </w:r>
      <w:r w:rsidRPr="0007076F">
        <w:rPr>
          <w:bCs w:val="0"/>
        </w:rPr>
        <w:t>, respectively)</w:t>
      </w:r>
      <w:r w:rsidRPr="0007076F">
        <w:rPr>
          <w:bCs w:val="0"/>
          <w:i/>
          <w:iCs/>
          <w:color w:val="000000" w:themeColor="text1"/>
        </w:rPr>
        <w:t xml:space="preserve"> </w:t>
      </w:r>
      <w:r w:rsidRPr="0007076F">
        <w:rPr>
          <w:b/>
          <w:bCs w:val="0"/>
          <w:color w:val="000000" w:themeColor="text1"/>
        </w:rPr>
        <w:fldChar w:fldCharType="begin"/>
      </w:r>
      <w:r w:rsidR="0039089F">
        <w:rPr>
          <w:bCs w:val="0"/>
          <w:color w:val="000000" w:themeColor="text1"/>
        </w:rPr>
        <w:instrText xml:space="preserve"> ADDIN EN.CITE &lt;EndNote&gt;&lt;Cite&gt;&lt;Author&gt;Page&lt;/Author&gt;&lt;Year&gt;2019&lt;/Year&gt;&lt;RecNum&gt;519&lt;/RecNum&gt;&lt;DisplayText&gt;[4]&lt;/DisplayText&gt;&lt;record&gt;&lt;rec-number&gt;519&lt;/rec-number&gt;&lt;foreign-keys&gt;&lt;key app="EN" db-id="5rdwapt2bfwze6edv59v2dwm2vapa5vptpr0" timestamp="1569463570"&gt;519&lt;/key&gt;&lt;/foreign-keys&gt;&lt;ref-type name="Journal Article"&gt;17&lt;/ref-type&gt;&lt;contributors&gt;&lt;authors&gt;&lt;author&gt;Page, Tessa M.&lt;/author&gt;&lt;author&gt;McDougall, Carmel&lt;/author&gt;&lt;author&gt;Diaz-Pulido, Guillermo&lt;/author&gt;&lt;/authors&gt;&lt;/contributors&gt;&lt;titles&gt;&lt;title&gt;&lt;style face="italic" font="default" size="100%"&gt;De novo&lt;/style&gt;&lt;style face="normal" font="default" size="100%"&gt; transcriptome assembly for four species of crustose coralline algae and analysis of unique orthologous genes&lt;/style&gt;&lt;/title&gt;&lt;secondary-title&gt;Scientific Reports&lt;/secondary-title&gt;&lt;/titles&gt;&lt;pages&gt;12611&lt;/pages&gt;&lt;volume&gt;9&lt;/volume&gt;&lt;number&gt;1&lt;/number&gt;&lt;dates&gt;&lt;year&gt;2019&lt;/year&gt;&lt;pub-dates&gt;&lt;date&gt;2019/08/30&lt;/date&gt;&lt;/pub-dates&gt;&lt;/dates&gt;&lt;isbn&gt;2045-2322&lt;/isbn&gt;&lt;urls&gt;&lt;related-urls&gt;&lt;url&gt;https://doi.org/10.1038/s41598-019-48283-1&lt;/url&gt;&lt;/related-urls&gt;&lt;/urls&gt;&lt;electronic-resource-num&gt;10.1038/s41598-019-48283-1&lt;/electronic-resource-num&gt;&lt;/record&gt;&lt;/Cite&gt;&lt;/EndNote&gt;</w:instrText>
      </w:r>
      <w:r w:rsidRPr="0007076F">
        <w:rPr>
          <w:b/>
          <w:bCs w:val="0"/>
          <w:color w:val="000000" w:themeColor="text1"/>
        </w:rPr>
        <w:fldChar w:fldCharType="separate"/>
      </w:r>
      <w:r w:rsidR="0039089F">
        <w:rPr>
          <w:bCs w:val="0"/>
          <w:noProof/>
          <w:color w:val="000000" w:themeColor="text1"/>
        </w:rPr>
        <w:t>[4]</w:t>
      </w:r>
      <w:r w:rsidRPr="0007076F">
        <w:rPr>
          <w:b/>
          <w:bCs w:val="0"/>
          <w:color w:val="000000" w:themeColor="text1"/>
        </w:rPr>
        <w:fldChar w:fldCharType="end"/>
      </w:r>
      <w:r w:rsidRPr="0007076F">
        <w:rPr>
          <w:bCs w:val="0"/>
          <w:color w:val="000000" w:themeColor="text1"/>
        </w:rPr>
        <w:t xml:space="preserve">. </w:t>
      </w:r>
      <w:proofErr w:type="spellStart"/>
      <w:r w:rsidRPr="0007076F">
        <w:rPr>
          <w:bCs w:val="0"/>
          <w:color w:val="000000" w:themeColor="text1"/>
        </w:rPr>
        <w:t>PolyA</w:t>
      </w:r>
      <w:proofErr w:type="spellEnd"/>
      <w:r w:rsidRPr="0007076F">
        <w:rPr>
          <w:bCs w:val="0"/>
          <w:color w:val="000000" w:themeColor="text1"/>
        </w:rPr>
        <w:t xml:space="preserve"> sequences were removed from reference transcriptomes using </w:t>
      </w:r>
      <w:proofErr w:type="spellStart"/>
      <w:r w:rsidRPr="0007076F">
        <w:rPr>
          <w:bCs w:val="0"/>
          <w:color w:val="000000" w:themeColor="text1"/>
        </w:rPr>
        <w:t>prinseq</w:t>
      </w:r>
      <w:proofErr w:type="spellEnd"/>
      <w:r w:rsidRPr="0007076F">
        <w:rPr>
          <w:bCs w:val="0"/>
          <w:color w:val="000000" w:themeColor="text1"/>
        </w:rPr>
        <w:t xml:space="preserve"> </w:t>
      </w:r>
      <w:r w:rsidRPr="0007076F">
        <w:rPr>
          <w:b/>
          <w:bCs w:val="0"/>
          <w:color w:val="000000" w:themeColor="text1"/>
        </w:rPr>
        <w:fldChar w:fldCharType="begin"/>
      </w:r>
      <w:r w:rsidR="00EF3BEA">
        <w:rPr>
          <w:bCs w:val="0"/>
          <w:color w:val="000000" w:themeColor="text1"/>
        </w:rPr>
        <w:instrText xml:space="preserve"> ADDIN EN.CITE &lt;EndNote&gt;&lt;Cite&gt;&lt;Author&gt;Schmieder&lt;/Author&gt;&lt;Year&gt;2011&lt;/Year&gt;&lt;RecNum&gt;630&lt;/RecNum&gt;&lt;DisplayText&gt;[7]&lt;/DisplayText&gt;&lt;record&gt;&lt;rec-number&gt;630&lt;/rec-number&gt;&lt;foreign-keys&gt;&lt;key app="EN" db-id="5rdwapt2bfwze6edv59v2dwm2vapa5vptpr0" timestamp="1584659647"&gt;630&lt;/key&gt;&lt;/foreign-keys&gt;&lt;ref-type name="Journal Article"&gt;17&lt;/ref-type&gt;&lt;contributors&gt;&lt;authors&gt;&lt;author&gt;Schmieder, R.&lt;/author&gt;&lt;author&gt;Edwards, R.&lt;/author&gt;&lt;/authors&gt;&lt;/contributors&gt;&lt;auth-address&gt;Department of Computer Science, Computational Science Research Center, San Diego State University, San Diego, CA 92182, USA. rschmied@sciences.sdsu.edu&lt;/auth-address&gt;&lt;titles&gt;&lt;title&gt;Quality control and preprocessing of metagenomic datasets&lt;/title&gt;&lt;secondary-title&gt;Bioinformatics&lt;/secondary-title&gt;&lt;/titles&gt;&lt;pages&gt;863-4&lt;/pages&gt;&lt;volume&gt;27&lt;/volume&gt;&lt;number&gt;6&lt;/number&gt;&lt;edition&gt;2011/02/01&lt;/edition&gt;&lt;keywords&gt;&lt;keyword&gt;Computer Graphics&lt;/keyword&gt;&lt;keyword&gt;Information Storage and Retrieval/methods&lt;/keyword&gt;&lt;keyword&gt;Internet&lt;/keyword&gt;&lt;keyword&gt;Metagenomics&lt;/keyword&gt;&lt;keyword&gt;Programming Languages&lt;/keyword&gt;&lt;keyword&gt;Quality Control&lt;/keyword&gt;&lt;keyword&gt;Sequence Analysis, DNA/*methods&lt;/keyword&gt;&lt;keyword&gt;*Software&lt;/keyword&gt;&lt;/keywords&gt;&lt;dates&gt;&lt;year&gt;2011&lt;/year&gt;&lt;pub-dates&gt;&lt;date&gt;Mar 15&lt;/date&gt;&lt;/pub-dates&gt;&lt;/dates&gt;&lt;isbn&gt;1367-4803&lt;/isbn&gt;&lt;accession-num&gt;21278185&lt;/accession-num&gt;&lt;urls&gt;&lt;/urls&gt;&lt;custom2&gt;PMC3051327&lt;/custom2&gt;&lt;electronic-resource-num&gt;10.1093/bioinformatics/btr026&lt;/electronic-resource-num&gt;&lt;remote-database-provider&gt;NLM&lt;/remote-database-provider&gt;&lt;language&gt;eng&lt;/language&gt;&lt;/record&gt;&lt;/Cite&gt;&lt;/EndNote&gt;</w:instrText>
      </w:r>
      <w:r w:rsidRPr="0007076F">
        <w:rPr>
          <w:b/>
          <w:bCs w:val="0"/>
          <w:color w:val="000000" w:themeColor="text1"/>
        </w:rPr>
        <w:fldChar w:fldCharType="separate"/>
      </w:r>
      <w:r w:rsidR="00EF3BEA">
        <w:rPr>
          <w:bCs w:val="0"/>
          <w:noProof/>
          <w:color w:val="000000" w:themeColor="text1"/>
        </w:rPr>
        <w:t>[7]</w:t>
      </w:r>
      <w:r w:rsidRPr="0007076F">
        <w:rPr>
          <w:b/>
          <w:bCs w:val="0"/>
          <w:color w:val="000000" w:themeColor="text1"/>
        </w:rPr>
        <w:fldChar w:fldCharType="end"/>
      </w:r>
      <w:r w:rsidRPr="0007076F">
        <w:rPr>
          <w:bCs w:val="0"/>
          <w:color w:val="000000" w:themeColor="text1"/>
        </w:rPr>
        <w:t xml:space="preserve">. ERCC sequences, without </w:t>
      </w:r>
      <w:proofErr w:type="spellStart"/>
      <w:r w:rsidRPr="0007076F">
        <w:rPr>
          <w:bCs w:val="0"/>
          <w:color w:val="000000" w:themeColor="text1"/>
        </w:rPr>
        <w:t>polyA’s</w:t>
      </w:r>
      <w:proofErr w:type="spellEnd"/>
      <w:r w:rsidRPr="0007076F">
        <w:rPr>
          <w:bCs w:val="0"/>
          <w:color w:val="000000" w:themeColor="text1"/>
        </w:rPr>
        <w:t xml:space="preserve">, were appended to the transcriptome files. Bowtie indices were generated using bowtie </w:t>
      </w:r>
      <w:r w:rsidRPr="0007076F">
        <w:rPr>
          <w:b/>
          <w:bCs w:val="0"/>
          <w:color w:val="000000" w:themeColor="text1"/>
        </w:rPr>
        <w:fldChar w:fldCharType="begin"/>
      </w:r>
      <w:r w:rsidR="00EF3BEA">
        <w:rPr>
          <w:bCs w:val="0"/>
          <w:color w:val="000000" w:themeColor="text1"/>
        </w:rPr>
        <w:instrText xml:space="preserve"> ADDIN EN.CITE &lt;EndNote&gt;&lt;Cite&gt;&lt;Author&gt;Langmead&lt;/Author&gt;&lt;Year&gt;2009&lt;/Year&gt;&lt;RecNum&gt;378&lt;/RecNum&gt;&lt;DisplayText&gt;[8]&lt;/DisplayText&gt;&lt;record&gt;&lt;rec-number&gt;378&lt;/rec-number&gt;&lt;foreign-keys&gt;&lt;key app="EN" db-id="5rdwapt2bfwze6edv59v2dwm2vapa5vptpr0" timestamp="1569463569"&gt;378&lt;/key&gt;&lt;/foreign-keys&gt;&lt;ref-type name="Journal Article"&gt;17&lt;/ref-type&gt;&lt;contributors&gt;&lt;authors&gt;&lt;author&gt;Langmead, Ben&lt;/author&gt;&lt;author&gt;Trapnell, Cole&lt;/author&gt;&lt;author&gt;Pop, Mihai&lt;/author&gt;&lt;author&gt;Salzberg, Steven L&lt;/author&gt;&lt;/authors&gt;&lt;/contributors&gt;&lt;titles&gt;&lt;title&gt;Ultrafast and memory-efficient alignment of short DNA sequences to the human genome&lt;/title&gt;&lt;secondary-title&gt;Genome Biology&lt;/secondary-title&gt;&lt;/titles&gt;&lt;pages&gt;R25&lt;/pages&gt;&lt;volume&gt;10&lt;/volume&gt;&lt;number&gt;3&lt;/number&gt;&lt;dates&gt;&lt;year&gt;2009&lt;/year&gt;&lt;/dates&gt;&lt;isbn&gt;1474-760X&lt;/isbn&gt;&lt;urls&gt;&lt;/urls&gt;&lt;electronic-resource-num&gt;10.1186/gb-2009-10-3-r25&lt;/electronic-resource-num&gt;&lt;/record&gt;&lt;/Cite&gt;&lt;/EndNote&gt;</w:instrText>
      </w:r>
      <w:r w:rsidRPr="0007076F">
        <w:rPr>
          <w:b/>
          <w:bCs w:val="0"/>
          <w:color w:val="000000" w:themeColor="text1"/>
        </w:rPr>
        <w:fldChar w:fldCharType="separate"/>
      </w:r>
      <w:r w:rsidR="00EF3BEA">
        <w:rPr>
          <w:bCs w:val="0"/>
          <w:noProof/>
          <w:color w:val="000000" w:themeColor="text1"/>
        </w:rPr>
        <w:t>[8]</w:t>
      </w:r>
      <w:r w:rsidRPr="0007076F">
        <w:rPr>
          <w:b/>
          <w:bCs w:val="0"/>
          <w:color w:val="000000" w:themeColor="text1"/>
        </w:rPr>
        <w:fldChar w:fldCharType="end"/>
      </w:r>
      <w:r w:rsidRPr="0007076F">
        <w:rPr>
          <w:bCs w:val="0"/>
          <w:color w:val="000000" w:themeColor="text1"/>
        </w:rPr>
        <w:t xml:space="preserve"> v 2 – 2.0.2. The resulting FASTA files were used to generate files mimicking gene transfer format (</w:t>
      </w:r>
      <w:proofErr w:type="spellStart"/>
      <w:r w:rsidRPr="0007076F">
        <w:rPr>
          <w:bCs w:val="0"/>
          <w:color w:val="000000" w:themeColor="text1"/>
        </w:rPr>
        <w:t>gtf</w:t>
      </w:r>
      <w:proofErr w:type="spellEnd"/>
      <w:r w:rsidRPr="0007076F">
        <w:rPr>
          <w:bCs w:val="0"/>
          <w:color w:val="000000" w:themeColor="text1"/>
        </w:rPr>
        <w:t xml:space="preserve">) files following protocol laid out in McDougall et al. 2021 </w:t>
      </w:r>
      <w:r w:rsidRPr="0007076F">
        <w:rPr>
          <w:b/>
          <w:bCs w:val="0"/>
          <w:color w:val="000000" w:themeColor="text1"/>
        </w:rPr>
        <w:fldChar w:fldCharType="begin"/>
      </w:r>
      <w:r w:rsidR="0039089F">
        <w:rPr>
          <w:bCs w:val="0"/>
          <w:color w:val="000000" w:themeColor="text1"/>
        </w:rPr>
        <w:instrText xml:space="preserve"> ADDIN EN.CITE &lt;EndNote&gt;&lt;Cite&gt;&lt;Author&gt;McDougall&lt;/Author&gt;&lt;Year&gt;2021&lt;/Year&gt;&lt;RecNum&gt;807&lt;/RecNum&gt;&lt;DisplayText&gt;[6]&lt;/DisplayText&gt;&lt;record&gt;&lt;rec-number&gt;807&lt;/rec-number&gt;&lt;foreign-keys&gt;&lt;key app="EN" db-id="5rdwapt2bfwze6edv59v2dwm2vapa5vptpr0" timestamp="1612163669"&gt;807&lt;/key&gt;&lt;/foreign-keys&gt;&lt;ref-type name="Journal Article"&gt;17&lt;/ref-type&gt;&lt;contributors&gt;&lt;authors&gt;&lt;author&gt;McDougall, Carmel&lt;/author&gt;&lt;author&gt;Aguilera, Felipe&lt;/author&gt;&lt;author&gt;Shokoohmand, Ali&lt;/author&gt;&lt;author&gt;Moase, Patrick&lt;/author&gt;&lt;author&gt;Degnan, Bernard M.&lt;/author&gt;&lt;/authors&gt;&lt;/contributors&gt;&lt;titles&gt;&lt;title&gt;&lt;style face="normal" font="default" size="100%"&gt;Pearl sac gene expression profiles associated with pearl attributes in the silver-lip pearl oyster, &lt;/style&gt;&lt;style face="italic" font="default" size="100%"&gt;Pinctada maxima&lt;/style&gt;&lt;/title&gt;&lt;secondary-title&gt;Frontiers in Genetics&lt;/secondary-title&gt;&lt;alt-title&gt;Front Genet&lt;/alt-title&gt;&lt;/titles&gt;&lt;pages&gt;597459-597459&lt;/pages&gt;&lt;volume&gt;11&lt;/volume&gt;&lt;keywords&gt;&lt;keyword&gt;CEL-Seq&lt;/keyword&gt;&lt;keyword&gt;Pinctada maxima&lt;/keyword&gt;&lt;keyword&gt;biomineralization&lt;/keyword&gt;&lt;keyword&gt;nacre&lt;/keyword&gt;&lt;keyword&gt;pearl&lt;/keyword&gt;&lt;keyword&gt;pearl quality&lt;/keyword&gt;&lt;/keywords&gt;&lt;dates&gt;&lt;year&gt;2021&lt;/year&gt;&lt;/dates&gt;&lt;publisher&gt;Frontiers Media S.A.&lt;/publisher&gt;&lt;isbn&gt;1664-8021&lt;/isbn&gt;&lt;accession-num&gt;33488672&lt;/accession-num&gt;&lt;urls&gt;&lt;related-urls&gt;&lt;url&gt;https://pubmed.ncbi.nlm.nih.gov/33488672&lt;/url&gt;&lt;url&gt;https://www.ncbi.nlm.nih.gov/pmc/articles/PMC7820862/&lt;/url&gt;&lt;/related-urls&gt;&lt;/urls&gt;&lt;electronic-resource-num&gt;10.3389/fgene.2020.597459&lt;/electronic-resource-num&gt;&lt;remote-database-name&gt;PubMed&lt;/remote-database-name&gt;&lt;language&gt;eng&lt;/language&gt;&lt;/record&gt;&lt;/Cite&gt;&lt;/EndNote&gt;</w:instrText>
      </w:r>
      <w:r w:rsidRPr="0007076F">
        <w:rPr>
          <w:b/>
          <w:bCs w:val="0"/>
          <w:color w:val="000000" w:themeColor="text1"/>
        </w:rPr>
        <w:fldChar w:fldCharType="separate"/>
      </w:r>
      <w:r w:rsidR="0039089F">
        <w:rPr>
          <w:bCs w:val="0"/>
          <w:noProof/>
          <w:color w:val="000000" w:themeColor="text1"/>
        </w:rPr>
        <w:t>[6]</w:t>
      </w:r>
      <w:r w:rsidRPr="0007076F">
        <w:rPr>
          <w:b/>
          <w:bCs w:val="0"/>
          <w:color w:val="000000" w:themeColor="text1"/>
        </w:rPr>
        <w:fldChar w:fldCharType="end"/>
      </w:r>
      <w:r w:rsidRPr="0007076F">
        <w:rPr>
          <w:bCs w:val="0"/>
          <w:color w:val="000000" w:themeColor="text1"/>
        </w:rPr>
        <w:t xml:space="preserve">. These “fake” </w:t>
      </w:r>
      <w:proofErr w:type="spellStart"/>
      <w:r w:rsidRPr="0007076F">
        <w:rPr>
          <w:bCs w:val="0"/>
          <w:color w:val="000000" w:themeColor="text1"/>
        </w:rPr>
        <w:t>gtf</w:t>
      </w:r>
      <w:proofErr w:type="spellEnd"/>
      <w:r w:rsidRPr="0007076F">
        <w:rPr>
          <w:bCs w:val="0"/>
          <w:color w:val="000000" w:themeColor="text1"/>
        </w:rPr>
        <w:t xml:space="preserve"> files were then used in the publicly available CEL-Seq-pipeline (</w:t>
      </w:r>
      <w:hyperlink r:id="rId8" w:history="1">
        <w:r w:rsidRPr="0007076F">
          <w:rPr>
            <w:bCs w:val="0"/>
            <w:color w:val="000000" w:themeColor="text1"/>
            <w:u w:val="single"/>
          </w:rPr>
          <w:t>https://github.com/yanailab/CEL-Seq-pipeline</w:t>
        </w:r>
      </w:hyperlink>
      <w:r w:rsidRPr="0007076F">
        <w:rPr>
          <w:bCs w:val="0"/>
          <w:color w:val="000000" w:themeColor="text1"/>
        </w:rPr>
        <w:t xml:space="preserve">). </w:t>
      </w:r>
      <w:r w:rsidR="00A94CDB">
        <w:rPr>
          <w:bCs w:val="0"/>
          <w:color w:val="000000" w:themeColor="text1"/>
        </w:rPr>
        <w:t xml:space="preserve">Prior to mapping, </w:t>
      </w:r>
      <w:r w:rsidR="000F30A7">
        <w:rPr>
          <w:bCs w:val="0"/>
          <w:color w:val="000000" w:themeColor="text1"/>
        </w:rPr>
        <w:t>sequence quality across read was evaluated. R</w:t>
      </w:r>
      <w:r w:rsidR="00A94CDB">
        <w:rPr>
          <w:bCs w:val="0"/>
          <w:color w:val="000000" w:themeColor="text1"/>
        </w:rPr>
        <w:t>eads were</w:t>
      </w:r>
      <w:r w:rsidR="000F30A7">
        <w:rPr>
          <w:bCs w:val="0"/>
          <w:color w:val="000000" w:themeColor="text1"/>
        </w:rPr>
        <w:t xml:space="preserve"> then</w:t>
      </w:r>
      <w:r w:rsidR="00A94CDB">
        <w:rPr>
          <w:bCs w:val="0"/>
          <w:color w:val="000000" w:themeColor="text1"/>
        </w:rPr>
        <w:t xml:space="preserve"> trimmed at 60 bp (using the '</w:t>
      </w:r>
      <w:proofErr w:type="spellStart"/>
      <w:r w:rsidR="00A94CDB">
        <w:rPr>
          <w:bCs w:val="0"/>
          <w:color w:val="000000" w:themeColor="text1"/>
        </w:rPr>
        <w:t>cut_length</w:t>
      </w:r>
      <w:proofErr w:type="spellEnd"/>
      <w:r w:rsidR="00A94CDB">
        <w:rPr>
          <w:bCs w:val="0"/>
          <w:color w:val="000000" w:themeColor="text1"/>
        </w:rPr>
        <w:t xml:space="preserve">' parameter in the CEL-Seq pipeline) due to quality dropping beyond 66bp, which maximised mapping specificity while minimising the chance for mismatches due to sequence error. </w:t>
      </w:r>
      <w:r w:rsidRPr="0007076F">
        <w:rPr>
          <w:bCs w:val="0"/>
          <w:color w:val="000000" w:themeColor="text1"/>
        </w:rPr>
        <w:t xml:space="preserve">Demultiplexed </w:t>
      </w:r>
      <w:r w:rsidR="00E26AD3">
        <w:rPr>
          <w:bCs w:val="0"/>
          <w:color w:val="000000" w:themeColor="text1"/>
        </w:rPr>
        <w:t xml:space="preserve">and trimmed </w:t>
      </w:r>
      <w:r w:rsidRPr="0007076F">
        <w:rPr>
          <w:bCs w:val="0"/>
          <w:color w:val="000000" w:themeColor="text1"/>
        </w:rPr>
        <w:t>reads were mapped against the reference transcriptomes and read counts per transcript were generated.</w:t>
      </w:r>
      <w:r w:rsidR="003316A9">
        <w:rPr>
          <w:bCs w:val="0"/>
          <w:color w:val="000000" w:themeColor="text1"/>
        </w:rPr>
        <w:t xml:space="preserve"> On average, </w:t>
      </w:r>
      <w:r w:rsidR="00EC1BE6">
        <w:rPr>
          <w:bCs w:val="0"/>
          <w:color w:val="000000" w:themeColor="text1"/>
        </w:rPr>
        <w:t xml:space="preserve">67 and 53% of the sequence reads mapped successfully to the reference transcriptomes of </w:t>
      </w:r>
      <w:r w:rsidR="00EC1BE6">
        <w:rPr>
          <w:bCs w:val="0"/>
          <w:i/>
          <w:iCs/>
          <w:color w:val="000000" w:themeColor="text1"/>
        </w:rPr>
        <w:t xml:space="preserve">S. durum </w:t>
      </w:r>
      <w:r w:rsidR="00EC1BE6">
        <w:rPr>
          <w:bCs w:val="0"/>
          <w:color w:val="000000" w:themeColor="text1"/>
        </w:rPr>
        <w:t xml:space="preserve">and </w:t>
      </w:r>
      <w:r w:rsidR="00EC1BE6">
        <w:rPr>
          <w:bCs w:val="0"/>
          <w:i/>
          <w:iCs/>
          <w:color w:val="000000" w:themeColor="text1"/>
        </w:rPr>
        <w:t>P. onkodes</w:t>
      </w:r>
      <w:r w:rsidR="00EC1BE6">
        <w:rPr>
          <w:bCs w:val="0"/>
          <w:color w:val="000000" w:themeColor="text1"/>
        </w:rPr>
        <w:t>, respectively.</w:t>
      </w:r>
      <w:r w:rsidRPr="0007076F">
        <w:rPr>
          <w:bCs w:val="0"/>
          <w:color w:val="000000" w:themeColor="text1"/>
        </w:rPr>
        <w:t xml:space="preserve"> Samples that had less than 900,000 demultiplexed reads and less than ~ 40% mapped reads were removed from further analyses (</w:t>
      </w:r>
      <w:r w:rsidRPr="0007076F">
        <w:rPr>
          <w:bCs w:val="0"/>
          <w:i/>
          <w:iCs/>
          <w:color w:val="000000" w:themeColor="text1"/>
        </w:rPr>
        <w:t>n</w:t>
      </w:r>
      <w:r w:rsidRPr="0007076F">
        <w:rPr>
          <w:bCs w:val="0"/>
          <w:color w:val="000000" w:themeColor="text1"/>
        </w:rPr>
        <w:t xml:space="preserve"> = 2 for </w:t>
      </w:r>
      <w:r w:rsidRPr="0007076F">
        <w:rPr>
          <w:bCs w:val="0"/>
          <w:i/>
          <w:iCs/>
          <w:color w:val="000000" w:themeColor="text1"/>
        </w:rPr>
        <w:t>P. onkodes</w:t>
      </w:r>
      <w:r w:rsidRPr="0007076F">
        <w:rPr>
          <w:bCs w:val="0"/>
          <w:color w:val="000000" w:themeColor="text1"/>
        </w:rPr>
        <w:t xml:space="preserve">) (Table S6). Counts were imported into R (v 3.6.1) and corrected to account for the possibility of transcripts getting the same UMI. To correct for this and to convert UMI counts to transcript numbers the binomial method outlined in </w:t>
      </w:r>
      <w:r w:rsidRPr="0007076F">
        <w:rPr>
          <w:b/>
          <w:bCs w:val="0"/>
          <w:color w:val="000000" w:themeColor="text1"/>
        </w:rPr>
        <w:fldChar w:fldCharType="begin"/>
      </w:r>
      <w:r w:rsidR="00B27AEA">
        <w:rPr>
          <w:b/>
          <w:bCs w:val="0"/>
          <w:color w:val="000000" w:themeColor="text1"/>
        </w:rPr>
        <w:instrText xml:space="preserve"> ADDIN EN.CITE &lt;EndNote&gt;&lt;Cite AuthorYear="1"&gt;&lt;Author&gt;Grün&lt;/Author&gt;&lt;Year&gt;2014&lt;/Year&gt;&lt;RecNum&gt;780&lt;/RecNum&gt;&lt;DisplayText&gt;D Grün, L Kester and A van Oudenaarden [9]&lt;/DisplayText&gt;&lt;record&gt;&lt;rec-number&gt;780&lt;/rec-number&gt;&lt;foreign-keys&gt;&lt;key app="EN" db-id="5rdwapt2bfwze6edv59v2dwm2vapa5vptpr0" timestamp="1611278050"&gt;780&lt;/key&gt;&lt;/foreign-keys&gt;&lt;ref-type name="Journal Article"&gt;17&lt;/ref-type&gt;&lt;contributors&gt;&lt;authors&gt;&lt;author&gt;Grün, Dominic&lt;/author&gt;&lt;author&gt;Kester, Lennart&lt;/author&gt;&lt;author&gt;van Oudenaarden, Alexander&lt;/author&gt;&lt;/authors&gt;&lt;/contributors&gt;&lt;titles&gt;&lt;title&gt;Validation of noise models for single-cell transcriptomics&lt;/title&gt;&lt;secondary-title&gt;Nature Methods&lt;/secondary-title&gt;&lt;/titles&gt;&lt;pages&gt;637-640&lt;/pages&gt;&lt;volume&gt;11&lt;/volume&gt;&lt;number&gt;6&lt;/number&gt;&lt;dates&gt;&lt;year&gt;2014&lt;/year&gt;&lt;pub-dates&gt;&lt;date&gt;2014/06/01&lt;/date&gt;&lt;/pub-dates&gt;&lt;/dates&gt;&lt;isbn&gt;1548-7105&lt;/isbn&gt;&lt;urls&gt;&lt;related-urls&gt;&lt;url&gt;https://doi.org/10.1038/nmeth.2930&lt;/url&gt;&lt;/related-urls&gt;&lt;/urls&gt;&lt;electronic-resource-num&gt;10.1038/nmeth.2930&lt;/electronic-resource-num&gt;&lt;/record&gt;&lt;/Cite&gt;&lt;/EndNote&gt;</w:instrText>
      </w:r>
      <w:r w:rsidRPr="0007076F">
        <w:rPr>
          <w:b/>
          <w:bCs w:val="0"/>
          <w:color w:val="000000" w:themeColor="text1"/>
        </w:rPr>
        <w:fldChar w:fldCharType="separate"/>
      </w:r>
      <w:r w:rsidR="00B27AEA" w:rsidRPr="00B27AEA">
        <w:rPr>
          <w:bCs w:val="0"/>
          <w:noProof/>
          <w:color w:val="000000" w:themeColor="text1"/>
        </w:rPr>
        <w:t>D Grün, L Kester and A van Oudenaarden [9]</w:t>
      </w:r>
      <w:r w:rsidRPr="0007076F">
        <w:rPr>
          <w:b/>
          <w:bCs w:val="0"/>
          <w:color w:val="000000" w:themeColor="text1"/>
        </w:rPr>
        <w:fldChar w:fldCharType="end"/>
      </w:r>
      <w:r w:rsidRPr="0007076F">
        <w:rPr>
          <w:bCs w:val="0"/>
          <w:color w:val="000000" w:themeColor="text1"/>
        </w:rPr>
        <w:t xml:space="preserve"> was used. Transcripts were filtered using a cut-off of 5 counts per </w:t>
      </w:r>
      <w:r w:rsidRPr="0007076F">
        <w:rPr>
          <w:bCs w:val="0"/>
          <w:color w:val="000000" w:themeColor="text1"/>
        </w:rPr>
        <w:lastRenderedPageBreak/>
        <w:t xml:space="preserve">transcript across all samples to remove transcripts with very low counts. </w:t>
      </w:r>
      <w:r w:rsidR="005B0B83">
        <w:rPr>
          <w:bCs w:val="0"/>
          <w:color w:val="000000" w:themeColor="text1"/>
        </w:rPr>
        <w:t xml:space="preserve">After filtering, 24% of transcripts were retained for </w:t>
      </w:r>
      <w:r w:rsidR="005B0B83">
        <w:rPr>
          <w:bCs w:val="0"/>
          <w:i/>
          <w:color w:val="000000" w:themeColor="text1"/>
        </w:rPr>
        <w:t>S. durum</w:t>
      </w:r>
      <w:r w:rsidR="005B0B83">
        <w:rPr>
          <w:bCs w:val="0"/>
          <w:iCs/>
          <w:color w:val="000000" w:themeColor="text1"/>
        </w:rPr>
        <w:t xml:space="preserve"> and 20% for </w:t>
      </w:r>
      <w:r w:rsidR="005B0B83">
        <w:rPr>
          <w:bCs w:val="0"/>
          <w:i/>
          <w:color w:val="000000" w:themeColor="text1"/>
        </w:rPr>
        <w:t>P. onkodes</w:t>
      </w:r>
      <w:r w:rsidR="005B0B83">
        <w:rPr>
          <w:bCs w:val="0"/>
          <w:iCs/>
          <w:color w:val="000000" w:themeColor="text1"/>
        </w:rPr>
        <w:t xml:space="preserve">. </w:t>
      </w:r>
    </w:p>
    <w:p w14:paraId="0AF98E55" w14:textId="4853BE14" w:rsidR="0007076F" w:rsidRPr="0007076F" w:rsidRDefault="0007076F" w:rsidP="0007076F">
      <w:pPr>
        <w:spacing w:line="480" w:lineRule="auto"/>
        <w:ind w:firstLine="720"/>
        <w:rPr>
          <w:b/>
          <w:bCs w:val="0"/>
          <w:color w:val="000000" w:themeColor="text1"/>
        </w:rPr>
      </w:pPr>
      <w:r w:rsidRPr="0007076F">
        <w:rPr>
          <w:bCs w:val="0"/>
          <w:color w:val="000000" w:themeColor="text1"/>
        </w:rPr>
        <w:t xml:space="preserve">Differential gene expression analysis for each species was performed using the Bioconductor software package </w:t>
      </w:r>
      <w:proofErr w:type="spellStart"/>
      <w:r w:rsidRPr="0007076F">
        <w:rPr>
          <w:bCs w:val="0"/>
          <w:color w:val="000000" w:themeColor="text1"/>
        </w:rPr>
        <w:t>edgeR</w:t>
      </w:r>
      <w:proofErr w:type="spellEnd"/>
      <w:r w:rsidRPr="0007076F">
        <w:rPr>
          <w:bCs w:val="0"/>
          <w:color w:val="000000" w:themeColor="text1"/>
        </w:rPr>
        <w:t xml:space="preserve">, v 3.16.8 </w:t>
      </w:r>
      <w:r w:rsidRPr="0007076F">
        <w:rPr>
          <w:b/>
          <w:bCs w:val="0"/>
          <w:color w:val="000000" w:themeColor="text1"/>
        </w:rPr>
        <w:fldChar w:fldCharType="begin"/>
      </w:r>
      <w:r w:rsidR="00EF3BEA">
        <w:rPr>
          <w:bCs w:val="0"/>
          <w:color w:val="000000" w:themeColor="text1"/>
        </w:rPr>
        <w:instrText xml:space="preserve"> ADDIN EN.CITE &lt;EndNote&gt;&lt;Cite&gt;&lt;Author&gt;Robinson&lt;/Author&gt;&lt;Year&gt;2010&lt;/Year&gt;&lt;RecNum&gt;416&lt;/RecNum&gt;&lt;DisplayText&gt;[10]&lt;/DisplayText&gt;&lt;record&gt;&lt;rec-number&gt;416&lt;/rec-number&gt;&lt;foreign-keys&gt;&lt;key app="EN" db-id="5rdwapt2bfwze6edv59v2dwm2vapa5vptpr0" timestamp="1569463570"&gt;416&lt;/key&gt;&lt;/foreign-keys&gt;&lt;ref-type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ages&gt;139-140&lt;/pages&gt;&lt;volume&gt;26&lt;/volume&gt;&lt;number&gt;1&lt;/number&gt;&lt;dates&gt;&lt;year&gt;2010&lt;/year&gt;&lt;pub-dates&gt;&lt;date&gt;11/11&amp;#xD;03/29/received&amp;#xD;10/19/revised&amp;#xD;10/23/accepted&lt;/date&gt;&lt;/pub-dates&gt;&lt;/dates&gt;&lt;publisher&gt;Oxford University Press&lt;/publisher&gt;&lt;isbn&gt;1367-4803&amp;#xD;1367-4811&lt;/isbn&gt;&lt;accession-num&gt;PMC2796818&lt;/accession-num&gt;&lt;urls&gt;&lt;related-urls&gt;&lt;url&gt;http://www.ncbi.nlm.nih.gov/pmc/articles/PMC2796818/&lt;/url&gt;&lt;/related-urls&gt;&lt;/urls&gt;&lt;electronic-resource-num&gt;10.1093/bioinformatics/btp616&lt;/electronic-resource-num&gt;&lt;remote-database-name&gt;PMC&lt;/remote-database-name&gt;&lt;/record&gt;&lt;/Cite&gt;&lt;/EndNote&gt;</w:instrText>
      </w:r>
      <w:r w:rsidRPr="0007076F">
        <w:rPr>
          <w:b/>
          <w:bCs w:val="0"/>
          <w:color w:val="000000" w:themeColor="text1"/>
        </w:rPr>
        <w:fldChar w:fldCharType="separate"/>
      </w:r>
      <w:r w:rsidR="00EF3BEA">
        <w:rPr>
          <w:bCs w:val="0"/>
          <w:noProof/>
          <w:color w:val="000000" w:themeColor="text1"/>
        </w:rPr>
        <w:t>[10]</w:t>
      </w:r>
      <w:r w:rsidRPr="0007076F">
        <w:rPr>
          <w:b/>
          <w:bCs w:val="0"/>
          <w:color w:val="000000" w:themeColor="text1"/>
        </w:rPr>
        <w:fldChar w:fldCharType="end"/>
      </w:r>
      <w:r w:rsidRPr="0007076F">
        <w:rPr>
          <w:bCs w:val="0"/>
          <w:color w:val="000000" w:themeColor="text1"/>
        </w:rPr>
        <w:t xml:space="preserve">. Negative binomial (NB) generalised linear models (GLMs) were fitted to transcript counts and common dispersions (0.169 and 0.293 for </w:t>
      </w:r>
      <w:r w:rsidRPr="0007076F">
        <w:rPr>
          <w:bCs w:val="0"/>
          <w:i/>
          <w:iCs/>
          <w:color w:val="000000" w:themeColor="text1"/>
        </w:rPr>
        <w:t>P. onkodes</w:t>
      </w:r>
      <w:r w:rsidRPr="0007076F">
        <w:rPr>
          <w:bCs w:val="0"/>
          <w:color w:val="000000" w:themeColor="text1"/>
        </w:rPr>
        <w:t xml:space="preserve"> and </w:t>
      </w:r>
      <w:r w:rsidRPr="0007076F">
        <w:rPr>
          <w:bCs w:val="0"/>
          <w:i/>
          <w:iCs/>
          <w:color w:val="000000" w:themeColor="text1"/>
        </w:rPr>
        <w:t>S. durum</w:t>
      </w:r>
      <w:r w:rsidRPr="0007076F">
        <w:rPr>
          <w:bCs w:val="0"/>
          <w:color w:val="000000" w:themeColor="text1"/>
        </w:rPr>
        <w:t xml:space="preserve">, respectively) were estimated </w:t>
      </w:r>
      <w:r w:rsidRPr="0007076F">
        <w:rPr>
          <w:b/>
          <w:bCs w:val="0"/>
          <w:color w:val="000000" w:themeColor="text1"/>
        </w:rPr>
        <w:fldChar w:fldCharType="begin"/>
      </w:r>
      <w:r w:rsidR="00EF3BEA">
        <w:rPr>
          <w:bCs w:val="0"/>
          <w:color w:val="000000" w:themeColor="text1"/>
        </w:rPr>
        <w:instrText xml:space="preserve"> ADDIN EN.CITE &lt;EndNote&gt;&lt;Cite&gt;&lt;Author&gt;Robinson&lt;/Author&gt;&lt;Year&gt;2010&lt;/Year&gt;&lt;RecNum&gt;416&lt;/RecNum&gt;&lt;DisplayText&gt;[10]&lt;/DisplayText&gt;&lt;record&gt;&lt;rec-number&gt;416&lt;/rec-number&gt;&lt;foreign-keys&gt;&lt;key app="EN" db-id="5rdwapt2bfwze6edv59v2dwm2vapa5vptpr0" timestamp="1569463570"&gt;416&lt;/key&gt;&lt;/foreign-keys&gt;&lt;ref-type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ages&gt;139-140&lt;/pages&gt;&lt;volume&gt;26&lt;/volume&gt;&lt;number&gt;1&lt;/number&gt;&lt;dates&gt;&lt;year&gt;2010&lt;/year&gt;&lt;pub-dates&gt;&lt;date&gt;11/11&amp;#xD;03/29/received&amp;#xD;10/19/revised&amp;#xD;10/23/accepted&lt;/date&gt;&lt;/pub-dates&gt;&lt;/dates&gt;&lt;publisher&gt;Oxford University Press&lt;/publisher&gt;&lt;isbn&gt;1367-4803&amp;#xD;1367-4811&lt;/isbn&gt;&lt;accession-num&gt;PMC2796818&lt;/accession-num&gt;&lt;urls&gt;&lt;related-urls&gt;&lt;url&gt;http://www.ncbi.nlm.nih.gov/pmc/articles/PMC2796818/&lt;/url&gt;&lt;/related-urls&gt;&lt;/urls&gt;&lt;electronic-resource-num&gt;10.1093/bioinformatics/btp616&lt;/electronic-resource-num&gt;&lt;remote-database-name&gt;PMC&lt;/remote-database-name&gt;&lt;/record&gt;&lt;/Cite&gt;&lt;/EndNote&gt;</w:instrText>
      </w:r>
      <w:r w:rsidRPr="0007076F">
        <w:rPr>
          <w:b/>
          <w:bCs w:val="0"/>
          <w:color w:val="000000" w:themeColor="text1"/>
        </w:rPr>
        <w:fldChar w:fldCharType="separate"/>
      </w:r>
      <w:r w:rsidR="00EF3BEA">
        <w:rPr>
          <w:bCs w:val="0"/>
          <w:noProof/>
          <w:color w:val="000000" w:themeColor="text1"/>
        </w:rPr>
        <w:t>[10]</w:t>
      </w:r>
      <w:r w:rsidRPr="0007076F">
        <w:rPr>
          <w:b/>
          <w:bCs w:val="0"/>
          <w:color w:val="000000" w:themeColor="text1"/>
        </w:rPr>
        <w:fldChar w:fldCharType="end"/>
      </w:r>
      <w:r w:rsidRPr="0007076F">
        <w:rPr>
          <w:bCs w:val="0"/>
          <w:color w:val="000000" w:themeColor="text1"/>
        </w:rPr>
        <w:t>. A design matrix of the experiment was used for analysis to identify expression in response to treatment.</w:t>
      </w:r>
      <w:r w:rsidRPr="0007076F" w:rsidDel="00045A73">
        <w:rPr>
          <w:bCs w:val="0"/>
          <w:color w:val="000000" w:themeColor="text1"/>
        </w:rPr>
        <w:t xml:space="preserve"> </w:t>
      </w:r>
      <w:r w:rsidRPr="0007076F">
        <w:rPr>
          <w:bCs w:val="0"/>
          <w:color w:val="000000" w:themeColor="text1"/>
        </w:rPr>
        <w:t>Quasi-likelihood (QL) F-tests were used in determining differential expression using default settings and the parameter ‘robust=TRUE’ to identify genes that were outliers from the mean-NB dispersion trend. Pairwise comparisons were conducted on specified constructed parameters (i.e., treatments) where genes that exhibited positive or negative log-fold changes were identified. Differentially expressed genes (DEGs) between treatments with a false discovery rate (FDR) cut-off of 5% and a log</w:t>
      </w:r>
      <w:r w:rsidRPr="001C74F5">
        <w:rPr>
          <w:bCs w:val="0"/>
          <w:color w:val="000000" w:themeColor="text1"/>
          <w:vertAlign w:val="subscript"/>
        </w:rPr>
        <w:t>2</w:t>
      </w:r>
      <w:r w:rsidRPr="0007076F">
        <w:rPr>
          <w:bCs w:val="0"/>
          <w:color w:val="000000" w:themeColor="text1"/>
        </w:rPr>
        <w:t>-fold-change</w:t>
      </w:r>
      <w:r w:rsidR="007A5BC3">
        <w:rPr>
          <w:bCs w:val="0"/>
          <w:color w:val="000000" w:themeColor="text1"/>
        </w:rPr>
        <w:t xml:space="preserve"> above 0.3</w:t>
      </w:r>
      <w:r w:rsidR="00491E21">
        <w:rPr>
          <w:bCs w:val="0"/>
          <w:color w:val="000000" w:themeColor="text1"/>
        </w:rPr>
        <w:t xml:space="preserve"> </w:t>
      </w:r>
      <w:r w:rsidR="007A5BC3">
        <w:rPr>
          <w:bCs w:val="0"/>
          <w:color w:val="000000" w:themeColor="text1"/>
        </w:rPr>
        <w:t>(log</w:t>
      </w:r>
      <w:r w:rsidR="007A5BC3">
        <w:rPr>
          <w:bCs w:val="0"/>
          <w:color w:val="000000" w:themeColor="text1"/>
          <w:vertAlign w:val="subscript"/>
        </w:rPr>
        <w:t>2</w:t>
      </w:r>
      <w:r w:rsidR="007A5BC3">
        <w:rPr>
          <w:bCs w:val="0"/>
          <w:color w:val="000000" w:themeColor="text1"/>
        </w:rPr>
        <w:t>FC</w:t>
      </w:r>
      <w:r w:rsidR="00491E21">
        <w:rPr>
          <w:bCs w:val="0"/>
          <w:color w:val="000000" w:themeColor="text1"/>
        </w:rPr>
        <w:t>&gt;0.3</w:t>
      </w:r>
      <w:r w:rsidRPr="0007076F">
        <w:rPr>
          <w:bCs w:val="0"/>
          <w:color w:val="000000" w:themeColor="text1"/>
        </w:rPr>
        <w:t>, i.e., a fold-change o</w:t>
      </w:r>
      <w:r w:rsidR="00071B20">
        <w:rPr>
          <w:bCs w:val="0"/>
          <w:color w:val="000000" w:themeColor="text1"/>
        </w:rPr>
        <w:t>ver</w:t>
      </w:r>
      <w:r w:rsidRPr="0007076F">
        <w:rPr>
          <w:bCs w:val="0"/>
          <w:color w:val="000000" w:themeColor="text1"/>
        </w:rPr>
        <w:t xml:space="preserve"> 1.2), were extracted and the datasets concatenated to use for downstream analyses and visualisations. FDR correction was applied using the </w:t>
      </w:r>
      <w:proofErr w:type="spellStart"/>
      <w:r w:rsidRPr="0007076F">
        <w:rPr>
          <w:bCs w:val="0"/>
          <w:color w:val="000000" w:themeColor="text1"/>
        </w:rPr>
        <w:t>Benjamini</w:t>
      </w:r>
      <w:proofErr w:type="spellEnd"/>
      <w:r w:rsidRPr="0007076F">
        <w:rPr>
          <w:bCs w:val="0"/>
          <w:color w:val="000000" w:themeColor="text1"/>
        </w:rPr>
        <w:t xml:space="preserve">-Hochberg method on the </w:t>
      </w:r>
      <w:r w:rsidRPr="0007076F">
        <w:rPr>
          <w:bCs w:val="0"/>
          <w:i/>
          <w:iCs/>
          <w:color w:val="000000" w:themeColor="text1"/>
        </w:rPr>
        <w:t>p</w:t>
      </w:r>
      <w:r w:rsidRPr="0007076F">
        <w:rPr>
          <w:bCs w:val="0"/>
          <w:color w:val="000000" w:themeColor="text1"/>
        </w:rPr>
        <w:t xml:space="preserve">-values </w:t>
      </w:r>
      <w:r w:rsidRPr="0007076F">
        <w:rPr>
          <w:b/>
          <w:bCs w:val="0"/>
          <w:color w:val="000000" w:themeColor="text1"/>
        </w:rPr>
        <w:fldChar w:fldCharType="begin"/>
      </w:r>
      <w:r w:rsidR="00EF3BEA">
        <w:rPr>
          <w:bCs w:val="0"/>
          <w:color w:val="000000" w:themeColor="text1"/>
        </w:rPr>
        <w:instrText xml:space="preserve"> ADDIN EN.CITE &lt;EndNote&gt;&lt;Cite&gt;&lt;Author&gt;Robinson&lt;/Author&gt;&lt;Year&gt;2010&lt;/Year&gt;&lt;RecNum&gt;416&lt;/RecNum&gt;&lt;DisplayText&gt;[10]&lt;/DisplayText&gt;&lt;record&gt;&lt;rec-number&gt;416&lt;/rec-number&gt;&lt;foreign-keys&gt;&lt;key app="EN" db-id="5rdwapt2bfwze6edv59v2dwm2vapa5vptpr0" timestamp="1569463570"&gt;416&lt;/key&gt;&lt;/foreign-keys&gt;&lt;ref-type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ages&gt;139-140&lt;/pages&gt;&lt;volume&gt;26&lt;/volume&gt;&lt;number&gt;1&lt;/number&gt;&lt;dates&gt;&lt;year&gt;2010&lt;/year&gt;&lt;pub-dates&gt;&lt;date&gt;11/11&amp;#xD;03/29/received&amp;#xD;10/19/revised&amp;#xD;10/23/accepted&lt;/date&gt;&lt;/pub-dates&gt;&lt;/dates&gt;&lt;publisher&gt;Oxford University Press&lt;/publisher&gt;&lt;isbn&gt;1367-4803&amp;#xD;1367-4811&lt;/isbn&gt;&lt;accession-num&gt;PMC2796818&lt;/accession-num&gt;&lt;urls&gt;&lt;related-urls&gt;&lt;url&gt;http://www.ncbi.nlm.nih.gov/pmc/articles/PMC2796818/&lt;/url&gt;&lt;/related-urls&gt;&lt;/urls&gt;&lt;electronic-resource-num&gt;10.1093/bioinformatics/btp616&lt;/electronic-resource-num&gt;&lt;remote-database-name&gt;PMC&lt;/remote-database-name&gt;&lt;/record&gt;&lt;/Cite&gt;&lt;/EndNote&gt;</w:instrText>
      </w:r>
      <w:r w:rsidRPr="0007076F">
        <w:rPr>
          <w:b/>
          <w:bCs w:val="0"/>
          <w:color w:val="000000" w:themeColor="text1"/>
        </w:rPr>
        <w:fldChar w:fldCharType="separate"/>
      </w:r>
      <w:r w:rsidR="00EF3BEA">
        <w:rPr>
          <w:bCs w:val="0"/>
          <w:noProof/>
          <w:color w:val="000000" w:themeColor="text1"/>
        </w:rPr>
        <w:t>[10]</w:t>
      </w:r>
      <w:r w:rsidRPr="0007076F">
        <w:rPr>
          <w:b/>
          <w:bCs w:val="0"/>
          <w:color w:val="000000" w:themeColor="text1"/>
        </w:rPr>
        <w:fldChar w:fldCharType="end"/>
      </w:r>
      <w:r w:rsidRPr="0007076F">
        <w:rPr>
          <w:bCs w:val="0"/>
          <w:color w:val="000000" w:themeColor="text1"/>
        </w:rPr>
        <w:t xml:space="preserve">. </w:t>
      </w:r>
    </w:p>
    <w:p w14:paraId="22D600AA" w14:textId="70B49FAE" w:rsidR="0007076F" w:rsidRPr="0007076F" w:rsidRDefault="0007076F" w:rsidP="0007076F">
      <w:pPr>
        <w:spacing w:line="480" w:lineRule="auto"/>
        <w:rPr>
          <w:b/>
          <w:bCs w:val="0"/>
          <w:color w:val="000000" w:themeColor="text1"/>
        </w:rPr>
      </w:pPr>
      <w:r w:rsidRPr="0007076F">
        <w:rPr>
          <w:bCs w:val="0"/>
          <w:color w:val="000000" w:themeColor="text1"/>
        </w:rPr>
        <w:tab/>
        <w:t>Visualisation of DEGs was performed using variance stabilising transformed (</w:t>
      </w:r>
      <w:proofErr w:type="spellStart"/>
      <w:r w:rsidRPr="0007076F">
        <w:rPr>
          <w:bCs w:val="0"/>
          <w:color w:val="000000" w:themeColor="text1"/>
        </w:rPr>
        <w:t>vst</w:t>
      </w:r>
      <w:proofErr w:type="spellEnd"/>
      <w:r w:rsidRPr="0007076F">
        <w:rPr>
          <w:bCs w:val="0"/>
          <w:color w:val="000000" w:themeColor="text1"/>
        </w:rPr>
        <w:t xml:space="preserve">) counts from </w:t>
      </w:r>
      <w:proofErr w:type="spellStart"/>
      <w:r w:rsidRPr="0007076F">
        <w:rPr>
          <w:bCs w:val="0"/>
          <w:color w:val="000000" w:themeColor="text1"/>
        </w:rPr>
        <w:t>edgeR</w:t>
      </w:r>
      <w:proofErr w:type="spellEnd"/>
      <w:r w:rsidRPr="0007076F">
        <w:rPr>
          <w:bCs w:val="0"/>
          <w:color w:val="000000" w:themeColor="text1"/>
        </w:rPr>
        <w:t xml:space="preserve">. Principal component analyses were performed for each species to explore the variation in DEGs within species (Figure S2). Heatmaps were constructed for DEGs from each species using the R package </w:t>
      </w:r>
      <w:proofErr w:type="spellStart"/>
      <w:r w:rsidRPr="0007076F">
        <w:rPr>
          <w:bCs w:val="0"/>
          <w:color w:val="000000" w:themeColor="text1"/>
        </w:rPr>
        <w:t>pheatmap</w:t>
      </w:r>
      <w:proofErr w:type="spellEnd"/>
      <w:r w:rsidRPr="0007076F">
        <w:rPr>
          <w:bCs w:val="0"/>
          <w:color w:val="000000" w:themeColor="text1"/>
        </w:rPr>
        <w:t xml:space="preserve"> (v 1.0.12) </w:t>
      </w:r>
      <w:r w:rsidRPr="0007076F">
        <w:rPr>
          <w:b/>
          <w:bCs w:val="0"/>
          <w:color w:val="000000" w:themeColor="text1"/>
        </w:rPr>
        <w:fldChar w:fldCharType="begin"/>
      </w:r>
      <w:r w:rsidR="00EF3BEA">
        <w:rPr>
          <w:bCs w:val="0"/>
          <w:color w:val="000000" w:themeColor="text1"/>
        </w:rPr>
        <w:instrText xml:space="preserve"> ADDIN EN.CITE &lt;EndNote&gt;&lt;Cite&gt;&lt;Author&gt;Kolde&lt;/Author&gt;&lt;Year&gt;2015&lt;/Year&gt;&lt;RecNum&gt;555&lt;/RecNum&gt;&lt;DisplayText&gt;[11]&lt;/DisplayText&gt;&lt;record&gt;&lt;rec-number&gt;555&lt;/rec-number&gt;&lt;foreign-keys&gt;&lt;key app="EN" db-id="5rdwapt2bfwze6edv59v2dwm2vapa5vptpr0" timestamp="1572323527"&gt;555&lt;/key&gt;&lt;/foreign-keys&gt;&lt;ref-type name="Computer Program"&gt;9&lt;/ref-type&gt;&lt;contributors&gt;&lt;authors&gt;&lt;author&gt;Kolde, R&lt;/author&gt;&lt;/authors&gt;&lt;secondary-authors&gt;&lt;author&gt;Kolde, R&lt;/author&gt;&lt;/secondary-authors&gt;&lt;/contributors&gt;&lt;titles&gt;&lt;title&gt;pheatmap: Pretty heatmaps&lt;/title&gt;&lt;/titles&gt;&lt;edition&gt;1.0.12&lt;/edition&gt;&lt;dates&gt;&lt;year&gt;2015&lt;/year&gt;&lt;/dates&gt;&lt;urls&gt;&lt;/urls&gt;&lt;/record&gt;&lt;/Cite&gt;&lt;/EndNote&gt;</w:instrText>
      </w:r>
      <w:r w:rsidRPr="0007076F">
        <w:rPr>
          <w:b/>
          <w:bCs w:val="0"/>
          <w:color w:val="000000" w:themeColor="text1"/>
        </w:rPr>
        <w:fldChar w:fldCharType="separate"/>
      </w:r>
      <w:r w:rsidR="00EF3BEA">
        <w:rPr>
          <w:bCs w:val="0"/>
          <w:noProof/>
          <w:color w:val="000000" w:themeColor="text1"/>
        </w:rPr>
        <w:t>[11]</w:t>
      </w:r>
      <w:r w:rsidRPr="0007076F">
        <w:rPr>
          <w:b/>
          <w:bCs w:val="0"/>
          <w:color w:val="000000" w:themeColor="text1"/>
        </w:rPr>
        <w:fldChar w:fldCharType="end"/>
      </w:r>
      <w:r w:rsidRPr="0007076F">
        <w:rPr>
          <w:bCs w:val="0"/>
          <w:color w:val="000000" w:themeColor="text1"/>
        </w:rPr>
        <w:t>. An FDR cut-off of 0.05 was used when creating the heatmap.</w:t>
      </w:r>
      <w:r w:rsidR="00B05E4C">
        <w:rPr>
          <w:bCs w:val="0"/>
          <w:color w:val="000000" w:themeColor="text1"/>
        </w:rPr>
        <w:t xml:space="preserve"> For </w:t>
      </w:r>
      <w:r w:rsidR="00B05E4C">
        <w:rPr>
          <w:bCs w:val="0"/>
          <w:i/>
          <w:iCs/>
          <w:color w:val="000000" w:themeColor="text1"/>
        </w:rPr>
        <w:t>S. durum</w:t>
      </w:r>
      <w:r w:rsidR="00B05E4C">
        <w:rPr>
          <w:bCs w:val="0"/>
          <w:color w:val="000000" w:themeColor="text1"/>
        </w:rPr>
        <w:t>, because they displayed 0 DEGs (FDR &lt; 0.05), a heatmap was created with expressed genes that were not significant (FDR &gt; 0.05) to visualise if they were totally inactive or not (see Figure S3).</w:t>
      </w:r>
      <w:r w:rsidRPr="0007076F">
        <w:rPr>
          <w:bCs w:val="0"/>
          <w:color w:val="000000" w:themeColor="text1"/>
        </w:rPr>
        <w:t xml:space="preserve"> Functional overrepresentation analysis of differentially expressed transcripts was performed in the </w:t>
      </w:r>
      <w:proofErr w:type="spellStart"/>
      <w:r w:rsidRPr="0007076F">
        <w:rPr>
          <w:bCs w:val="0"/>
          <w:color w:val="000000" w:themeColor="text1"/>
        </w:rPr>
        <w:t>Cytoscape</w:t>
      </w:r>
      <w:proofErr w:type="spellEnd"/>
      <w:r w:rsidRPr="0007076F">
        <w:rPr>
          <w:bCs w:val="0"/>
          <w:color w:val="000000" w:themeColor="text1"/>
        </w:rPr>
        <w:t xml:space="preserve"> </w:t>
      </w:r>
      <w:r w:rsidRPr="0007076F">
        <w:rPr>
          <w:b/>
          <w:bCs w:val="0"/>
          <w:color w:val="000000" w:themeColor="text1"/>
        </w:rPr>
        <w:fldChar w:fldCharType="begin"/>
      </w:r>
      <w:r w:rsidR="00EF3BEA">
        <w:rPr>
          <w:bCs w:val="0"/>
          <w:color w:val="000000" w:themeColor="text1"/>
        </w:rPr>
        <w:instrText xml:space="preserve"> ADDIN EN.CITE &lt;EndNote&gt;&lt;Cite&gt;&lt;Author&gt;Shannon&lt;/Author&gt;&lt;Year&gt;2003&lt;/Year&gt;&lt;RecNum&gt;373&lt;/RecNum&gt;&lt;DisplayText&gt;[12]&lt;/DisplayText&gt;&lt;record&gt;&lt;rec-number&gt;373&lt;/rec-number&gt;&lt;foreign-keys&gt;&lt;key app="EN" db-id="5rdwapt2bfwze6edv59v2dwm2vapa5vptpr0" timestamp="1569463569"&gt;373&lt;/key&gt;&lt;/foreign-keys&gt;&lt;ref-type name="Journal Article"&gt;17&lt;/ref-type&gt;&lt;contributors&gt;&lt;authors&gt;&lt;author&gt;Shannon, P.&lt;/author&gt;&lt;author&gt;Markiel, A.&lt;/author&gt;&lt;author&gt;Ozier, O.&lt;/author&gt;&lt;author&gt;Baliga, N. S.&lt;/author&gt;&lt;author&gt;Wang, J. T.&lt;/author&gt;&lt;author&gt;Ramage, D.&lt;/author&gt;&lt;author&gt;Amin, N.&lt;/author&gt;&lt;author&gt;Schwikowski, B.&lt;/author&gt;&lt;author&gt;Ideker, T.&lt;/author&gt;&lt;/authors&gt;&lt;/contributors&gt;&lt;auth-address&gt;Institute for Systems Biology, Seattle, Washington 98103, USA.&lt;/auth-address&gt;&lt;titles&gt;&lt;title&gt;Cytoscape: A software environment for integrated models of biomolecular interaction networks&lt;/title&gt;&lt;secondary-title&gt;Genome Research&lt;/secondary-title&gt;&lt;alt-title&gt;Genome Res&lt;/alt-title&gt;&lt;/titles&gt;&lt;pages&gt;2498-504&lt;/pages&gt;&lt;volume&gt;13&lt;/volume&gt;&lt;number&gt;11&lt;/number&gt;&lt;edition&gt;2003/11/05&lt;/edition&gt;&lt;keywords&gt;&lt;keyword&gt;Algorithms&lt;/keyword&gt;&lt;keyword&gt;Archaeal Proteins/chemistry/metabolism&lt;/keyword&gt;&lt;keyword&gt;Bacteriophage lambda/physiology&lt;/keyword&gt;&lt;keyword&gt;Computational Biology/*methods&lt;/keyword&gt;&lt;keyword&gt;Halobacterium/chemistry/cytology/physiology&lt;/keyword&gt;&lt;keyword&gt;Internet&lt;/keyword&gt;&lt;keyword&gt;*Models, Biological&lt;/keyword&gt;&lt;keyword&gt;*Neural Networks (Computer)&lt;/keyword&gt;&lt;keyword&gt;Phenotype&lt;/keyword&gt;&lt;keyword&gt;Software/*trends&lt;/keyword&gt;&lt;keyword&gt;*Software Design&lt;/keyword&gt;&lt;keyword&gt;Stochastic Processes&lt;/keyword&gt;&lt;/keywords&gt;&lt;dates&gt;&lt;year&gt;2003&lt;/year&gt;&lt;pub-dates&gt;&lt;date&gt;Nov&lt;/date&gt;&lt;/pub-dates&gt;&lt;/dates&gt;&lt;isbn&gt;1088-9051 (Print)&amp;#xD;1088-9051&lt;/isbn&gt;&lt;accession-num&gt;14597658&lt;/accession-num&gt;&lt;urls&gt;&lt;/urls&gt;&lt;custom2&gt;PMC403769&lt;/custom2&gt;&lt;electronic-resource-num&gt;10.1101/gr.1239303&lt;/electronic-resource-num&gt;&lt;remote-database-provider&gt;NLM&lt;/remote-database-provider&gt;&lt;language&gt;eng&lt;/language&gt;&lt;/record&gt;&lt;/Cite&gt;&lt;/EndNote&gt;</w:instrText>
      </w:r>
      <w:r w:rsidRPr="0007076F">
        <w:rPr>
          <w:b/>
          <w:bCs w:val="0"/>
          <w:color w:val="000000" w:themeColor="text1"/>
        </w:rPr>
        <w:fldChar w:fldCharType="separate"/>
      </w:r>
      <w:r w:rsidR="00EF3BEA">
        <w:rPr>
          <w:bCs w:val="0"/>
          <w:noProof/>
          <w:color w:val="000000" w:themeColor="text1"/>
        </w:rPr>
        <w:t>[12]</w:t>
      </w:r>
      <w:r w:rsidRPr="0007076F">
        <w:rPr>
          <w:b/>
          <w:bCs w:val="0"/>
          <w:color w:val="000000" w:themeColor="text1"/>
        </w:rPr>
        <w:fldChar w:fldCharType="end"/>
      </w:r>
      <w:r w:rsidRPr="0007076F">
        <w:rPr>
          <w:bCs w:val="0"/>
          <w:color w:val="000000" w:themeColor="text1"/>
        </w:rPr>
        <w:t xml:space="preserve"> plugin </w:t>
      </w:r>
      <w:proofErr w:type="spellStart"/>
      <w:r w:rsidRPr="0007076F">
        <w:rPr>
          <w:bCs w:val="0"/>
          <w:color w:val="000000" w:themeColor="text1"/>
        </w:rPr>
        <w:t>BiNGO</w:t>
      </w:r>
      <w:proofErr w:type="spellEnd"/>
      <w:r w:rsidRPr="0007076F">
        <w:rPr>
          <w:bCs w:val="0"/>
          <w:color w:val="000000" w:themeColor="text1"/>
        </w:rPr>
        <w:t xml:space="preserve"> </w:t>
      </w:r>
      <w:r w:rsidRPr="0007076F">
        <w:rPr>
          <w:b/>
          <w:bCs w:val="0"/>
          <w:color w:val="000000" w:themeColor="text1"/>
        </w:rPr>
        <w:fldChar w:fldCharType="begin"/>
      </w:r>
      <w:r w:rsidR="00EF3BEA">
        <w:rPr>
          <w:bCs w:val="0"/>
          <w:color w:val="000000" w:themeColor="text1"/>
        </w:rPr>
        <w:instrText xml:space="preserve"> ADDIN EN.CITE &lt;EndNote&gt;&lt;Cite&gt;&lt;Author&gt;Heymans&lt;/Author&gt;&lt;Year&gt;2005&lt;/Year&gt;&lt;RecNum&gt;374&lt;/RecNum&gt;&lt;DisplayText&gt;[13]&lt;/DisplayText&gt;&lt;record&gt;&lt;rec-number&gt;374&lt;/rec-number&gt;&lt;foreign-keys&gt;&lt;key app="EN" db-id="5rdwapt2bfwze6edv59v2dwm2vapa5vptpr0" timestamp="1569463569"&gt;374&lt;/key&gt;&lt;/foreign-keys&gt;&lt;ref-type name="Journal Article"&gt;17&lt;/ref-type&gt;&lt;contributors&gt;&lt;authors&gt;&lt;author&gt;Heymans, Karel&lt;/author&gt;&lt;author&gt;Kuiper, Martin&lt;/author&gt;&lt;author&gt;Maere, Steven&lt;/author&gt;&lt;/authors&gt;&lt;/contributors&gt;&lt;titles&gt;&lt;title&gt;BiNGO: a Cytoscape plugin to assess overrepresentation of Gene Ontology categories in Biological Networks&lt;/title&gt;&lt;secondary-title&gt;Bioinformatics&lt;/secondary-title&gt;&lt;/titles&gt;&lt;pages&gt;3448-3449&lt;/pages&gt;&lt;volume&gt;21&lt;/volume&gt;&lt;number&gt;16&lt;/number&gt;&lt;dates&gt;&lt;year&gt;2005&lt;/year&gt;&lt;/dates&gt;&lt;isbn&gt;1367-4803&lt;/isbn&gt;&lt;urls&gt;&lt;related-urls&gt;&lt;url&gt;https://dx.doi.org/10.1093/bioinformatics/bti551&lt;/url&gt;&lt;/related-urls&gt;&lt;/urls&gt;&lt;electronic-resource-num&gt;10.1093/bioinformatics/bti551&lt;/electronic-resource-num&gt;&lt;access-date&gt;2/26/2019&lt;/access-date&gt;&lt;/record&gt;&lt;/Cite&gt;&lt;/EndNote&gt;</w:instrText>
      </w:r>
      <w:r w:rsidRPr="0007076F">
        <w:rPr>
          <w:b/>
          <w:bCs w:val="0"/>
          <w:color w:val="000000" w:themeColor="text1"/>
        </w:rPr>
        <w:fldChar w:fldCharType="separate"/>
      </w:r>
      <w:r w:rsidR="00EF3BEA">
        <w:rPr>
          <w:bCs w:val="0"/>
          <w:noProof/>
          <w:color w:val="000000" w:themeColor="text1"/>
        </w:rPr>
        <w:t>[13]</w:t>
      </w:r>
      <w:r w:rsidRPr="0007076F">
        <w:rPr>
          <w:b/>
          <w:bCs w:val="0"/>
          <w:color w:val="000000" w:themeColor="text1"/>
        </w:rPr>
        <w:fldChar w:fldCharType="end"/>
      </w:r>
      <w:r w:rsidRPr="0007076F">
        <w:rPr>
          <w:bCs w:val="0"/>
          <w:color w:val="000000" w:themeColor="text1"/>
        </w:rPr>
        <w:t xml:space="preserve">, </w:t>
      </w:r>
      <w:r w:rsidRPr="0007076F">
        <w:rPr>
          <w:bCs w:val="0"/>
          <w:color w:val="000000" w:themeColor="text1"/>
        </w:rPr>
        <w:lastRenderedPageBreak/>
        <w:t xml:space="preserve">where hypergeometric tests of gene ontology (GO) categories, specifically “biological process”, were used, with the annotated transcriptome of </w:t>
      </w:r>
      <w:r w:rsidRPr="0007076F">
        <w:rPr>
          <w:bCs w:val="0"/>
          <w:i/>
          <w:iCs/>
          <w:color w:val="000000" w:themeColor="text1"/>
        </w:rPr>
        <w:t>P. onkodes</w:t>
      </w:r>
      <w:r w:rsidRPr="0007076F">
        <w:rPr>
          <w:bCs w:val="0"/>
          <w:color w:val="000000" w:themeColor="text1"/>
        </w:rPr>
        <w:t xml:space="preserve"> as a ‘background’, and a </w:t>
      </w:r>
      <w:r w:rsidRPr="0007076F">
        <w:rPr>
          <w:bCs w:val="0"/>
          <w:i/>
          <w:iCs/>
          <w:color w:val="000000" w:themeColor="text1"/>
        </w:rPr>
        <w:t>p</w:t>
      </w:r>
      <w:r w:rsidRPr="0007076F">
        <w:rPr>
          <w:bCs w:val="0"/>
          <w:color w:val="000000" w:themeColor="text1"/>
        </w:rPr>
        <w:t>-value (</w:t>
      </w:r>
      <w:proofErr w:type="spellStart"/>
      <w:r w:rsidRPr="0007076F">
        <w:rPr>
          <w:bCs w:val="0"/>
          <w:color w:val="000000" w:themeColor="text1"/>
        </w:rPr>
        <w:t>Benajmini</w:t>
      </w:r>
      <w:proofErr w:type="spellEnd"/>
      <w:r w:rsidRPr="0007076F">
        <w:rPr>
          <w:bCs w:val="0"/>
          <w:color w:val="000000" w:themeColor="text1"/>
        </w:rPr>
        <w:t xml:space="preserve">-Hochberg FDR correction) cut-off of 0.01. </w:t>
      </w:r>
      <w:proofErr w:type="spellStart"/>
      <w:r w:rsidRPr="0007076F">
        <w:rPr>
          <w:bCs w:val="0"/>
          <w:color w:val="000000" w:themeColor="text1"/>
        </w:rPr>
        <w:t>BiNGO</w:t>
      </w:r>
      <w:proofErr w:type="spellEnd"/>
      <w:r w:rsidRPr="0007076F">
        <w:rPr>
          <w:bCs w:val="0"/>
          <w:color w:val="000000" w:themeColor="text1"/>
        </w:rPr>
        <w:t xml:space="preserve"> also allowed for identification of terminal node biological processes. REVIGO </w:t>
      </w:r>
      <w:r w:rsidRPr="0007076F">
        <w:rPr>
          <w:b/>
          <w:bCs w:val="0"/>
          <w:color w:val="000000" w:themeColor="text1"/>
        </w:rPr>
        <w:fldChar w:fldCharType="begin"/>
      </w:r>
      <w:r w:rsidR="00EF3BEA">
        <w:rPr>
          <w:bCs w:val="0"/>
          <w:color w:val="000000" w:themeColor="text1"/>
        </w:rPr>
        <w:instrText xml:space="preserve"> ADDIN EN.CITE &lt;EndNote&gt;&lt;Cite&gt;&lt;Author&gt;Supek&lt;/Author&gt;&lt;Year&gt;2011&lt;/Year&gt;&lt;RecNum&gt;309&lt;/RecNum&gt;&lt;DisplayText&gt;[14]&lt;/DisplayText&gt;&lt;record&gt;&lt;rec-number&gt;309&lt;/rec-number&gt;&lt;foreign-keys&gt;&lt;key app="EN" db-id="5rdwapt2bfwze6edv59v2dwm2vapa5vptpr0" timestamp="1569463569"&gt;309&lt;/key&gt;&lt;/foreign-keys&gt;&lt;ref-type name="Journal Article"&gt;17&lt;/ref-type&gt;&lt;contributors&gt;&lt;authors&gt;&lt;author&gt;Supek, Fran&lt;/author&gt;&lt;author&gt;Bošnjak, Matko&lt;/author&gt;&lt;author&gt;Škunca, Nives&lt;/author&gt;&lt;author&gt;Šmuc, Tomislav&lt;/author&gt;&lt;/authors&gt;&lt;/contributors&gt;&lt;titles&gt;&lt;title&gt;REVIGO summarizes and visualizes long lists of gene ontology terms&lt;/title&gt;&lt;secondary-title&gt;PLOS ONE&lt;/secondary-title&gt;&lt;/titles&gt;&lt;pages&gt;e21800&lt;/pages&gt;&lt;volume&gt;6&lt;/volume&gt;&lt;number&gt;7&lt;/number&gt;&lt;dates&gt;&lt;year&gt;2011&lt;/year&gt;&lt;/dates&gt;&lt;publisher&gt;Public Library of Science (PLoS)&lt;/publisher&gt;&lt;isbn&gt;1932-6203&lt;/isbn&gt;&lt;urls&gt;&lt;related-urls&gt;&lt;url&gt;https://dx.doi.org/10.1371/journal.pone.0021800&lt;/url&gt;&lt;/related-urls&gt;&lt;/urls&gt;&lt;electronic-resource-num&gt;10.1371/journal.pone.0021800&lt;/electronic-resource-num&gt;&lt;/record&gt;&lt;/Cite&gt;&lt;/EndNote&gt;</w:instrText>
      </w:r>
      <w:r w:rsidRPr="0007076F">
        <w:rPr>
          <w:b/>
          <w:bCs w:val="0"/>
          <w:color w:val="000000" w:themeColor="text1"/>
        </w:rPr>
        <w:fldChar w:fldCharType="separate"/>
      </w:r>
      <w:r w:rsidR="00EF3BEA">
        <w:rPr>
          <w:bCs w:val="0"/>
          <w:noProof/>
          <w:color w:val="000000" w:themeColor="text1"/>
        </w:rPr>
        <w:t>[14]</w:t>
      </w:r>
      <w:r w:rsidRPr="0007076F">
        <w:rPr>
          <w:b/>
          <w:bCs w:val="0"/>
          <w:color w:val="000000" w:themeColor="text1"/>
        </w:rPr>
        <w:fldChar w:fldCharType="end"/>
      </w:r>
      <w:r w:rsidRPr="0007076F">
        <w:rPr>
          <w:bCs w:val="0"/>
          <w:color w:val="000000" w:themeColor="text1"/>
        </w:rPr>
        <w:t xml:space="preserve"> was used to summarise and visualise gene ontology terms obtained from enrichment analysis.</w:t>
      </w:r>
    </w:p>
    <w:p w14:paraId="06E42C90" w14:textId="339FEA1B" w:rsidR="0007076F" w:rsidRPr="0007076F" w:rsidRDefault="0007076F" w:rsidP="0007076F">
      <w:pPr>
        <w:spacing w:line="480" w:lineRule="auto"/>
        <w:ind w:firstLine="720"/>
        <w:rPr>
          <w:b/>
          <w:bCs w:val="0"/>
          <w:color w:val="000000" w:themeColor="text1"/>
        </w:rPr>
      </w:pPr>
      <w:r w:rsidRPr="0007076F">
        <w:rPr>
          <w:bCs w:val="0"/>
          <w:color w:val="000000" w:themeColor="text1"/>
        </w:rPr>
        <w:t xml:space="preserve">Similarity searches for DEGs were conducted using NCBI’s (National </w:t>
      </w:r>
      <w:proofErr w:type="spellStart"/>
      <w:r w:rsidRPr="0007076F">
        <w:rPr>
          <w:bCs w:val="0"/>
          <w:color w:val="000000" w:themeColor="text1"/>
        </w:rPr>
        <w:t>Center</w:t>
      </w:r>
      <w:proofErr w:type="spellEnd"/>
      <w:r w:rsidRPr="0007076F">
        <w:rPr>
          <w:bCs w:val="0"/>
          <w:color w:val="000000" w:themeColor="text1"/>
        </w:rPr>
        <w:t xml:space="preserve"> for Biotechnology Information) Basic Local Alignment Search Tool (BLAST) </w:t>
      </w:r>
      <w:r w:rsidRPr="0007076F">
        <w:rPr>
          <w:b/>
          <w:bCs w:val="0"/>
          <w:color w:val="000000" w:themeColor="text1"/>
        </w:rPr>
        <w:fldChar w:fldCharType="begin"/>
      </w:r>
      <w:r w:rsidR="00EF3BEA">
        <w:rPr>
          <w:bCs w:val="0"/>
          <w:color w:val="000000" w:themeColor="text1"/>
        </w:rPr>
        <w:instrText xml:space="preserve"> ADDIN EN.CITE &lt;EndNote&gt;&lt;Cite&gt;&lt;Author&gt;Altschul&lt;/Author&gt;&lt;Year&gt;1990&lt;/Year&gt;&lt;RecNum&gt;385&lt;/RecNum&gt;&lt;DisplayText&gt;[15]&lt;/DisplayText&gt;&lt;record&gt;&lt;rec-number&gt;385&lt;/rec-number&gt;&lt;foreign-keys&gt;&lt;key app="EN" db-id="5rdwapt2bfwze6edv59v2dwm2vapa5vptpr0" timestamp="1569463569"&gt;385&lt;/key&gt;&lt;/foreign-keys&gt;&lt;ref-type name="Journal Article"&gt;17&lt;/ref-type&gt;&lt;contributors&gt;&lt;authors&gt;&lt;author&gt;Altschul, S. F.&lt;/author&gt;&lt;author&gt;Gish, W.&lt;/author&gt;&lt;author&gt;Miller, W.&lt;/author&gt;&lt;author&gt;Myers, E. W.&lt;/author&gt;&lt;author&gt;Lipman, D. J.&lt;/author&gt;&lt;/authors&gt;&lt;/contributors&gt;&lt;titles&gt;&lt;title&gt;Basic local alignment search tool&lt;/title&gt;&lt;secondary-title&gt;Journal of Molecular Biology&lt;/secondary-title&gt;&lt;/titles&gt;&lt;pages&gt;403-410&lt;/pages&gt;&lt;volume&gt;215&lt;/volume&gt;&lt;dates&gt;&lt;year&gt;1990&lt;/year&gt;&lt;/dates&gt;&lt;urls&gt;&lt;/urls&gt;&lt;electronic-resource-num&gt;10.1101/pdb.top17&lt;/electronic-resource-num&gt;&lt;/record&gt;&lt;/Cite&gt;&lt;/EndNote&gt;</w:instrText>
      </w:r>
      <w:r w:rsidRPr="0007076F">
        <w:rPr>
          <w:b/>
          <w:bCs w:val="0"/>
          <w:color w:val="000000" w:themeColor="text1"/>
        </w:rPr>
        <w:fldChar w:fldCharType="separate"/>
      </w:r>
      <w:r w:rsidR="00EF3BEA">
        <w:rPr>
          <w:bCs w:val="0"/>
          <w:noProof/>
          <w:color w:val="000000" w:themeColor="text1"/>
        </w:rPr>
        <w:t>[15]</w:t>
      </w:r>
      <w:r w:rsidRPr="0007076F">
        <w:rPr>
          <w:b/>
          <w:bCs w:val="0"/>
          <w:color w:val="000000" w:themeColor="text1"/>
        </w:rPr>
        <w:fldChar w:fldCharType="end"/>
      </w:r>
      <w:r w:rsidRPr="0007076F">
        <w:rPr>
          <w:bCs w:val="0"/>
          <w:color w:val="000000" w:themeColor="text1"/>
        </w:rPr>
        <w:t xml:space="preserve"> using the default e-value cut-off of 0.01. In order to identify KEGG pathway components we used the KEGG Mapper – Reconstruct Pathway tool </w:t>
      </w:r>
      <w:r w:rsidRPr="0007076F">
        <w:rPr>
          <w:b/>
          <w:bCs w:val="0"/>
          <w:color w:val="000000" w:themeColor="text1"/>
        </w:rPr>
        <w:fldChar w:fldCharType="begin"/>
      </w:r>
      <w:r w:rsidR="00EF3BEA">
        <w:rPr>
          <w:bCs w:val="0"/>
          <w:color w:val="000000" w:themeColor="text1"/>
        </w:rPr>
        <w:instrText xml:space="preserve"> ADDIN EN.CITE &lt;EndNote&gt;&lt;Cite&gt;&lt;Author&gt;Kanehisa&lt;/Author&gt;&lt;Year&gt;2016&lt;/Year&gt;&lt;RecNum&gt;658&lt;/RecNum&gt;&lt;DisplayText&gt;[16]&lt;/DisplayText&gt;&lt;record&gt;&lt;rec-number&gt;658&lt;/rec-number&gt;&lt;foreign-keys&gt;&lt;key app="EN" db-id="5rdwapt2bfwze6edv59v2dwm2vapa5vptpr0" timestamp="1587965435"&gt;658&lt;/key&gt;&lt;/foreign-keys&gt;&lt;ref-type name="Journal Article"&gt;17&lt;/ref-type&gt;&lt;contributors&gt;&lt;authors&gt;&lt;author&gt;Kanehisa, Minoru&lt;/author&gt;&lt;author&gt;Sato, Yoko&lt;/author&gt;&lt;author&gt;Kawashima, Masayuki&lt;/author&gt;&lt;author&gt;Furumichi, Miho&lt;/author&gt;&lt;author&gt;Tanabe, Mao&lt;/author&gt;&lt;/authors&gt;&lt;/contributors&gt;&lt;titles&gt;&lt;title&gt;KEGG as a reference resource for gene and protein annotation&lt;/title&gt;&lt;secondary-title&gt;Nucleic Acids Research&lt;/secondary-title&gt;&lt;/titles&gt;&lt;pages&gt;D457-D462&lt;/pages&gt;&lt;volume&gt;44&lt;/volume&gt;&lt;number&gt;D1&lt;/number&gt;&lt;dates&gt;&lt;year&gt;2016&lt;/year&gt;&lt;/dates&gt;&lt;isbn&gt;0305-1048&lt;/isbn&gt;&lt;urls&gt;&lt;related-urls&gt;&lt;url&gt;https://doi.org/10.1093/nar/gkv1070&lt;/url&gt;&lt;/related-urls&gt;&lt;/urls&gt;&lt;electronic-resource-num&gt;10.1093/nar/gkv1070&lt;/electronic-resource-num&gt;&lt;access-date&gt;4/27/2020&lt;/access-date&gt;&lt;/record&gt;&lt;/Cite&gt;&lt;/EndNote&gt;</w:instrText>
      </w:r>
      <w:r w:rsidRPr="0007076F">
        <w:rPr>
          <w:b/>
          <w:bCs w:val="0"/>
          <w:color w:val="000000" w:themeColor="text1"/>
        </w:rPr>
        <w:fldChar w:fldCharType="separate"/>
      </w:r>
      <w:r w:rsidR="00EF3BEA">
        <w:rPr>
          <w:bCs w:val="0"/>
          <w:noProof/>
          <w:color w:val="000000" w:themeColor="text1"/>
        </w:rPr>
        <w:t>[16]</w:t>
      </w:r>
      <w:r w:rsidRPr="0007076F">
        <w:rPr>
          <w:b/>
          <w:bCs w:val="0"/>
          <w:color w:val="000000" w:themeColor="text1"/>
        </w:rPr>
        <w:fldChar w:fldCharType="end"/>
      </w:r>
      <w:r w:rsidRPr="0007076F">
        <w:rPr>
          <w:bCs w:val="0"/>
          <w:color w:val="000000" w:themeColor="text1"/>
        </w:rPr>
        <w:t xml:space="preserve">. KEGG annotations were obtained for all expressed and differentially expressed genes for each species using previous KEGG annotations from previously annotated transcriptomes </w:t>
      </w:r>
      <w:r w:rsidRPr="0007076F">
        <w:rPr>
          <w:b/>
          <w:bCs w:val="0"/>
          <w:color w:val="000000" w:themeColor="text1"/>
        </w:rPr>
        <w:fldChar w:fldCharType="begin"/>
      </w:r>
      <w:r w:rsidR="0039089F">
        <w:rPr>
          <w:bCs w:val="0"/>
          <w:color w:val="000000" w:themeColor="text1"/>
        </w:rPr>
        <w:instrText xml:space="preserve"> ADDIN EN.CITE &lt;EndNote&gt;&lt;Cite&gt;&lt;Author&gt;Page&lt;/Author&gt;&lt;Year&gt;2019&lt;/Year&gt;&lt;RecNum&gt;519&lt;/RecNum&gt;&lt;DisplayText&gt;[4]&lt;/DisplayText&gt;&lt;record&gt;&lt;rec-number&gt;519&lt;/rec-number&gt;&lt;foreign-keys&gt;&lt;key app="EN" db-id="5rdwapt2bfwze6edv59v2dwm2vapa5vptpr0" timestamp="1569463570"&gt;519&lt;/key&gt;&lt;/foreign-keys&gt;&lt;ref-type name="Journal Article"&gt;17&lt;/ref-type&gt;&lt;contributors&gt;&lt;authors&gt;&lt;author&gt;Page, Tessa M.&lt;/author&gt;&lt;author&gt;McDougall, Carmel&lt;/author&gt;&lt;author&gt;Diaz-Pulido, Guillermo&lt;/author&gt;&lt;/authors&gt;&lt;/contributors&gt;&lt;titles&gt;&lt;title&gt;&lt;style face="italic" font="default" size="100%"&gt;De novo&lt;/style&gt;&lt;style face="normal" font="default" size="100%"&gt; transcriptome assembly for four species of crustose coralline algae and analysis of unique orthologous genes&lt;/style&gt;&lt;/title&gt;&lt;secondary-title&gt;Scientific Reports&lt;/secondary-title&gt;&lt;/titles&gt;&lt;pages&gt;12611&lt;/pages&gt;&lt;volume&gt;9&lt;/volume&gt;&lt;number&gt;1&lt;/number&gt;&lt;dates&gt;&lt;year&gt;2019&lt;/year&gt;&lt;pub-dates&gt;&lt;date&gt;2019/08/30&lt;/date&gt;&lt;/pub-dates&gt;&lt;/dates&gt;&lt;isbn&gt;2045-2322&lt;/isbn&gt;&lt;urls&gt;&lt;related-urls&gt;&lt;url&gt;https://doi.org/10.1038/s41598-019-48283-1&lt;/url&gt;&lt;/related-urls&gt;&lt;/urls&gt;&lt;electronic-resource-num&gt;10.1038/s41598-019-48283-1&lt;/electronic-resource-num&gt;&lt;/record&gt;&lt;/Cite&gt;&lt;/EndNote&gt;</w:instrText>
      </w:r>
      <w:r w:rsidRPr="0007076F">
        <w:rPr>
          <w:b/>
          <w:bCs w:val="0"/>
          <w:color w:val="000000" w:themeColor="text1"/>
        </w:rPr>
        <w:fldChar w:fldCharType="separate"/>
      </w:r>
      <w:r w:rsidR="0039089F">
        <w:rPr>
          <w:bCs w:val="0"/>
          <w:noProof/>
          <w:color w:val="000000" w:themeColor="text1"/>
        </w:rPr>
        <w:t>[4]</w:t>
      </w:r>
      <w:r w:rsidRPr="0007076F">
        <w:rPr>
          <w:b/>
          <w:bCs w:val="0"/>
          <w:color w:val="000000" w:themeColor="text1"/>
        </w:rPr>
        <w:fldChar w:fldCharType="end"/>
      </w:r>
      <w:r w:rsidRPr="0007076F">
        <w:rPr>
          <w:bCs w:val="0"/>
          <w:color w:val="000000" w:themeColor="text1"/>
        </w:rPr>
        <w:t xml:space="preserve">. </w:t>
      </w:r>
      <w:r w:rsidRPr="0007076F">
        <w:rPr>
          <w:bCs w:val="0"/>
        </w:rPr>
        <w:t>Proposed cellular locations and pathway involvement of DEGs used in Figure 4 were based on BLASTX similarity searches and KEGG Mapper Reconstruction results. Subcellular localisations were obtained through BLASTX and further checked on the subcellular localisation database, COMPARTMENTS (https://compartments.jensenlab.org/).</w:t>
      </w:r>
    </w:p>
    <w:p w14:paraId="7A8E49A1" w14:textId="77777777" w:rsidR="0007076F" w:rsidRPr="0007076F" w:rsidRDefault="0007076F" w:rsidP="0007076F">
      <w:pPr>
        <w:spacing w:line="480" w:lineRule="auto"/>
        <w:rPr>
          <w:b/>
          <w:bCs w:val="0"/>
          <w:color w:val="000000" w:themeColor="text1"/>
        </w:rPr>
      </w:pPr>
    </w:p>
    <w:p w14:paraId="3FABA3F8" w14:textId="033686A9" w:rsidR="0007076F" w:rsidRPr="00E40A0D" w:rsidRDefault="0007076F" w:rsidP="0007076F">
      <w:pPr>
        <w:pStyle w:val="Heading2"/>
        <w:spacing w:before="0" w:line="480" w:lineRule="auto"/>
        <w:rPr>
          <w:rFonts w:ascii="Times New Roman" w:hAnsi="Times New Roman" w:cs="Times New Roman"/>
          <w:b w:val="0"/>
          <w:bCs/>
          <w:color w:val="000000" w:themeColor="text1"/>
          <w:sz w:val="24"/>
          <w:szCs w:val="24"/>
        </w:rPr>
      </w:pPr>
      <w:r w:rsidRPr="00E40A0D">
        <w:rPr>
          <w:rFonts w:ascii="Times New Roman" w:hAnsi="Times New Roman" w:cs="Times New Roman"/>
          <w:bCs/>
          <w:color w:val="000000" w:themeColor="text1"/>
          <w:sz w:val="24"/>
          <w:szCs w:val="24"/>
        </w:rPr>
        <w:t>RT-qPCR validation of expression results from CEL-</w:t>
      </w:r>
      <w:proofErr w:type="spellStart"/>
      <w:r w:rsidRPr="00E40A0D">
        <w:rPr>
          <w:rFonts w:ascii="Times New Roman" w:hAnsi="Times New Roman" w:cs="Times New Roman"/>
          <w:bCs/>
          <w:color w:val="000000" w:themeColor="text1"/>
          <w:sz w:val="24"/>
          <w:szCs w:val="24"/>
        </w:rPr>
        <w:t>Seq</w:t>
      </w:r>
      <w:proofErr w:type="spellEnd"/>
      <w:r w:rsidRPr="00E40A0D">
        <w:rPr>
          <w:rFonts w:ascii="Times New Roman" w:hAnsi="Times New Roman" w:cs="Times New Roman"/>
          <w:bCs/>
          <w:color w:val="000000" w:themeColor="text1"/>
          <w:sz w:val="24"/>
          <w:szCs w:val="24"/>
        </w:rPr>
        <w:t xml:space="preserve"> analysis</w:t>
      </w:r>
    </w:p>
    <w:p w14:paraId="66278B24" w14:textId="000D1A45" w:rsidR="007E69E4" w:rsidRDefault="0007076F" w:rsidP="00FB3CA4">
      <w:pPr>
        <w:spacing w:line="480" w:lineRule="auto"/>
        <w:ind w:firstLine="720"/>
        <w:rPr>
          <w:b/>
          <w:bCs w:val="0"/>
          <w:i/>
          <w:iCs/>
          <w:color w:val="000000" w:themeColor="text1"/>
        </w:rPr>
      </w:pPr>
      <w:r w:rsidRPr="0007076F">
        <w:rPr>
          <w:bCs w:val="0"/>
          <w:color w:val="000000" w:themeColor="text1"/>
        </w:rPr>
        <w:t xml:space="preserve">For qPCR validation of CEL-Seq </w:t>
      </w:r>
      <w:proofErr w:type="spellStart"/>
      <w:r w:rsidRPr="0007076F">
        <w:rPr>
          <w:bCs w:val="0"/>
          <w:color w:val="000000" w:themeColor="text1"/>
        </w:rPr>
        <w:t>edgeR</w:t>
      </w:r>
      <w:proofErr w:type="spellEnd"/>
      <w:r w:rsidRPr="0007076F">
        <w:rPr>
          <w:bCs w:val="0"/>
          <w:color w:val="000000" w:themeColor="text1"/>
        </w:rPr>
        <w:t xml:space="preserve"> expression analysis, reference genes and genes of interest (GOI) were chosen from </w:t>
      </w:r>
      <w:proofErr w:type="spellStart"/>
      <w:r w:rsidRPr="0007076F">
        <w:rPr>
          <w:bCs w:val="0"/>
          <w:color w:val="000000" w:themeColor="text1"/>
        </w:rPr>
        <w:t>edgeR</w:t>
      </w:r>
      <w:proofErr w:type="spellEnd"/>
      <w:r w:rsidRPr="0007076F">
        <w:rPr>
          <w:bCs w:val="0"/>
          <w:color w:val="000000" w:themeColor="text1"/>
        </w:rPr>
        <w:t xml:space="preserve"> normalised reads data. </w:t>
      </w:r>
      <w:r w:rsidR="00FB3CA4">
        <w:rPr>
          <w:bCs w:val="0"/>
          <w:color w:val="000000" w:themeColor="text1"/>
        </w:rPr>
        <w:t xml:space="preserve">To obtain candidate reference genes </w:t>
      </w:r>
      <w:r w:rsidR="00FB3CA4" w:rsidRPr="0007076F">
        <w:rPr>
          <w:bCs w:val="0"/>
          <w:color w:val="000000" w:themeColor="text1"/>
        </w:rPr>
        <w:t xml:space="preserve">we performed reciprocal BLAST analyses with the transcriptomes of </w:t>
      </w:r>
      <w:r w:rsidR="00FB3CA4" w:rsidRPr="0007076F">
        <w:rPr>
          <w:bCs w:val="0"/>
          <w:i/>
          <w:iCs/>
          <w:color w:val="000000" w:themeColor="text1"/>
        </w:rPr>
        <w:t xml:space="preserve">S. durum </w:t>
      </w:r>
      <w:r w:rsidR="00FB3CA4" w:rsidRPr="0007076F">
        <w:rPr>
          <w:bCs w:val="0"/>
          <w:color w:val="000000" w:themeColor="text1"/>
        </w:rPr>
        <w:t xml:space="preserve">and </w:t>
      </w:r>
      <w:r w:rsidR="00FB3CA4" w:rsidRPr="0007076F">
        <w:rPr>
          <w:bCs w:val="0"/>
          <w:i/>
          <w:iCs/>
          <w:color w:val="000000" w:themeColor="text1"/>
        </w:rPr>
        <w:t>P. onkodes</w:t>
      </w:r>
      <w:r w:rsidR="00FB3CA4" w:rsidRPr="0007076F">
        <w:rPr>
          <w:bCs w:val="0"/>
          <w:color w:val="000000" w:themeColor="text1"/>
        </w:rPr>
        <w:t xml:space="preserve"> to find orthologues of reference genes that have been used with other species of red algae (i.e., the fleshy, red alga </w:t>
      </w:r>
      <w:proofErr w:type="spellStart"/>
      <w:r w:rsidR="00FB3CA4" w:rsidRPr="0007076F">
        <w:rPr>
          <w:bCs w:val="0"/>
          <w:i/>
          <w:iCs/>
          <w:color w:val="000000" w:themeColor="text1"/>
        </w:rPr>
        <w:t>Pyropia</w:t>
      </w:r>
      <w:proofErr w:type="spellEnd"/>
      <w:r w:rsidR="00FB3CA4" w:rsidRPr="0007076F">
        <w:rPr>
          <w:bCs w:val="0"/>
          <w:i/>
          <w:iCs/>
          <w:color w:val="000000" w:themeColor="text1"/>
        </w:rPr>
        <w:t xml:space="preserve"> </w:t>
      </w:r>
      <w:proofErr w:type="spellStart"/>
      <w:r w:rsidR="00FB3CA4" w:rsidRPr="0007076F">
        <w:rPr>
          <w:bCs w:val="0"/>
          <w:i/>
          <w:iCs/>
          <w:color w:val="000000" w:themeColor="text1"/>
        </w:rPr>
        <w:t>haitanensisi</w:t>
      </w:r>
      <w:proofErr w:type="spellEnd"/>
      <w:r w:rsidR="00FB3CA4" w:rsidRPr="0007076F">
        <w:rPr>
          <w:bCs w:val="0"/>
          <w:color w:val="000000" w:themeColor="text1"/>
        </w:rPr>
        <w:t xml:space="preserve">), such as ß-tubulin and ubiquitin conjugating enzyme (UBC), and glyceraldehyde 3-phosphate dehydrogenase (GAPDH) </w:t>
      </w:r>
      <w:r w:rsidR="00FB3CA4" w:rsidRPr="0007076F">
        <w:rPr>
          <w:b/>
          <w:bCs w:val="0"/>
          <w:color w:val="000000" w:themeColor="text1"/>
        </w:rPr>
        <w:fldChar w:fldCharType="begin"/>
      </w:r>
      <w:r w:rsidR="00B60DD1">
        <w:rPr>
          <w:bCs w:val="0"/>
          <w:color w:val="000000" w:themeColor="text1"/>
        </w:rPr>
        <w:instrText xml:space="preserve"> ADDIN EN.CITE &lt;EndNote&gt;&lt;Cite&gt;&lt;Author&gt;Li&lt;/Author&gt;&lt;Year&gt;2014&lt;/Year&gt;&lt;RecNum&gt;800&lt;/RecNum&gt;&lt;DisplayText&gt;[17]&lt;/DisplayText&gt;&lt;record&gt;&lt;rec-number&gt;800&lt;/rec-number&gt;&lt;foreign-keys&gt;&lt;key app="EN" db-id="5rdwapt2bfwze6edv59v2dwm2vapa5vptpr0" timestamp="1612135967"&gt;800&lt;/key&gt;&lt;/foreign-keys&gt;&lt;ref-type name="Journal Article"&gt;17&lt;/ref-type&gt;&lt;contributors&gt;&lt;authors&gt;&lt;author&gt;Li, Bing&lt;/author&gt;&lt;author&gt;Chen, Changsheng&lt;/author&gt;&lt;author&gt;Xu, Yan&lt;/author&gt;&lt;author&gt;Ji, Dehua&lt;/author&gt;&lt;author&gt;Xie, Chaotian&lt;/author&gt;&lt;/authors&gt;&lt;/contributors&gt;&lt;titles&gt;&lt;title&gt;&lt;style face="normal" font="default" size="100%"&gt;Validation of housekeeping genes as internal controls for studying the gene expression in &lt;/style&gt;&lt;style face="italic" font="default" size="100%"&gt;Pyropia haitanensis&lt;/style&gt;&lt;style face="normal" font="default" size="100%"&gt; (Bangiales, Rhodophyta) by quantitative real-time PCR&lt;/style&gt;&lt;/title&gt;&lt;secondary-title&gt;Acta Oceanologica Sinica&lt;/secondary-title&gt;&lt;/titles&gt;&lt;pages&gt;152-159&lt;/pages&gt;&lt;volume&gt;33&lt;/volume&gt;&lt;number&gt;9&lt;/number&gt;&lt;dates&gt;&lt;year&gt;2014&lt;/year&gt;&lt;/dates&gt;&lt;isbn&gt;0253-505X&lt;/isbn&gt;&lt;urls&gt;&lt;/urls&gt;&lt;electronic-resource-num&gt;10.1007/s13131-014-0526-2&lt;/electronic-resource-num&gt;&lt;/record&gt;&lt;/Cite&gt;&lt;/EndNote&gt;</w:instrText>
      </w:r>
      <w:r w:rsidR="00FB3CA4" w:rsidRPr="0007076F">
        <w:rPr>
          <w:b/>
          <w:bCs w:val="0"/>
          <w:color w:val="000000" w:themeColor="text1"/>
        </w:rPr>
        <w:fldChar w:fldCharType="separate"/>
      </w:r>
      <w:r w:rsidR="00B60DD1">
        <w:rPr>
          <w:bCs w:val="0"/>
          <w:noProof/>
          <w:color w:val="000000" w:themeColor="text1"/>
        </w:rPr>
        <w:t>[17]</w:t>
      </w:r>
      <w:r w:rsidR="00FB3CA4" w:rsidRPr="0007076F">
        <w:rPr>
          <w:b/>
          <w:bCs w:val="0"/>
          <w:color w:val="000000" w:themeColor="text1"/>
        </w:rPr>
        <w:fldChar w:fldCharType="end"/>
      </w:r>
      <w:r w:rsidR="00FB3CA4" w:rsidRPr="0007076F">
        <w:rPr>
          <w:bCs w:val="0"/>
          <w:color w:val="000000" w:themeColor="text1"/>
        </w:rPr>
        <w:t>.</w:t>
      </w:r>
      <w:r w:rsidR="00FB3CA4">
        <w:rPr>
          <w:bCs w:val="0"/>
          <w:color w:val="000000" w:themeColor="text1"/>
        </w:rPr>
        <w:t xml:space="preserve"> We also assessed whether better-performing reference genes could be </w:t>
      </w:r>
      <w:r w:rsidR="00FB3CA4">
        <w:rPr>
          <w:bCs w:val="0"/>
          <w:color w:val="000000" w:themeColor="text1"/>
        </w:rPr>
        <w:lastRenderedPageBreak/>
        <w:t>identified from our transcriptomics data. To do this</w:t>
      </w:r>
      <w:r w:rsidR="00FC0295">
        <w:rPr>
          <w:bCs w:val="0"/>
          <w:color w:val="000000" w:themeColor="text1"/>
        </w:rPr>
        <w:t xml:space="preserve"> </w:t>
      </w:r>
      <w:r w:rsidRPr="0007076F">
        <w:rPr>
          <w:bCs w:val="0"/>
          <w:color w:val="000000" w:themeColor="text1"/>
        </w:rPr>
        <w:t xml:space="preserve">we used a coefficient variation (CV) model to assess the degree of variation for each gene from </w:t>
      </w:r>
      <w:proofErr w:type="spellStart"/>
      <w:r w:rsidRPr="0007076F">
        <w:rPr>
          <w:bCs w:val="0"/>
          <w:color w:val="000000" w:themeColor="text1"/>
        </w:rPr>
        <w:t>edgeR</w:t>
      </w:r>
      <w:proofErr w:type="spellEnd"/>
      <w:r w:rsidRPr="0007076F">
        <w:rPr>
          <w:bCs w:val="0"/>
          <w:color w:val="000000" w:themeColor="text1"/>
        </w:rPr>
        <w:t xml:space="preserve"> normalised reads data</w:t>
      </w:r>
      <w:r w:rsidR="00FB3CA4">
        <w:rPr>
          <w:bCs w:val="0"/>
          <w:color w:val="000000" w:themeColor="text1"/>
        </w:rPr>
        <w:t>, and selected several genes with low variation to identify candidate reference genes</w:t>
      </w:r>
      <w:r w:rsidRPr="0007076F">
        <w:rPr>
          <w:bCs w:val="0"/>
          <w:color w:val="000000" w:themeColor="text1"/>
        </w:rPr>
        <w:t xml:space="preserve"> </w:t>
      </w:r>
      <w:r w:rsidRPr="0007076F">
        <w:rPr>
          <w:b/>
          <w:bCs w:val="0"/>
          <w:color w:val="000000" w:themeColor="text1"/>
        </w:rPr>
        <w:fldChar w:fldCharType="begin"/>
      </w:r>
      <w:r w:rsidR="00B60DD1">
        <w:rPr>
          <w:bCs w:val="0"/>
          <w:color w:val="000000" w:themeColor="text1"/>
        </w:rPr>
        <w:instrText xml:space="preserve"> ADDIN EN.CITE &lt;EndNote&gt;&lt;Cite&gt;&lt;Author&gt;Zeng&lt;/Author&gt;&lt;Year&gt;2016&lt;/Year&gt;&lt;RecNum&gt;799&lt;/RecNum&gt;&lt;DisplayText&gt;[18]&lt;/DisplayText&gt;&lt;record&gt;&lt;rec-number&gt;799&lt;/rec-number&gt;&lt;foreign-keys&gt;&lt;key app="EN" db-id="5rdwapt2bfwze6edv59v2dwm2vapa5vptpr0" timestamp="1612135265"&gt;799&lt;/key&gt;&lt;/foreign-keys&gt;&lt;ref-type name="Journal Article"&gt;17&lt;/ref-type&gt;&lt;contributors&gt;&lt;authors&gt;&lt;author&gt;Zeng, Jingyao&lt;/author&gt;&lt;author&gt;Liu, Shoucheng&lt;/author&gt;&lt;author&gt;Zhao, Yuhui&lt;/author&gt;&lt;author&gt;Tan, Xinyu&lt;/author&gt;&lt;author&gt;Aljohi, Hasan Awad&lt;/author&gt;&lt;author&gt;Liu, Wanfei&lt;/author&gt;&lt;author&gt;Hu, Songnian&lt;/author&gt;&lt;/authors&gt;&lt;/contributors&gt;&lt;titles&gt;&lt;title&gt;Identification and analysis of house-keeping and tissue-specific genes based on RNA-seq data sets across 15 mouse tissues&lt;/title&gt;&lt;secondary-title&gt;Gene&lt;/secondary-title&gt;&lt;/titles&gt;&lt;pages&gt;560-570&lt;/pages&gt;&lt;volume&gt;576&lt;/volume&gt;&lt;number&gt;1, Part 3&lt;/number&gt;&lt;keywords&gt;&lt;keyword&gt;RNA sequencing&lt;/keyword&gt;&lt;keyword&gt;Mouse&lt;/keyword&gt;&lt;keyword&gt;Transcriptome profiling&lt;/keyword&gt;&lt;keyword&gt;Housekeeping&lt;/keyword&gt;&lt;keyword&gt;Tissue specificity&lt;/keyword&gt;&lt;keyword&gt;Real-time PCR&lt;/keyword&gt;&lt;/keywords&gt;&lt;dates&gt;&lt;year&gt;2016&lt;/year&gt;&lt;pub-dates&gt;&lt;date&gt;2016/01/15/&lt;/date&gt;&lt;/pub-dates&gt;&lt;/dates&gt;&lt;isbn&gt;0378-1119&lt;/isbn&gt;&lt;urls&gt;&lt;related-urls&gt;&lt;url&gt;http://www.sciencedirect.com/science/article/pii/S0378111915013074&lt;/url&gt;&lt;/related-urls&gt;&lt;/urls&gt;&lt;electronic-resource-num&gt;10.1016/j.gene.2015.11.003&lt;/electronic-resource-num&gt;&lt;/record&gt;&lt;/Cite&gt;&lt;/EndNote&gt;</w:instrText>
      </w:r>
      <w:r w:rsidRPr="0007076F">
        <w:rPr>
          <w:b/>
          <w:bCs w:val="0"/>
          <w:color w:val="000000" w:themeColor="text1"/>
        </w:rPr>
        <w:fldChar w:fldCharType="separate"/>
      </w:r>
      <w:r w:rsidR="00B60DD1">
        <w:rPr>
          <w:bCs w:val="0"/>
          <w:noProof/>
          <w:color w:val="000000" w:themeColor="text1"/>
        </w:rPr>
        <w:t>[18]</w:t>
      </w:r>
      <w:r w:rsidRPr="0007076F">
        <w:rPr>
          <w:b/>
          <w:bCs w:val="0"/>
          <w:color w:val="000000" w:themeColor="text1"/>
        </w:rPr>
        <w:fldChar w:fldCharType="end"/>
      </w:r>
      <w:r w:rsidRPr="0007076F">
        <w:rPr>
          <w:bCs w:val="0"/>
          <w:color w:val="000000" w:themeColor="text1"/>
        </w:rPr>
        <w:t>. To calculate the CV, we found the ratio of the standard deviation to the mean of each gene, high CVs indicate more variation in expression of a gene, whereas low CVs indicate low variation. Reference genes were chosen if CV &lt; 0.47</w:t>
      </w:r>
      <w:r w:rsidR="00FB3CA4">
        <w:rPr>
          <w:bCs w:val="0"/>
          <w:color w:val="000000" w:themeColor="text1"/>
        </w:rPr>
        <w:t xml:space="preserve"> and if they</w:t>
      </w:r>
      <w:r w:rsidRPr="0007076F">
        <w:rPr>
          <w:bCs w:val="0"/>
          <w:color w:val="000000" w:themeColor="text1"/>
        </w:rPr>
        <w:t xml:space="preserve"> had a low standard deviation</w:t>
      </w:r>
      <w:r w:rsidR="00FB3CA4">
        <w:rPr>
          <w:bCs w:val="0"/>
          <w:color w:val="000000" w:themeColor="text1"/>
        </w:rPr>
        <w:t>.</w:t>
      </w:r>
      <w:r w:rsidR="007E69E4">
        <w:rPr>
          <w:bCs w:val="0"/>
          <w:color w:val="000000" w:themeColor="text1"/>
        </w:rPr>
        <w:t xml:space="preserve"> </w:t>
      </w:r>
      <w:r w:rsidRPr="0007076F">
        <w:rPr>
          <w:bCs w:val="0"/>
          <w:color w:val="000000" w:themeColor="text1"/>
        </w:rPr>
        <w:t xml:space="preserve">GAPDH was only used as a reference gene for </w:t>
      </w:r>
      <w:r w:rsidRPr="0007076F">
        <w:rPr>
          <w:bCs w:val="0"/>
          <w:i/>
          <w:iCs/>
          <w:color w:val="000000" w:themeColor="text1"/>
        </w:rPr>
        <w:t>S. durum</w:t>
      </w:r>
      <w:r w:rsidRPr="0007076F">
        <w:rPr>
          <w:bCs w:val="0"/>
          <w:color w:val="000000" w:themeColor="text1"/>
        </w:rPr>
        <w:t xml:space="preserve"> as it was found to have a low CV, however, GAPDH was used as a GOI for </w:t>
      </w:r>
      <w:r w:rsidRPr="0007076F">
        <w:rPr>
          <w:bCs w:val="0"/>
          <w:i/>
          <w:iCs/>
          <w:color w:val="000000" w:themeColor="text1"/>
        </w:rPr>
        <w:t xml:space="preserve">P. onkodes </w:t>
      </w:r>
      <w:r w:rsidRPr="0007076F">
        <w:rPr>
          <w:bCs w:val="0"/>
          <w:color w:val="000000" w:themeColor="text1"/>
        </w:rPr>
        <w:t>because it was found to be significantly differently expressed, with a high CV.</w:t>
      </w:r>
      <w:r w:rsidRPr="0007076F">
        <w:rPr>
          <w:bCs w:val="0"/>
          <w:i/>
          <w:iCs/>
          <w:color w:val="000000" w:themeColor="text1"/>
        </w:rPr>
        <w:t xml:space="preserve"> </w:t>
      </w:r>
    </w:p>
    <w:p w14:paraId="36BE2BF3" w14:textId="07E42EF2" w:rsidR="0007076F" w:rsidRPr="0007076F" w:rsidRDefault="0007076F" w:rsidP="00FB3CA4">
      <w:pPr>
        <w:spacing w:line="480" w:lineRule="auto"/>
        <w:ind w:firstLine="720"/>
        <w:rPr>
          <w:b/>
          <w:bCs w:val="0"/>
          <w:color w:val="000000" w:themeColor="text1"/>
        </w:rPr>
      </w:pPr>
      <w:r w:rsidRPr="0007076F">
        <w:rPr>
          <w:bCs w:val="0"/>
          <w:color w:val="000000" w:themeColor="text1"/>
        </w:rPr>
        <w:t xml:space="preserve">Primers for GOIs were obtained from exploring </w:t>
      </w:r>
      <w:r w:rsidRPr="0007076F">
        <w:rPr>
          <w:bCs w:val="0"/>
          <w:i/>
          <w:iCs/>
          <w:color w:val="000000" w:themeColor="text1"/>
        </w:rPr>
        <w:t>P. onkodes</w:t>
      </w:r>
      <w:r w:rsidRPr="0007076F">
        <w:rPr>
          <w:bCs w:val="0"/>
          <w:color w:val="000000" w:themeColor="text1"/>
        </w:rPr>
        <w:t xml:space="preserve"> </w:t>
      </w:r>
      <w:proofErr w:type="spellStart"/>
      <w:r w:rsidRPr="0007076F">
        <w:rPr>
          <w:bCs w:val="0"/>
          <w:color w:val="000000" w:themeColor="text1"/>
        </w:rPr>
        <w:t>edgeR</w:t>
      </w:r>
      <w:proofErr w:type="spellEnd"/>
      <w:r w:rsidRPr="0007076F">
        <w:rPr>
          <w:bCs w:val="0"/>
          <w:color w:val="000000" w:themeColor="text1"/>
        </w:rPr>
        <w:t xml:space="preserve"> data for differentially expressed genes</w:t>
      </w:r>
      <w:r w:rsidR="007E69E4">
        <w:rPr>
          <w:bCs w:val="0"/>
          <w:color w:val="000000" w:themeColor="text1"/>
        </w:rPr>
        <w:t xml:space="preserve"> of potential biological interest (e.g., heat-shock proteins, photosystem genes)</w:t>
      </w:r>
      <w:r w:rsidRPr="0007076F">
        <w:rPr>
          <w:bCs w:val="0"/>
          <w:color w:val="000000" w:themeColor="text1"/>
        </w:rPr>
        <w:t xml:space="preserve">, and then performing reciprocal blast in the </w:t>
      </w:r>
      <w:r w:rsidRPr="0007076F">
        <w:rPr>
          <w:bCs w:val="0"/>
          <w:i/>
          <w:iCs/>
          <w:color w:val="000000" w:themeColor="text1"/>
        </w:rPr>
        <w:t>S. durum</w:t>
      </w:r>
      <w:r w:rsidRPr="0007076F">
        <w:rPr>
          <w:bCs w:val="0"/>
          <w:color w:val="000000" w:themeColor="text1"/>
        </w:rPr>
        <w:t xml:space="preserve"> transcriptome to find orthologues. Once genes were selected, primer sets were designed for reference genes and GOIs using Primer3 </w:t>
      </w:r>
      <w:r w:rsidRPr="0007076F">
        <w:rPr>
          <w:b/>
          <w:bCs w:val="0"/>
          <w:color w:val="000000" w:themeColor="text1"/>
        </w:rPr>
        <w:fldChar w:fldCharType="begin"/>
      </w:r>
      <w:r w:rsidR="00EF3BEA">
        <w:rPr>
          <w:bCs w:val="0"/>
          <w:color w:val="000000" w:themeColor="text1"/>
        </w:rPr>
        <w:instrText xml:space="preserve"> ADDIN EN.CITE &lt;EndNote&gt;&lt;Cite&gt;&lt;Author&gt;Rozen&lt;/Author&gt;&lt;Year&gt;2000&lt;/Year&gt;&lt;RecNum&gt;844&lt;/RecNum&gt;&lt;DisplayText&gt;[19]&lt;/DisplayText&gt;&lt;record&gt;&lt;rec-number&gt;844&lt;/rec-number&gt;&lt;foreign-keys&gt;&lt;key app="EN" db-id="5rdwapt2bfwze6edv59v2dwm2vapa5vptpr0" timestamp="1616652194"&gt;844&lt;/key&gt;&lt;/foreign-keys&gt;&lt;ref-type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Biol&lt;/secondary-title&gt;&lt;/titles&gt;&lt;pages&gt;365-86&lt;/pages&gt;&lt;volume&gt;132&lt;/volume&gt;&lt;edition&gt;1999/11/05&lt;/edition&gt;&lt;keywords&gt;&lt;keyword&gt;Base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Interface&lt;/keyword&gt;&lt;/keywords&gt;&lt;dates&gt;&lt;year&gt;2000&lt;/year&gt;&lt;/dates&gt;&lt;isbn&gt;1064-3745 (Print)&amp;#xD;1064-3745&lt;/isbn&gt;&lt;accession-num&gt;10547847&lt;/accession-num&gt;&lt;urls&gt;&lt;/urls&gt;&lt;electronic-resource-num&gt;10.1385/1-59259-192-2:365&lt;/electronic-resource-num&gt;&lt;remote-database-provider&gt;NLM&lt;/remote-database-provider&gt;&lt;language&gt;eng&lt;/language&gt;&lt;/record&gt;&lt;/Cite&gt;&lt;/EndNote&gt;</w:instrText>
      </w:r>
      <w:r w:rsidRPr="0007076F">
        <w:rPr>
          <w:b/>
          <w:bCs w:val="0"/>
          <w:color w:val="000000" w:themeColor="text1"/>
        </w:rPr>
        <w:fldChar w:fldCharType="separate"/>
      </w:r>
      <w:r w:rsidR="00EF3BEA">
        <w:rPr>
          <w:bCs w:val="0"/>
          <w:noProof/>
          <w:color w:val="000000" w:themeColor="text1"/>
        </w:rPr>
        <w:t>[19]</w:t>
      </w:r>
      <w:r w:rsidRPr="0007076F">
        <w:rPr>
          <w:b/>
          <w:bCs w:val="0"/>
          <w:color w:val="000000" w:themeColor="text1"/>
        </w:rPr>
        <w:fldChar w:fldCharType="end"/>
      </w:r>
      <w:r w:rsidRPr="0007076F">
        <w:rPr>
          <w:bCs w:val="0"/>
          <w:color w:val="000000" w:themeColor="text1"/>
        </w:rPr>
        <w:t xml:space="preserve">. </w:t>
      </w:r>
    </w:p>
    <w:p w14:paraId="38A8CE5D" w14:textId="77777777" w:rsidR="0007076F" w:rsidRPr="0007076F" w:rsidRDefault="0007076F" w:rsidP="00E40A0D">
      <w:pPr>
        <w:spacing w:line="480" w:lineRule="auto"/>
        <w:ind w:firstLine="720"/>
        <w:rPr>
          <w:b/>
          <w:bCs w:val="0"/>
          <w:color w:val="333333"/>
          <w:spacing w:val="8"/>
        </w:rPr>
      </w:pPr>
      <w:r w:rsidRPr="0007076F">
        <w:rPr>
          <w:bCs w:val="0"/>
          <w:color w:val="000000" w:themeColor="text1"/>
        </w:rPr>
        <w:t>To test and optimise primer sets, cDNA was synthesised using Superscript III reverse transcriptase (Invitrogen</w:t>
      </w:r>
      <w:r w:rsidRPr="0007076F">
        <w:rPr>
          <w:bCs w:val="0"/>
          <w:color w:val="333333"/>
          <w:spacing w:val="8"/>
        </w:rPr>
        <w:t>™</w:t>
      </w:r>
      <w:r w:rsidRPr="0007076F">
        <w:rPr>
          <w:bCs w:val="0"/>
          <w:color w:val="000000" w:themeColor="text1"/>
        </w:rPr>
        <w:t xml:space="preserve">) from DNase treated RNA of </w:t>
      </w:r>
      <w:r w:rsidRPr="0007076F">
        <w:rPr>
          <w:bCs w:val="0"/>
          <w:i/>
          <w:color w:val="000000" w:themeColor="text1"/>
        </w:rPr>
        <w:t xml:space="preserve">S. durum </w:t>
      </w:r>
      <w:r w:rsidRPr="0007076F">
        <w:rPr>
          <w:bCs w:val="0"/>
          <w:color w:val="000000" w:themeColor="text1"/>
        </w:rPr>
        <w:t xml:space="preserve">and </w:t>
      </w:r>
      <w:r w:rsidRPr="0007076F">
        <w:rPr>
          <w:bCs w:val="0"/>
          <w:i/>
          <w:color w:val="000000" w:themeColor="text1"/>
        </w:rPr>
        <w:t xml:space="preserve">P. onkodes </w:t>
      </w:r>
      <w:r w:rsidRPr="0007076F">
        <w:rPr>
          <w:bCs w:val="0"/>
          <w:color w:val="000000" w:themeColor="text1"/>
        </w:rPr>
        <w:t xml:space="preserve">and pooled for each species. Pooled cDNA was used as a template for PCR. PCRs using a thermal gradient (55 ºC – 65 ºC) were conducted to test primers and identify optimal annealing temperatures of primer sets. PCRs were run with 0.5 µL of forward and reverse primer (2.5 µM), 4.5 µL </w:t>
      </w:r>
      <w:proofErr w:type="spellStart"/>
      <w:r w:rsidRPr="0007076F">
        <w:rPr>
          <w:bCs w:val="0"/>
          <w:color w:val="000000" w:themeColor="text1"/>
        </w:rPr>
        <w:t>QuantiNova</w:t>
      </w:r>
      <w:proofErr w:type="spellEnd"/>
      <w:r w:rsidRPr="0007076F">
        <w:rPr>
          <w:bCs w:val="0"/>
          <w:color w:val="000000" w:themeColor="text1"/>
        </w:rPr>
        <w:t xml:space="preserve"> SYBR</w:t>
      </w:r>
      <w:r w:rsidRPr="0007076F">
        <w:rPr>
          <w:bCs w:val="0"/>
          <w:color w:val="000000" w:themeColor="text1"/>
          <w:vertAlign w:val="superscript"/>
        </w:rPr>
        <w:t>®</w:t>
      </w:r>
      <w:r w:rsidRPr="0007076F">
        <w:rPr>
          <w:bCs w:val="0"/>
          <w:color w:val="000000" w:themeColor="text1"/>
        </w:rPr>
        <w:t xml:space="preserve"> Green PCR Master Mix, 3.5 µL DNase/</w:t>
      </w:r>
      <w:proofErr w:type="spellStart"/>
      <w:r w:rsidRPr="0007076F">
        <w:rPr>
          <w:bCs w:val="0"/>
          <w:color w:val="000000" w:themeColor="text1"/>
        </w:rPr>
        <w:t>RNAse</w:t>
      </w:r>
      <w:proofErr w:type="spellEnd"/>
      <w:r w:rsidRPr="0007076F">
        <w:rPr>
          <w:bCs w:val="0"/>
          <w:color w:val="000000" w:themeColor="text1"/>
        </w:rPr>
        <w:t>-Free H</w:t>
      </w:r>
      <w:r w:rsidRPr="0007076F">
        <w:rPr>
          <w:bCs w:val="0"/>
          <w:color w:val="000000" w:themeColor="text1"/>
          <w:vertAlign w:val="subscript"/>
        </w:rPr>
        <w:t>2</w:t>
      </w:r>
      <w:r w:rsidRPr="0007076F">
        <w:rPr>
          <w:bCs w:val="0"/>
          <w:color w:val="000000" w:themeColor="text1"/>
        </w:rPr>
        <w:t xml:space="preserve">O (PCR grade), and 1 µL cDNA pooled template (1:30 dilution). The thermal profile for PCR was 95 ºC for 2 min, followed by 60 cycles of 95 ºC for 5 s, thermal gradient (55 ºC – 65 ºC) for 30 s, and 60 ºC for 10 s. PCRs were assessed by gel electrophoresis on a 2.5% agarose gels. </w:t>
      </w:r>
    </w:p>
    <w:p w14:paraId="5A39FF0E" w14:textId="4FC83D64" w:rsidR="00E777FE" w:rsidRDefault="0007076F" w:rsidP="00E40A0D">
      <w:pPr>
        <w:spacing w:line="480" w:lineRule="auto"/>
        <w:ind w:firstLine="720"/>
        <w:rPr>
          <w:color w:val="000000" w:themeColor="text1"/>
        </w:rPr>
      </w:pPr>
      <w:r w:rsidRPr="0007076F">
        <w:rPr>
          <w:bCs w:val="0"/>
          <w:color w:val="000000" w:themeColor="text1"/>
        </w:rPr>
        <w:lastRenderedPageBreak/>
        <w:t xml:space="preserve">Subsequent RT-qPCR (CFX96 </w:t>
      </w:r>
      <w:proofErr w:type="spellStart"/>
      <w:r w:rsidRPr="0007076F">
        <w:rPr>
          <w:bCs w:val="0"/>
          <w:color w:val="000000" w:themeColor="text1"/>
        </w:rPr>
        <w:t>Touch</w:t>
      </w:r>
      <w:r w:rsidRPr="0007076F">
        <w:rPr>
          <w:bCs w:val="0"/>
          <w:color w:val="000000" w:themeColor="text1"/>
          <w:vertAlign w:val="superscript"/>
        </w:rPr>
        <w:t>TM</w:t>
      </w:r>
      <w:proofErr w:type="spellEnd"/>
      <w:r w:rsidRPr="0007076F">
        <w:rPr>
          <w:bCs w:val="0"/>
          <w:color w:val="000000" w:themeColor="text1"/>
        </w:rPr>
        <w:t>, Real-Time PCR Detection System, Bio-Rad) validation of reference genes and GOI was performed (Table S7). Optimal dilution for each gene, primer efficiencies, and coefficient of determination (R</w:t>
      </w:r>
      <w:r w:rsidRPr="0007076F">
        <w:rPr>
          <w:bCs w:val="0"/>
          <w:color w:val="000000" w:themeColor="text1"/>
          <w:vertAlign w:val="superscript"/>
        </w:rPr>
        <w:t>2</w:t>
      </w:r>
      <w:r w:rsidRPr="0007076F">
        <w:rPr>
          <w:bCs w:val="0"/>
          <w:color w:val="000000" w:themeColor="text1"/>
        </w:rPr>
        <w:t xml:space="preserve">) were obtained from serial dilutions of standard curves for each primer set (Table S7). The thermal profile for RT-qPCR was 95 ºC for 2 min, followed by 60 cycles of 95 ºC for 5 s, annealing temperature for specific primer set (identified from PCR) for 30 s, and 60 ºC for 10 s, followed by a melt curve (65 ºC to 95 ºC in 0.5 ºC increments for 5 s at each increment). RT-qPCR was then run </w:t>
      </w:r>
      <w:r w:rsidR="00E03B4E">
        <w:rPr>
          <w:bCs w:val="0"/>
          <w:color w:val="000000" w:themeColor="text1"/>
        </w:rPr>
        <w:t xml:space="preserve">to validate differential expression results of RNA-Seq data. Expression analysis through RT-qPCR was conducted on all individual, experimental samples for each species. </w:t>
      </w:r>
      <w:r w:rsidRPr="0007076F">
        <w:rPr>
          <w:bCs w:val="0"/>
          <w:color w:val="000000" w:themeColor="text1"/>
        </w:rPr>
        <w:t xml:space="preserve">No template controls were included for each primer set and each sample and reactions were carried out in technical and biological triplicates. The most suitable reference genes for expression analysis were determined through analysis of geometric means in </w:t>
      </w:r>
      <w:proofErr w:type="spellStart"/>
      <w:r w:rsidRPr="0007076F">
        <w:rPr>
          <w:bCs w:val="0"/>
          <w:color w:val="000000" w:themeColor="text1"/>
        </w:rPr>
        <w:t>geNorm</w:t>
      </w:r>
      <w:proofErr w:type="spellEnd"/>
      <w:r w:rsidRPr="0007076F">
        <w:rPr>
          <w:bCs w:val="0"/>
          <w:color w:val="000000" w:themeColor="text1"/>
        </w:rPr>
        <w:t xml:space="preserve"> </w:t>
      </w:r>
      <w:r w:rsidRPr="0007076F">
        <w:rPr>
          <w:b/>
          <w:bCs w:val="0"/>
          <w:color w:val="000000" w:themeColor="text1"/>
        </w:rPr>
        <w:fldChar w:fldCharType="begin"/>
      </w:r>
      <w:r w:rsidR="00EF3BEA">
        <w:rPr>
          <w:bCs w:val="0"/>
          <w:color w:val="000000" w:themeColor="text1"/>
        </w:rPr>
        <w:instrText xml:space="preserve"> ADDIN EN.CITE &lt;EndNote&gt;&lt;Cite&gt;&lt;Author&gt;Vandesompele&lt;/Author&gt;&lt;Year&gt;2002&lt;/Year&gt;&lt;RecNum&gt;798&lt;/RecNum&gt;&lt;DisplayText&gt;[20]&lt;/DisplayText&gt;&lt;record&gt;&lt;rec-number&gt;798&lt;/rec-number&gt;&lt;foreign-keys&gt;&lt;key app="EN" db-id="5rdwapt2bfwze6edv59v2dwm2vapa5vptpr0" timestamp="1612058640"&gt;798&lt;/key&gt;&lt;/foreign-keys&gt;&lt;ref-type name="Journal Article"&gt;17&lt;/ref-type&gt;&lt;contributors&gt;&lt;authors&gt;&lt;author&gt;Vandesompele, Jo&lt;/author&gt;&lt;author&gt;De Preter, Katleen&lt;/author&gt;&lt;author&gt;Pattyn, Filip&lt;/author&gt;&lt;author&gt;Poppe, Bruce&lt;/author&gt;&lt;author&gt;Van Roy, Nadine&lt;/author&gt;&lt;author&gt;De Paepe, Anne&lt;/author&gt;&lt;author&gt;Speleman, Frank&lt;/author&gt;&lt;/authors&gt;&lt;/contributors&gt;&lt;titles&gt;&lt;title&gt;Accurate normalization of real-time quantitative RT-PCR data by geometric averaging of multiple internal control genes&lt;/title&gt;&lt;secondary-title&gt;Genome Biology&lt;/secondary-title&gt;&lt;/titles&gt;&lt;pages&gt;1-12&lt;/pages&gt;&lt;volume&gt;3&lt;/volume&gt;&lt;number&gt;7&lt;/number&gt;&lt;dates&gt;&lt;year&gt;2002&lt;/year&gt;&lt;/dates&gt;&lt;isbn&gt;1474-760X&lt;/isbn&gt;&lt;urls&gt;&lt;/urls&gt;&lt;electronic-resource-num&gt;10.1186/gb-2002-3-7-research0034&lt;/electronic-resource-num&gt;&lt;/record&gt;&lt;/Cite&gt;&lt;/EndNote&gt;</w:instrText>
      </w:r>
      <w:r w:rsidRPr="0007076F">
        <w:rPr>
          <w:b/>
          <w:bCs w:val="0"/>
          <w:color w:val="000000" w:themeColor="text1"/>
        </w:rPr>
        <w:fldChar w:fldCharType="separate"/>
      </w:r>
      <w:r w:rsidR="00EF3BEA">
        <w:rPr>
          <w:bCs w:val="0"/>
          <w:noProof/>
          <w:color w:val="000000" w:themeColor="text1"/>
        </w:rPr>
        <w:t>[20]</w:t>
      </w:r>
      <w:r w:rsidRPr="0007076F">
        <w:rPr>
          <w:b/>
          <w:bCs w:val="0"/>
          <w:color w:val="000000" w:themeColor="text1"/>
        </w:rPr>
        <w:fldChar w:fldCharType="end"/>
      </w:r>
      <w:r w:rsidRPr="0007076F">
        <w:rPr>
          <w:bCs w:val="0"/>
          <w:color w:val="000000" w:themeColor="text1"/>
        </w:rPr>
        <w:t>.</w:t>
      </w:r>
      <w:r w:rsidR="00226B58">
        <w:rPr>
          <w:bCs w:val="0"/>
          <w:color w:val="000000" w:themeColor="text1"/>
        </w:rPr>
        <w:t xml:space="preserve"> For </w:t>
      </w:r>
      <w:r w:rsidR="00226B58" w:rsidRPr="00226B58">
        <w:rPr>
          <w:bCs w:val="0"/>
          <w:i/>
          <w:iCs/>
          <w:color w:val="000000" w:themeColor="text1"/>
        </w:rPr>
        <w:t>P.</w:t>
      </w:r>
      <w:r w:rsidR="00226B58" w:rsidRPr="00226B58">
        <w:rPr>
          <w:bCs w:val="0"/>
          <w:color w:val="000000" w:themeColor="text1"/>
        </w:rPr>
        <w:t xml:space="preserve"> </w:t>
      </w:r>
      <w:r w:rsidR="00226B58" w:rsidRPr="00226B58">
        <w:rPr>
          <w:bCs w:val="0"/>
          <w:i/>
          <w:iCs/>
          <w:color w:val="000000" w:themeColor="text1"/>
        </w:rPr>
        <w:t>onkodes</w:t>
      </w:r>
      <w:r w:rsidR="00226B58">
        <w:rPr>
          <w:bCs w:val="0"/>
          <w:color w:val="000000" w:themeColor="text1"/>
        </w:rPr>
        <w:t xml:space="preserve"> heme oxygenase and ß-tubulin</w:t>
      </w:r>
      <w:r w:rsidR="009F1FB9">
        <w:rPr>
          <w:bCs w:val="0"/>
          <w:color w:val="000000" w:themeColor="text1"/>
        </w:rPr>
        <w:t xml:space="preserve"> were determined to be the most suitable reference genes and for </w:t>
      </w:r>
      <w:r w:rsidR="009F1FB9" w:rsidRPr="009F1FB9">
        <w:rPr>
          <w:bCs w:val="0"/>
          <w:i/>
          <w:iCs/>
          <w:color w:val="000000" w:themeColor="text1"/>
        </w:rPr>
        <w:t>S. durum</w:t>
      </w:r>
      <w:r w:rsidRPr="0007076F">
        <w:rPr>
          <w:bCs w:val="0"/>
          <w:color w:val="000000" w:themeColor="text1"/>
        </w:rPr>
        <w:t xml:space="preserve"> </w:t>
      </w:r>
      <w:r w:rsidR="009F1FB9">
        <w:rPr>
          <w:bCs w:val="0"/>
          <w:color w:val="000000" w:themeColor="text1"/>
        </w:rPr>
        <w:t>GAPDH was identified as the most suitable reference gene</w:t>
      </w:r>
      <w:r w:rsidR="00B93B40">
        <w:rPr>
          <w:bCs w:val="0"/>
          <w:color w:val="000000" w:themeColor="text1"/>
        </w:rPr>
        <w:t xml:space="preserve"> (Table S7)</w:t>
      </w:r>
      <w:r w:rsidR="009F1FB9">
        <w:rPr>
          <w:bCs w:val="0"/>
          <w:color w:val="000000" w:themeColor="text1"/>
        </w:rPr>
        <w:t xml:space="preserve">. </w:t>
      </w:r>
      <w:r w:rsidRPr="0007076F">
        <w:rPr>
          <w:bCs w:val="0"/>
          <w:color w:val="000000" w:themeColor="text1"/>
        </w:rPr>
        <w:t xml:space="preserve">Expression analysis was carried out in </w:t>
      </w:r>
      <w:proofErr w:type="spellStart"/>
      <w:r w:rsidRPr="0007076F">
        <w:rPr>
          <w:bCs w:val="0"/>
          <w:color w:val="000000" w:themeColor="text1"/>
        </w:rPr>
        <w:t>BioRad’s</w:t>
      </w:r>
      <w:proofErr w:type="spellEnd"/>
      <w:r w:rsidRPr="0007076F">
        <w:rPr>
          <w:bCs w:val="0"/>
          <w:color w:val="000000" w:themeColor="text1"/>
        </w:rPr>
        <w:t xml:space="preserve"> CFX Maestro Software, log</w:t>
      </w:r>
      <w:r w:rsidRPr="0007076F">
        <w:rPr>
          <w:bCs w:val="0"/>
          <w:color w:val="000000" w:themeColor="text1"/>
          <w:vertAlign w:val="subscript"/>
        </w:rPr>
        <w:t>2</w:t>
      </w:r>
      <w:r w:rsidRPr="0007076F">
        <w:rPr>
          <w:bCs w:val="0"/>
          <w:color w:val="000000" w:themeColor="text1"/>
        </w:rPr>
        <w:t xml:space="preserve"> ∆∆Ct values (relative expression) for each sample were calculated and </w:t>
      </w:r>
      <w:r w:rsidRPr="0007076F">
        <w:rPr>
          <w:bCs w:val="0"/>
          <w:i/>
          <w:iCs/>
          <w:color w:val="000000" w:themeColor="text1"/>
        </w:rPr>
        <w:t>p</w:t>
      </w:r>
      <w:r w:rsidRPr="0007076F">
        <w:rPr>
          <w:bCs w:val="0"/>
          <w:color w:val="000000" w:themeColor="text1"/>
        </w:rPr>
        <w:t xml:space="preserve"> values obtained to assess significant differential expression across treatments and individuals (Figures S4 and S5), values were normalised to reference genes and predetermined efficiencies of each primer were entered based on standard curves (Table S7).</w:t>
      </w:r>
    </w:p>
    <w:p w14:paraId="10D23CB9" w14:textId="77777777" w:rsidR="00E777FE" w:rsidRDefault="00E777FE" w:rsidP="00E40A0D">
      <w:pPr>
        <w:spacing w:line="480" w:lineRule="auto"/>
        <w:ind w:firstLine="720"/>
        <w:rPr>
          <w:b/>
          <w:bCs w:val="0"/>
          <w:color w:val="000000" w:themeColor="text1"/>
        </w:rPr>
      </w:pPr>
    </w:p>
    <w:p w14:paraId="25F7F73B" w14:textId="19A5F266" w:rsidR="0097098C" w:rsidRDefault="0097098C" w:rsidP="00B03841">
      <w:pPr>
        <w:spacing w:line="480" w:lineRule="auto"/>
        <w:ind w:firstLine="720"/>
        <w:rPr>
          <w:b/>
          <w:bCs w:val="0"/>
          <w:color w:val="000000" w:themeColor="text1"/>
        </w:rPr>
      </w:pPr>
    </w:p>
    <w:p w14:paraId="0E50E170" w14:textId="2783131C" w:rsidR="0097098C" w:rsidRDefault="0097098C" w:rsidP="00E40A0D">
      <w:pPr>
        <w:spacing w:line="480" w:lineRule="auto"/>
        <w:rPr>
          <w:b/>
          <w:bCs w:val="0"/>
          <w:color w:val="000000" w:themeColor="text1"/>
        </w:rPr>
      </w:pPr>
    </w:p>
    <w:p w14:paraId="6A80E5E5" w14:textId="6E008264" w:rsidR="0097098C" w:rsidRDefault="0097098C" w:rsidP="00E40A0D">
      <w:pPr>
        <w:spacing w:line="480" w:lineRule="auto"/>
        <w:rPr>
          <w:b/>
          <w:bCs w:val="0"/>
          <w:color w:val="000000" w:themeColor="text1"/>
        </w:rPr>
      </w:pPr>
    </w:p>
    <w:p w14:paraId="4CF9F644" w14:textId="77777777" w:rsidR="00AD1E34" w:rsidRDefault="00AD1E34" w:rsidP="00E40A0D">
      <w:pPr>
        <w:spacing w:line="480" w:lineRule="auto"/>
        <w:rPr>
          <w:b/>
          <w:bCs w:val="0"/>
          <w:color w:val="000000" w:themeColor="text1"/>
        </w:rPr>
      </w:pPr>
    </w:p>
    <w:p w14:paraId="036841A9" w14:textId="57DF04A6" w:rsidR="00926D57" w:rsidRDefault="00E40A0D" w:rsidP="00A62BA6">
      <w:pPr>
        <w:spacing w:line="276" w:lineRule="auto"/>
        <w:rPr>
          <w:rFonts w:ascii="Arial" w:hAnsi="Arial" w:cs="Arial"/>
          <w:sz w:val="20"/>
          <w:szCs w:val="20"/>
        </w:rPr>
      </w:pPr>
      <w:r w:rsidRPr="00FC0540">
        <w:rPr>
          <w:b/>
          <w:bCs w:val="0"/>
          <w:color w:val="000000" w:themeColor="text1"/>
        </w:rPr>
        <w:lastRenderedPageBreak/>
        <w:t>Supplementary Figures and Tables</w:t>
      </w:r>
    </w:p>
    <w:p w14:paraId="1BEB1D58" w14:textId="21C23B2F" w:rsidR="00926D57" w:rsidRDefault="00926D57" w:rsidP="00A62BA6">
      <w:pPr>
        <w:spacing w:line="276" w:lineRule="auto"/>
      </w:pPr>
      <w:r>
        <w:rPr>
          <w:noProof/>
          <w:lang w:val="en-US"/>
        </w:rPr>
        <w:drawing>
          <wp:inline distT="0" distB="0" distL="0" distR="0" wp14:anchorId="61EDC55F" wp14:editId="41B6672E">
            <wp:extent cx="5198109" cy="2646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198109" cy="2646310"/>
                    </a:xfrm>
                    <a:prstGeom prst="rect">
                      <a:avLst/>
                    </a:prstGeom>
                  </pic:spPr>
                </pic:pic>
              </a:graphicData>
            </a:graphic>
          </wp:inline>
        </w:drawing>
      </w:r>
    </w:p>
    <w:p w14:paraId="2B045185" w14:textId="08D7CA53" w:rsidR="003B4F14" w:rsidRDefault="00926D57" w:rsidP="003B4F14">
      <w:pPr>
        <w:spacing w:line="276" w:lineRule="auto"/>
        <w:rPr>
          <w:noProof/>
        </w:rPr>
      </w:pPr>
      <w:r w:rsidRPr="00FC0540">
        <w:t xml:space="preserve">Figure S1. </w:t>
      </w:r>
      <w:r w:rsidRPr="00FC0540">
        <w:rPr>
          <w:bCs w:val="0"/>
        </w:rPr>
        <w:t xml:space="preserve">Effect of global change drivers on metabolic processes of </w:t>
      </w:r>
      <w:r w:rsidRPr="00FC0540">
        <w:rPr>
          <w:bCs w:val="0"/>
          <w:i/>
          <w:iCs/>
        </w:rPr>
        <w:t xml:space="preserve">Sporolithon </w:t>
      </w:r>
      <w:r w:rsidRPr="00FC0540">
        <w:rPr>
          <w:bCs w:val="0"/>
        </w:rPr>
        <w:t xml:space="preserve">cf. </w:t>
      </w:r>
      <w:r w:rsidRPr="00FC0540">
        <w:rPr>
          <w:bCs w:val="0"/>
          <w:i/>
          <w:iCs/>
        </w:rPr>
        <w:t xml:space="preserve">durum </w:t>
      </w:r>
      <w:r w:rsidRPr="00FC0540">
        <w:rPr>
          <w:bCs w:val="0"/>
        </w:rPr>
        <w:t xml:space="preserve">and </w:t>
      </w:r>
      <w:r w:rsidRPr="00FC0540">
        <w:rPr>
          <w:bCs w:val="0"/>
          <w:i/>
          <w:iCs/>
        </w:rPr>
        <w:t xml:space="preserve">Porolithon </w:t>
      </w:r>
      <w:r w:rsidRPr="00FC0540">
        <w:rPr>
          <w:bCs w:val="0"/>
        </w:rPr>
        <w:t xml:space="preserve">cf. </w:t>
      </w:r>
      <w:r w:rsidRPr="00FC0540">
        <w:rPr>
          <w:bCs w:val="0"/>
          <w:i/>
          <w:iCs/>
        </w:rPr>
        <w:t>onkodes</w:t>
      </w:r>
      <w:r w:rsidRPr="00FC0540">
        <w:rPr>
          <w:bCs w:val="0"/>
        </w:rPr>
        <w:t>.</w:t>
      </w:r>
      <w:r w:rsidRPr="00FC0540">
        <w:t xml:space="preserve"> </w:t>
      </w:r>
      <w:r w:rsidRPr="005B41F5">
        <w:rPr>
          <w:b/>
          <w:bCs w:val="0"/>
        </w:rPr>
        <w:t>a</w:t>
      </w:r>
      <w:r w:rsidRPr="00FC0540">
        <w:rPr>
          <w:bCs w:val="0"/>
        </w:rPr>
        <w:t xml:space="preserve">, Graph obtained from </w:t>
      </w:r>
      <w:r w:rsidRPr="00FC0540">
        <w:rPr>
          <w:rFonts w:eastAsia="Times New Roman"/>
          <w:b/>
          <w:bCs w:val="0"/>
          <w:color w:val="000000"/>
          <w:lang w:eastAsia="en-GB"/>
        </w:rPr>
        <w:fldChar w:fldCharType="begin"/>
      </w:r>
      <w:r w:rsidR="00B27AEA">
        <w:rPr>
          <w:rFonts w:eastAsia="Times New Roman"/>
          <w:b/>
          <w:bCs w:val="0"/>
          <w:color w:val="000000"/>
          <w:lang w:eastAsia="en-GB"/>
        </w:rPr>
        <w:instrText xml:space="preserve"> ADDIN EN.CITE &lt;EndNote&gt;&lt;Cite AuthorYear="1"&gt;&lt;Author&gt;Page&lt;/Author&gt;&lt;Year&gt;2020&lt;/Year&gt;&lt;RecNum&gt;694&lt;/RecNum&gt;&lt;DisplayText&gt;TM Page and G Diaz-Pulido [21]&lt;/DisplayText&gt;&lt;record&gt;&lt;rec-number&gt;694&lt;/rec-number&gt;&lt;foreign-keys&gt;&lt;key app="EN" db-id="5rdwapt2bfwze6edv59v2dwm2vapa5vptpr0" timestamp="1594354743"&gt;694&lt;/key&gt;&lt;/foreign-keys&gt;&lt;ref-type name="Journal Article"&gt;17&lt;/ref-type&gt;&lt;contributors&gt;&lt;authors&gt;&lt;author&gt;Page, Tessa M.&lt;/author&gt;&lt;author&gt;Diaz-Pulido, Guillermo&lt;/author&gt;&lt;/authors&gt;&lt;/contributors&gt;&lt;titles&gt;&lt;title&gt;&lt;style face="normal" font="default" size="100%"&gt;Plasticity of adult coralline algae to prolonged increased temperature and &lt;/style&gt;&lt;style face="italic" font="default" size="100%"&gt;p&lt;/style&gt;&lt;style face="normal" font="default" size="100%"&gt;CO&lt;/style&gt;&lt;style face="subscript" font="default" size="100%"&gt;2&lt;/style&gt;&lt;style face="normal" font="default" size="100%"&gt; exposure but reduced survival in their first generation&lt;/style&gt;&lt;/title&gt;&lt;secondary-title&gt;PLOS ONE&lt;/secondary-title&gt;&lt;/titles&gt;&lt;pages&gt;e0235125&lt;/pages&gt;&lt;volume&gt;15&lt;/volume&gt;&lt;number&gt;6&lt;/number&gt;&lt;dates&gt;&lt;year&gt;2020&lt;/year&gt;&lt;/dates&gt;&lt;publisher&gt;Public Library of Science&lt;/publisher&gt;&lt;urls&gt;&lt;related-urls&gt;&lt;url&gt;https://doi.org/10.1371/journal.pone.0235125&lt;/url&gt;&lt;/related-urls&gt;&lt;/urls&gt;&lt;electronic-resource-num&gt;10.1371/journal.pone.0235125&lt;/electronic-resource-num&gt;&lt;/record&gt;&lt;/Cite&gt;&lt;/EndNote&gt;</w:instrText>
      </w:r>
      <w:r w:rsidRPr="00FC0540">
        <w:rPr>
          <w:rFonts w:eastAsia="Times New Roman"/>
          <w:b/>
          <w:bCs w:val="0"/>
          <w:color w:val="000000"/>
          <w:lang w:eastAsia="en-GB"/>
        </w:rPr>
        <w:fldChar w:fldCharType="separate"/>
      </w:r>
      <w:r w:rsidR="00B27AEA" w:rsidRPr="00B27AEA">
        <w:rPr>
          <w:rFonts w:eastAsia="Times New Roman"/>
          <w:bCs w:val="0"/>
          <w:noProof/>
          <w:color w:val="000000"/>
          <w:lang w:eastAsia="en-GB"/>
        </w:rPr>
        <w:t>TM Page and G Diaz-Pulido [21]</w:t>
      </w:r>
      <w:r w:rsidRPr="00FC0540">
        <w:rPr>
          <w:rFonts w:eastAsia="Times New Roman"/>
          <w:b/>
          <w:bCs w:val="0"/>
          <w:color w:val="000000"/>
          <w:lang w:eastAsia="en-GB"/>
        </w:rPr>
        <w:fldChar w:fldCharType="end"/>
      </w:r>
      <w:r w:rsidRPr="00FC0540">
        <w:rPr>
          <w:rFonts w:eastAsia="Times New Roman"/>
          <w:bCs w:val="0"/>
          <w:color w:val="000000"/>
          <w:lang w:eastAsia="en-GB"/>
        </w:rPr>
        <w:t xml:space="preserve"> of the effect of experimental treatment on the mean amount of O</w:t>
      </w:r>
      <w:r w:rsidRPr="00FC0540">
        <w:rPr>
          <w:rFonts w:eastAsia="Times New Roman"/>
          <w:bCs w:val="0"/>
          <w:color w:val="000000"/>
          <w:vertAlign w:val="subscript"/>
          <w:lang w:eastAsia="en-GB"/>
        </w:rPr>
        <w:t>2</w:t>
      </w:r>
      <w:r w:rsidRPr="00FC0540">
        <w:rPr>
          <w:rFonts w:eastAsia="Times New Roman"/>
          <w:bCs w:val="0"/>
          <w:color w:val="000000"/>
          <w:lang w:eastAsia="en-GB"/>
        </w:rPr>
        <w:t xml:space="preserve"> produced or consumed by </w:t>
      </w:r>
      <w:r w:rsidRPr="00FC0540">
        <w:rPr>
          <w:rFonts w:eastAsia="Times New Roman"/>
          <w:bCs w:val="0"/>
          <w:i/>
          <w:iCs/>
          <w:color w:val="000000"/>
          <w:lang w:eastAsia="en-GB"/>
        </w:rPr>
        <w:t xml:space="preserve">S. </w:t>
      </w:r>
      <w:r w:rsidRPr="00FC0540">
        <w:rPr>
          <w:rFonts w:eastAsia="Times New Roman"/>
          <w:bCs w:val="0"/>
          <w:color w:val="000000"/>
          <w:lang w:eastAsia="en-GB"/>
        </w:rPr>
        <w:t xml:space="preserve">cf. </w:t>
      </w:r>
      <w:r w:rsidRPr="00FC0540">
        <w:rPr>
          <w:rFonts w:eastAsia="Times New Roman"/>
          <w:bCs w:val="0"/>
          <w:i/>
          <w:iCs/>
          <w:color w:val="000000"/>
          <w:lang w:eastAsia="en-GB"/>
        </w:rPr>
        <w:t xml:space="preserve">durum </w:t>
      </w:r>
      <w:r w:rsidRPr="00FC0540">
        <w:rPr>
          <w:rFonts w:eastAsia="Times New Roman"/>
          <w:bCs w:val="0"/>
          <w:color w:val="000000"/>
          <w:lang w:eastAsia="en-GB"/>
        </w:rPr>
        <w:t>after 5 months in treatment. Each bar represents mean O</w:t>
      </w:r>
      <w:r w:rsidRPr="00FC0540">
        <w:rPr>
          <w:rFonts w:eastAsia="Times New Roman"/>
          <w:bCs w:val="0"/>
          <w:color w:val="000000"/>
          <w:vertAlign w:val="subscript"/>
          <w:lang w:eastAsia="en-GB"/>
        </w:rPr>
        <w:t>2</w:t>
      </w:r>
      <w:r w:rsidRPr="00FC0540">
        <w:rPr>
          <w:rFonts w:eastAsia="Times New Roman"/>
          <w:bCs w:val="0"/>
          <w:color w:val="000000"/>
          <w:lang w:eastAsia="en-GB"/>
        </w:rPr>
        <w:t xml:space="preserve"> produced or consumed ± standard error (SE), n = 5 -6. </w:t>
      </w:r>
      <w:r w:rsidRPr="005B41F5">
        <w:rPr>
          <w:rFonts w:eastAsia="Times New Roman"/>
          <w:b/>
          <w:bCs w:val="0"/>
          <w:color w:val="000000"/>
          <w:lang w:eastAsia="en-GB"/>
        </w:rPr>
        <w:t>b</w:t>
      </w:r>
      <w:r w:rsidRPr="00FC0540">
        <w:rPr>
          <w:rFonts w:eastAsia="Times New Roman"/>
          <w:bCs w:val="0"/>
          <w:color w:val="000000"/>
          <w:lang w:eastAsia="en-GB"/>
        </w:rPr>
        <w:t xml:space="preserve">, </w:t>
      </w:r>
      <w:proofErr w:type="gramStart"/>
      <w:r w:rsidRPr="00FC0540">
        <w:rPr>
          <w:rFonts w:eastAsia="Times New Roman"/>
          <w:bCs w:val="0"/>
          <w:color w:val="000000"/>
          <w:lang w:eastAsia="en-GB"/>
        </w:rPr>
        <w:t>The</w:t>
      </w:r>
      <w:proofErr w:type="gramEnd"/>
      <w:r w:rsidRPr="00FC0540">
        <w:rPr>
          <w:rFonts w:eastAsia="Times New Roman"/>
          <w:bCs w:val="0"/>
          <w:color w:val="000000"/>
          <w:lang w:eastAsia="en-GB"/>
        </w:rPr>
        <w:t xml:space="preserve"> effect of experimental treatment on the mean amount of O</w:t>
      </w:r>
      <w:r w:rsidRPr="00FC0540">
        <w:rPr>
          <w:rFonts w:eastAsia="Times New Roman"/>
          <w:bCs w:val="0"/>
          <w:color w:val="000000"/>
          <w:lang w:eastAsia="en-GB"/>
        </w:rPr>
        <w:softHyphen/>
      </w:r>
      <w:r w:rsidRPr="00FC0540">
        <w:rPr>
          <w:rFonts w:eastAsia="Times New Roman"/>
          <w:bCs w:val="0"/>
          <w:color w:val="000000"/>
          <w:vertAlign w:val="subscript"/>
          <w:lang w:eastAsia="en-GB"/>
        </w:rPr>
        <w:t>2</w:t>
      </w:r>
      <w:r w:rsidRPr="00FC0540">
        <w:rPr>
          <w:rFonts w:eastAsia="Times New Roman"/>
          <w:bCs w:val="0"/>
          <w:color w:val="000000"/>
          <w:lang w:eastAsia="en-GB"/>
        </w:rPr>
        <w:t xml:space="preserve"> produced and consumed by </w:t>
      </w:r>
      <w:r w:rsidRPr="00FC0540">
        <w:rPr>
          <w:rFonts w:eastAsia="Times New Roman"/>
          <w:bCs w:val="0"/>
          <w:i/>
          <w:iCs/>
          <w:color w:val="000000" w:themeColor="text1"/>
          <w:lang w:eastAsia="en-GB"/>
        </w:rPr>
        <w:t xml:space="preserve">P. </w:t>
      </w:r>
      <w:r w:rsidRPr="00FC0540">
        <w:rPr>
          <w:rFonts w:eastAsia="Times New Roman"/>
          <w:bCs w:val="0"/>
          <w:color w:val="000000" w:themeColor="text1"/>
          <w:lang w:eastAsia="en-GB"/>
        </w:rPr>
        <w:t xml:space="preserve">cf. </w:t>
      </w:r>
      <w:r w:rsidRPr="00FC0540">
        <w:rPr>
          <w:rFonts w:eastAsia="Times New Roman"/>
          <w:bCs w:val="0"/>
          <w:i/>
          <w:iCs/>
          <w:color w:val="000000" w:themeColor="text1"/>
          <w:lang w:eastAsia="en-GB"/>
        </w:rPr>
        <w:t>onkodes</w:t>
      </w:r>
      <w:r w:rsidRPr="00FC0540">
        <w:rPr>
          <w:rFonts w:eastAsia="Times New Roman"/>
          <w:bCs w:val="0"/>
          <w:color w:val="000000" w:themeColor="text1"/>
          <w:lang w:eastAsia="en-GB"/>
        </w:rPr>
        <w:t xml:space="preserve"> after 3 months in treatment, values are means ± SE, n = 5.</w:t>
      </w:r>
      <w:r w:rsidR="005B41F5">
        <w:rPr>
          <w:rFonts w:eastAsia="Times New Roman"/>
          <w:bCs w:val="0"/>
          <w:color w:val="000000" w:themeColor="text1"/>
          <w:lang w:eastAsia="en-GB"/>
        </w:rPr>
        <w:t xml:space="preserve"> </w:t>
      </w:r>
      <w:r w:rsidR="005B41F5" w:rsidRPr="00C74FC7">
        <w:rPr>
          <w:color w:val="000000" w:themeColor="text1"/>
          <w:lang w:val="en-GB"/>
        </w:rPr>
        <w:t xml:space="preserve">Physiological measurements of </w:t>
      </w:r>
      <w:r w:rsidR="005B41F5">
        <w:rPr>
          <w:i/>
          <w:iCs/>
          <w:color w:val="000000" w:themeColor="text1"/>
          <w:lang w:val="en-GB"/>
        </w:rPr>
        <w:t>P. onkodes</w:t>
      </w:r>
      <w:r w:rsidR="005B41F5" w:rsidRPr="00C74FC7">
        <w:rPr>
          <w:i/>
          <w:iCs/>
          <w:color w:val="000000" w:themeColor="text1"/>
          <w:lang w:val="en-GB"/>
        </w:rPr>
        <w:t xml:space="preserve"> </w:t>
      </w:r>
      <w:r w:rsidR="005B41F5" w:rsidRPr="00C74FC7">
        <w:rPr>
          <w:color w:val="000000" w:themeColor="text1"/>
          <w:lang w:val="en-GB"/>
        </w:rPr>
        <w:t xml:space="preserve">were normalised to surface area obtained through aluminium foil technique </w:t>
      </w:r>
      <w:r w:rsidR="005B41F5" w:rsidRPr="00C74FC7">
        <w:rPr>
          <w:color w:val="000000" w:themeColor="text1"/>
          <w:lang w:val="en-GB"/>
        </w:rPr>
        <w:fldChar w:fldCharType="begin"/>
      </w:r>
      <w:r w:rsidR="00E777FE">
        <w:rPr>
          <w:color w:val="000000" w:themeColor="text1"/>
          <w:lang w:val="en-GB"/>
        </w:rPr>
        <w:instrText xml:space="preserve"> ADDIN EN.CITE &lt;EndNote&gt;&lt;Cite&gt;&lt;Author&gt;Marsh Jr&lt;/Author&gt;&lt;Year&gt;1970&lt;/Year&gt;&lt;RecNum&gt;582&lt;/RecNum&gt;&lt;DisplayText&gt;[22]&lt;/DisplayText&gt;&lt;record&gt;&lt;rec-number&gt;582&lt;/rec-number&gt;&lt;foreign-keys&gt;&lt;key app="EN" db-id="5rdwapt2bfwze6edv59v2dwm2vapa5vptpr0" timestamp="1578380630"&gt;582&lt;/key&gt;&lt;/foreign-keys&gt;&lt;ref-type name="Journal Article"&gt;17&lt;/ref-type&gt;&lt;contributors&gt;&lt;authors&gt;&lt;author&gt;Marsh Jr, James A&lt;/author&gt;&lt;/authors&gt;&lt;/contributors&gt;&lt;titles&gt;&lt;title&gt;Primary productivity of reef‐building calcareous red algae&lt;/title&gt;&lt;secondary-title&gt;Ecology&lt;/secondary-title&gt;&lt;/titles&gt;&lt;pages&gt;255-263&lt;/pages&gt;&lt;volume&gt;51&lt;/volume&gt;&lt;number&gt;2&lt;/number&gt;&lt;dates&gt;&lt;year&gt;1970&lt;/year&gt;&lt;/dates&gt;&lt;isbn&gt;1939-9170&lt;/isbn&gt;&lt;urls&gt;&lt;/urls&gt;&lt;electronic-resource-num&gt;10.2307/1933661&lt;/electronic-resource-num&gt;&lt;/record&gt;&lt;/Cite&gt;&lt;/EndNote&gt;</w:instrText>
      </w:r>
      <w:r w:rsidR="005B41F5" w:rsidRPr="00C74FC7">
        <w:rPr>
          <w:color w:val="000000" w:themeColor="text1"/>
          <w:lang w:val="en-GB"/>
        </w:rPr>
        <w:fldChar w:fldCharType="separate"/>
      </w:r>
      <w:r w:rsidR="00E777FE">
        <w:rPr>
          <w:noProof/>
          <w:color w:val="000000" w:themeColor="text1"/>
          <w:lang w:val="en-GB"/>
        </w:rPr>
        <w:t>[22]</w:t>
      </w:r>
      <w:r w:rsidR="005B41F5" w:rsidRPr="00C74FC7">
        <w:rPr>
          <w:color w:val="000000" w:themeColor="text1"/>
          <w:lang w:val="en-GB"/>
        </w:rPr>
        <w:fldChar w:fldCharType="end"/>
      </w:r>
      <w:r w:rsidR="005B41F5">
        <w:rPr>
          <w:color w:val="000000" w:themeColor="text1"/>
          <w:lang w:val="en-GB"/>
        </w:rPr>
        <w:t>.</w:t>
      </w:r>
      <w:r w:rsidRPr="00FC0540">
        <w:rPr>
          <w:rFonts w:eastAsia="Times New Roman"/>
          <w:bCs w:val="0"/>
          <w:color w:val="000000" w:themeColor="text1"/>
          <w:lang w:eastAsia="en-GB"/>
        </w:rPr>
        <w:t xml:space="preserve"> Significant differences (</w:t>
      </w:r>
      <w:r w:rsidRPr="00FC0540">
        <w:rPr>
          <w:rFonts w:eastAsia="Times New Roman"/>
          <w:bCs w:val="0"/>
          <w:i/>
          <w:iCs/>
          <w:color w:val="000000" w:themeColor="text1"/>
          <w:lang w:eastAsia="en-GB"/>
        </w:rPr>
        <w:t>p</w:t>
      </w:r>
      <w:r w:rsidRPr="00FC0540">
        <w:rPr>
          <w:rFonts w:eastAsia="Times New Roman"/>
          <w:bCs w:val="0"/>
          <w:color w:val="000000" w:themeColor="text1"/>
          <w:lang w:eastAsia="en-GB"/>
        </w:rPr>
        <w:t xml:space="preserve"> &lt; 0.05), resulting from Tukey HSD postdoc pairwise comparisons, are indicated by different lowercase letters.</w:t>
      </w:r>
      <w:r w:rsidR="003B4F14" w:rsidRPr="003B4F14">
        <w:rPr>
          <w:noProof/>
        </w:rPr>
        <w:t xml:space="preserve"> </w:t>
      </w:r>
      <w:r w:rsidR="003B4F14" w:rsidRPr="004D278D">
        <w:rPr>
          <w:noProof/>
        </w:rPr>
        <w:drawing>
          <wp:inline distT="0" distB="0" distL="0" distR="0" wp14:anchorId="04E80B8B" wp14:editId="550F9415">
            <wp:extent cx="5159396" cy="2816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5159396" cy="2816504"/>
                    </a:xfrm>
                    <a:prstGeom prst="rect">
                      <a:avLst/>
                    </a:prstGeom>
                  </pic:spPr>
                </pic:pic>
              </a:graphicData>
            </a:graphic>
          </wp:inline>
        </w:drawing>
      </w:r>
    </w:p>
    <w:p w14:paraId="5C5D405E" w14:textId="77777777" w:rsidR="003B4F14" w:rsidRPr="00FC0540" w:rsidRDefault="003B4F14" w:rsidP="00A62BA6">
      <w:pPr>
        <w:spacing w:line="276" w:lineRule="auto"/>
        <w:rPr>
          <w:rFonts w:eastAsia="Times New Roman"/>
          <w:b/>
          <w:bCs w:val="0"/>
          <w:color w:val="000000" w:themeColor="text1"/>
          <w:lang w:eastAsia="en-GB"/>
        </w:rPr>
      </w:pPr>
    </w:p>
    <w:p w14:paraId="28FF1F24" w14:textId="6CAB6984" w:rsidR="00926D57" w:rsidRPr="004D278D" w:rsidRDefault="003B4F14" w:rsidP="00A62BA6">
      <w:pPr>
        <w:spacing w:line="276" w:lineRule="auto"/>
        <w:rPr>
          <w:b/>
          <w:bCs w:val="0"/>
        </w:rPr>
      </w:pPr>
      <w:r>
        <w:rPr>
          <w:rFonts w:eastAsia="Times New Roman"/>
          <w:bCs w:val="0"/>
          <w:color w:val="000000" w:themeColor="text1"/>
          <w:sz w:val="20"/>
          <w:szCs w:val="20"/>
          <w:lang w:eastAsia="en-GB"/>
        </w:rPr>
        <w:t>F</w:t>
      </w:r>
      <w:r w:rsidR="00926D57" w:rsidRPr="00FC0540">
        <w:t>igure S2.</w:t>
      </w:r>
      <w:r w:rsidR="00926D57" w:rsidRPr="00FC0540">
        <w:rPr>
          <w:bCs w:val="0"/>
        </w:rPr>
        <w:t xml:space="preserve"> Principal component analysis run on </w:t>
      </w:r>
      <w:r w:rsidR="00926D57" w:rsidRPr="00FC0540">
        <w:t>a,</w:t>
      </w:r>
      <w:r w:rsidR="00926D57" w:rsidRPr="00FC0540">
        <w:rPr>
          <w:bCs w:val="0"/>
        </w:rPr>
        <w:t xml:space="preserve"> </w:t>
      </w:r>
      <w:r w:rsidR="00926D57" w:rsidRPr="00FC0540">
        <w:rPr>
          <w:bCs w:val="0"/>
          <w:i/>
          <w:iCs/>
        </w:rPr>
        <w:t xml:space="preserve">Sporolithon </w:t>
      </w:r>
      <w:r w:rsidR="00926D57" w:rsidRPr="00FC0540">
        <w:rPr>
          <w:bCs w:val="0"/>
        </w:rPr>
        <w:t xml:space="preserve">cf. </w:t>
      </w:r>
      <w:r w:rsidR="00926D57" w:rsidRPr="00FC0540">
        <w:rPr>
          <w:bCs w:val="0"/>
          <w:i/>
          <w:iCs/>
        </w:rPr>
        <w:t>durum</w:t>
      </w:r>
      <w:r w:rsidR="00926D57" w:rsidRPr="00FC0540">
        <w:rPr>
          <w:bCs w:val="0"/>
        </w:rPr>
        <w:t xml:space="preserve"> and </w:t>
      </w:r>
      <w:r w:rsidR="00926D57" w:rsidRPr="00FC0540">
        <w:t>b,</w:t>
      </w:r>
      <w:r w:rsidR="00926D57" w:rsidRPr="00FC0540">
        <w:rPr>
          <w:bCs w:val="0"/>
        </w:rPr>
        <w:t xml:space="preserve"> </w:t>
      </w:r>
      <w:r w:rsidR="00926D57" w:rsidRPr="00FC0540">
        <w:rPr>
          <w:bCs w:val="0"/>
          <w:i/>
          <w:iCs/>
        </w:rPr>
        <w:t xml:space="preserve">Porolithon </w:t>
      </w:r>
      <w:r w:rsidR="00926D57" w:rsidRPr="00FC0540">
        <w:rPr>
          <w:bCs w:val="0"/>
        </w:rPr>
        <w:t xml:space="preserve">cf. </w:t>
      </w:r>
      <w:r w:rsidR="00926D57" w:rsidRPr="00FC0540">
        <w:rPr>
          <w:bCs w:val="0"/>
          <w:i/>
          <w:iCs/>
        </w:rPr>
        <w:t>onkodes</w:t>
      </w:r>
      <w:r w:rsidR="00926D57" w:rsidRPr="00FC0540">
        <w:rPr>
          <w:bCs w:val="0"/>
        </w:rPr>
        <w:t>. Blue squares indicate the “control” treatment (8.0 pH and 27.2 ºC), black circles the “T” temperature (8.0 pH and 29.5 ºC), green triangles “pH” treatment (7.7 pH and 27.2 ºC), and the red plus sign the “</w:t>
      </w:r>
      <w:proofErr w:type="spellStart"/>
      <w:r w:rsidR="00926D57" w:rsidRPr="00FC0540">
        <w:rPr>
          <w:bCs w:val="0"/>
        </w:rPr>
        <w:t>T+pH</w:t>
      </w:r>
      <w:proofErr w:type="spellEnd"/>
      <w:r w:rsidR="00926D57" w:rsidRPr="00FC0540">
        <w:rPr>
          <w:bCs w:val="0"/>
        </w:rPr>
        <w:t>” treatment  (7.7 pH and 29.5 ºC).</w:t>
      </w:r>
    </w:p>
    <w:p w14:paraId="240E99C4" w14:textId="77777777" w:rsidR="00926D57" w:rsidRPr="004D278D" w:rsidRDefault="00926D57" w:rsidP="00A62BA6">
      <w:pPr>
        <w:spacing w:line="276" w:lineRule="auto"/>
        <w:rPr>
          <w:b/>
          <w:bCs w:val="0"/>
        </w:rPr>
      </w:pPr>
      <w:r w:rsidRPr="004D278D">
        <w:rPr>
          <w:b/>
          <w:bCs w:val="0"/>
          <w:noProof/>
        </w:rPr>
        <w:lastRenderedPageBreak/>
        <w:drawing>
          <wp:inline distT="0" distB="0" distL="0" distR="0" wp14:anchorId="503AD654" wp14:editId="7C3D4248">
            <wp:extent cx="3122579" cy="5112794"/>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3125037" cy="5116819"/>
                    </a:xfrm>
                    <a:prstGeom prst="rect">
                      <a:avLst/>
                    </a:prstGeom>
                  </pic:spPr>
                </pic:pic>
              </a:graphicData>
            </a:graphic>
          </wp:inline>
        </w:drawing>
      </w:r>
    </w:p>
    <w:p w14:paraId="5F2DCA12" w14:textId="77777777" w:rsidR="00926D57" w:rsidRPr="004D278D" w:rsidRDefault="00926D57" w:rsidP="00A62BA6">
      <w:pPr>
        <w:spacing w:line="276" w:lineRule="auto"/>
        <w:rPr>
          <w:b/>
          <w:bCs w:val="0"/>
        </w:rPr>
      </w:pPr>
    </w:p>
    <w:p w14:paraId="7AADF485" w14:textId="77777777" w:rsidR="00926D57" w:rsidRPr="00FC0540" w:rsidRDefault="00926D57" w:rsidP="00A62BA6">
      <w:pPr>
        <w:spacing w:line="276" w:lineRule="auto"/>
        <w:rPr>
          <w:b/>
          <w:bCs w:val="0"/>
        </w:rPr>
      </w:pPr>
      <w:r w:rsidRPr="00FC0540">
        <w:t>Figure S3.</w:t>
      </w:r>
      <w:r w:rsidRPr="00FC0540">
        <w:rPr>
          <w:bCs w:val="0"/>
        </w:rPr>
        <w:t xml:space="preserve"> A heatmap of differentially expressed genes from </w:t>
      </w:r>
      <w:r w:rsidRPr="00FC0540">
        <w:rPr>
          <w:bCs w:val="0"/>
          <w:i/>
          <w:iCs/>
        </w:rPr>
        <w:t xml:space="preserve">Sporolithon </w:t>
      </w:r>
      <w:r w:rsidRPr="00FC0540">
        <w:rPr>
          <w:bCs w:val="0"/>
        </w:rPr>
        <w:t xml:space="preserve">cf. </w:t>
      </w:r>
      <w:r w:rsidRPr="00FC0540">
        <w:rPr>
          <w:bCs w:val="0"/>
          <w:i/>
          <w:iCs/>
        </w:rPr>
        <w:t>durum</w:t>
      </w:r>
      <w:r w:rsidRPr="00FC0540">
        <w:rPr>
          <w:bCs w:val="0"/>
        </w:rPr>
        <w:t xml:space="preserve"> based on </w:t>
      </w:r>
      <w:r w:rsidRPr="00FC0540">
        <w:rPr>
          <w:bCs w:val="0"/>
          <w:i/>
          <w:iCs/>
        </w:rPr>
        <w:t xml:space="preserve">p </w:t>
      </w:r>
      <w:r w:rsidRPr="00FC0540">
        <w:rPr>
          <w:bCs w:val="0"/>
        </w:rPr>
        <w:t xml:space="preserve">values &lt; 0.05, without FDR adjustment. Heatmap shows expression of genes in </w:t>
      </w:r>
      <w:r w:rsidRPr="00FC0540">
        <w:rPr>
          <w:bCs w:val="0"/>
          <w:i/>
          <w:iCs/>
        </w:rPr>
        <w:t xml:space="preserve">S. </w:t>
      </w:r>
      <w:r w:rsidRPr="00FC0540">
        <w:rPr>
          <w:bCs w:val="0"/>
        </w:rPr>
        <w:t xml:space="preserve">cf. </w:t>
      </w:r>
      <w:r w:rsidRPr="00FC0540">
        <w:rPr>
          <w:bCs w:val="0"/>
          <w:i/>
          <w:iCs/>
        </w:rPr>
        <w:t>durum</w:t>
      </w:r>
      <w:r w:rsidRPr="00FC0540">
        <w:rPr>
          <w:bCs w:val="0"/>
        </w:rPr>
        <w:t xml:space="preserve">, however, these were not significant. Treatment labels correspond to the following treatments: control (27.2 ºC and 8.0 pH), T (29.5 ºC and 8.0 pH), pH (27.2 ºC and 7.7 pH), and </w:t>
      </w:r>
      <w:proofErr w:type="spellStart"/>
      <w:r w:rsidRPr="00FC0540">
        <w:rPr>
          <w:bCs w:val="0"/>
        </w:rPr>
        <w:t>T+pH</w:t>
      </w:r>
      <w:proofErr w:type="spellEnd"/>
      <w:r w:rsidRPr="00FC0540">
        <w:rPr>
          <w:bCs w:val="0"/>
        </w:rPr>
        <w:t xml:space="preserve"> (29.5 ºC and 7.7 pH). </w:t>
      </w:r>
    </w:p>
    <w:p w14:paraId="6284201E" w14:textId="65705724" w:rsidR="00926D57" w:rsidRPr="004D278D" w:rsidRDefault="00926D57" w:rsidP="00A62BA6">
      <w:pPr>
        <w:spacing w:line="276" w:lineRule="auto"/>
        <w:rPr>
          <w:b/>
          <w:bCs w:val="0"/>
          <w:sz w:val="20"/>
          <w:szCs w:val="20"/>
        </w:rPr>
      </w:pPr>
      <w:r w:rsidRPr="004D278D">
        <w:rPr>
          <w:bCs w:val="0"/>
          <w:sz w:val="20"/>
          <w:szCs w:val="20"/>
        </w:rPr>
        <w:br w:type="page"/>
      </w:r>
    </w:p>
    <w:p w14:paraId="234F3F12" w14:textId="77777777" w:rsidR="00926D57" w:rsidRPr="00E03B4E" w:rsidRDefault="00926D57" w:rsidP="00A62BA6">
      <w:pPr>
        <w:spacing w:line="276" w:lineRule="auto"/>
        <w:rPr>
          <w:b/>
          <w:bCs w:val="0"/>
          <w:sz w:val="20"/>
          <w:szCs w:val="20"/>
        </w:rPr>
      </w:pPr>
      <w:r w:rsidRPr="00E03B4E">
        <w:rPr>
          <w:b/>
          <w:bCs w:val="0"/>
          <w:noProof/>
          <w:lang w:val="en-US"/>
        </w:rPr>
        <w:lastRenderedPageBreak/>
        <w:drawing>
          <wp:inline distT="0" distB="0" distL="0" distR="0" wp14:anchorId="5524C854" wp14:editId="2D9A3A07">
            <wp:extent cx="4010957" cy="29718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stretch>
                      <a:fillRect/>
                    </a:stretch>
                  </pic:blipFill>
                  <pic:spPr>
                    <a:xfrm>
                      <a:off x="0" y="0"/>
                      <a:ext cx="4027339" cy="2983938"/>
                    </a:xfrm>
                    <a:prstGeom prst="rect">
                      <a:avLst/>
                    </a:prstGeom>
                  </pic:spPr>
                </pic:pic>
              </a:graphicData>
            </a:graphic>
          </wp:inline>
        </w:drawing>
      </w:r>
    </w:p>
    <w:p w14:paraId="49D79157" w14:textId="79C1A7E4" w:rsidR="00926D57" w:rsidRDefault="00926D57" w:rsidP="00A62BA6">
      <w:pPr>
        <w:spacing w:line="276" w:lineRule="auto"/>
        <w:rPr>
          <w:bCs w:val="0"/>
          <w:color w:val="000000" w:themeColor="text1"/>
        </w:rPr>
      </w:pPr>
      <w:r w:rsidRPr="00FC0540">
        <w:t>Figure S4.</w:t>
      </w:r>
      <w:r w:rsidRPr="00FC0540">
        <w:rPr>
          <w:bCs w:val="0"/>
        </w:rPr>
        <w:t xml:space="preserve"> RT-qPCR validation graphs for </w:t>
      </w:r>
      <w:r w:rsidRPr="00FC0540">
        <w:rPr>
          <w:bCs w:val="0"/>
          <w:i/>
          <w:iCs/>
          <w:color w:val="000000" w:themeColor="text1"/>
        </w:rPr>
        <w:t xml:space="preserve">Porolithon </w:t>
      </w:r>
      <w:r w:rsidRPr="00FC0540">
        <w:rPr>
          <w:bCs w:val="0"/>
          <w:color w:val="000000" w:themeColor="text1"/>
        </w:rPr>
        <w:t xml:space="preserve">cf. </w:t>
      </w:r>
      <w:r w:rsidRPr="00FC0540">
        <w:rPr>
          <w:bCs w:val="0"/>
          <w:i/>
          <w:iCs/>
          <w:color w:val="000000" w:themeColor="text1"/>
        </w:rPr>
        <w:t>onkodes</w:t>
      </w:r>
      <w:r w:rsidRPr="00FC0540">
        <w:rPr>
          <w:bCs w:val="0"/>
          <w:color w:val="000000" w:themeColor="text1"/>
        </w:rPr>
        <w:t xml:space="preserve">. * </w:t>
      </w:r>
      <w:r w:rsidR="00071B20" w:rsidRPr="00FC0540">
        <w:rPr>
          <w:bCs w:val="0"/>
          <w:color w:val="000000" w:themeColor="text1"/>
        </w:rPr>
        <w:t xml:space="preserve">denotes </w:t>
      </w:r>
      <w:r w:rsidRPr="00FC0540">
        <w:rPr>
          <w:bCs w:val="0"/>
          <w:color w:val="000000" w:themeColor="text1"/>
        </w:rPr>
        <w:t>significant relative expression compared to a control sample (in bold). Values are the log</w:t>
      </w:r>
      <w:r w:rsidRPr="00FC0540">
        <w:rPr>
          <w:bCs w:val="0"/>
          <w:color w:val="000000" w:themeColor="text1"/>
          <w:vertAlign w:val="subscript"/>
        </w:rPr>
        <w:t>2</w:t>
      </w:r>
      <w:r w:rsidRPr="00FC0540">
        <w:rPr>
          <w:bCs w:val="0"/>
          <w:color w:val="000000" w:themeColor="text1"/>
        </w:rPr>
        <w:t xml:space="preserve"> relative expression (∆∆Ct) of genes using two </w:t>
      </w:r>
      <w:r w:rsidR="007E69E4" w:rsidRPr="00FC0540">
        <w:rPr>
          <w:bCs w:val="0"/>
          <w:color w:val="000000" w:themeColor="text1"/>
        </w:rPr>
        <w:t xml:space="preserve">reference </w:t>
      </w:r>
      <w:r w:rsidRPr="00FC0540">
        <w:rPr>
          <w:bCs w:val="0"/>
          <w:color w:val="000000" w:themeColor="text1"/>
        </w:rPr>
        <w:t xml:space="preserve">genes (DN95780 and DN76782) ± normalised standard error of the mean (SEM). </w:t>
      </w:r>
      <w:r w:rsidRPr="00FC0540">
        <w:rPr>
          <w:color w:val="000000" w:themeColor="text1"/>
        </w:rPr>
        <w:t xml:space="preserve">a) </w:t>
      </w:r>
      <w:r w:rsidRPr="00FC0540">
        <w:rPr>
          <w:bCs w:val="0"/>
          <w:color w:val="000000" w:themeColor="text1"/>
        </w:rPr>
        <w:t xml:space="preserve">Transcript likely encoding for Hsp33 (BLASTX); </w:t>
      </w:r>
      <w:r w:rsidRPr="00FC0540">
        <w:rPr>
          <w:color w:val="000000" w:themeColor="text1"/>
        </w:rPr>
        <w:t xml:space="preserve">b) </w:t>
      </w:r>
      <w:r w:rsidRPr="00FC0540">
        <w:rPr>
          <w:bCs w:val="0"/>
          <w:color w:val="000000" w:themeColor="text1"/>
        </w:rPr>
        <w:t xml:space="preserve">transcript likely encoding photosystem II CP47 (BLASTX); and </w:t>
      </w:r>
      <w:r w:rsidRPr="00FC0540">
        <w:rPr>
          <w:color w:val="000000" w:themeColor="text1"/>
        </w:rPr>
        <w:t xml:space="preserve">c) </w:t>
      </w:r>
      <w:r w:rsidRPr="00FC0540">
        <w:rPr>
          <w:bCs w:val="0"/>
          <w:color w:val="000000" w:themeColor="text1"/>
        </w:rPr>
        <w:t xml:space="preserve">transcript likely encoding GAPDH (BLASTX). </w:t>
      </w:r>
    </w:p>
    <w:p w14:paraId="1552C985" w14:textId="77777777" w:rsidR="00262D56" w:rsidRPr="00E03B4E" w:rsidRDefault="00262D56" w:rsidP="00A62BA6">
      <w:pPr>
        <w:spacing w:line="276" w:lineRule="auto"/>
        <w:rPr>
          <w:b/>
          <w:bCs w:val="0"/>
          <w:color w:val="000000" w:themeColor="text1"/>
        </w:rPr>
      </w:pPr>
    </w:p>
    <w:p w14:paraId="4B5E2B58" w14:textId="4C302D0C" w:rsidR="001078CF" w:rsidRPr="00E03B4E" w:rsidRDefault="00926D57" w:rsidP="00A62BA6">
      <w:pPr>
        <w:spacing w:line="276" w:lineRule="auto"/>
        <w:rPr>
          <w:sz w:val="20"/>
          <w:szCs w:val="20"/>
        </w:rPr>
      </w:pPr>
      <w:r w:rsidRPr="00E03B4E">
        <w:rPr>
          <w:b/>
          <w:bCs w:val="0"/>
          <w:noProof/>
          <w:color w:val="000000" w:themeColor="text1"/>
        </w:rPr>
        <w:drawing>
          <wp:inline distT="0" distB="0" distL="0" distR="0" wp14:anchorId="75E2914F" wp14:editId="7E81DD98">
            <wp:extent cx="4024609" cy="283464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4036532" cy="2843038"/>
                    </a:xfrm>
                    <a:prstGeom prst="rect">
                      <a:avLst/>
                    </a:prstGeom>
                  </pic:spPr>
                </pic:pic>
              </a:graphicData>
            </a:graphic>
          </wp:inline>
        </w:drawing>
      </w:r>
    </w:p>
    <w:p w14:paraId="3E30D0E9" w14:textId="20849C35" w:rsidR="00926D57" w:rsidRDefault="00926D57" w:rsidP="00A62BA6">
      <w:pPr>
        <w:spacing w:line="276" w:lineRule="auto"/>
        <w:rPr>
          <w:bCs w:val="0"/>
          <w:color w:val="000000" w:themeColor="text1"/>
        </w:rPr>
      </w:pPr>
      <w:r w:rsidRPr="00FC0540">
        <w:t>Figure S5.</w:t>
      </w:r>
      <w:r w:rsidRPr="00FC0540">
        <w:rPr>
          <w:bCs w:val="0"/>
        </w:rPr>
        <w:t xml:space="preserve"> RT-qPCR validation graphs for </w:t>
      </w:r>
      <w:r w:rsidRPr="00FC0540">
        <w:rPr>
          <w:bCs w:val="0"/>
          <w:i/>
          <w:iCs/>
          <w:color w:val="000000" w:themeColor="text1"/>
        </w:rPr>
        <w:t>Sporolithon cf. durum</w:t>
      </w:r>
      <w:r w:rsidRPr="00FC0540">
        <w:rPr>
          <w:bCs w:val="0"/>
          <w:color w:val="000000" w:themeColor="text1"/>
        </w:rPr>
        <w:t xml:space="preserve">. * </w:t>
      </w:r>
      <w:r w:rsidR="001F62A7" w:rsidRPr="00FC0540">
        <w:rPr>
          <w:bCs w:val="0"/>
          <w:color w:val="000000" w:themeColor="text1"/>
        </w:rPr>
        <w:t xml:space="preserve">denotes </w:t>
      </w:r>
      <w:r w:rsidRPr="00FC0540">
        <w:rPr>
          <w:bCs w:val="0"/>
          <w:color w:val="000000" w:themeColor="text1"/>
        </w:rPr>
        <w:t>significant expression compared to a control sample (in bold). Values are the log</w:t>
      </w:r>
      <w:r w:rsidRPr="00FC0540">
        <w:rPr>
          <w:bCs w:val="0"/>
          <w:color w:val="000000" w:themeColor="text1"/>
          <w:vertAlign w:val="superscript"/>
        </w:rPr>
        <w:t>2</w:t>
      </w:r>
      <w:r w:rsidRPr="00FC0540">
        <w:rPr>
          <w:bCs w:val="0"/>
          <w:color w:val="000000" w:themeColor="text1"/>
        </w:rPr>
        <w:t xml:space="preserve"> relative expression (∆∆Ct) of genes using one reference (DN199936) ± normalised standard error of the mean (SEM). </w:t>
      </w:r>
      <w:r w:rsidRPr="00FC0540">
        <w:rPr>
          <w:color w:val="000000" w:themeColor="text1"/>
        </w:rPr>
        <w:t xml:space="preserve">a) </w:t>
      </w:r>
      <w:r w:rsidRPr="00FC0540">
        <w:rPr>
          <w:bCs w:val="0"/>
          <w:color w:val="000000" w:themeColor="text1"/>
        </w:rPr>
        <w:t xml:space="preserve">Transcript likely encoding for serine/threonine protein phosphate (BLASTX); </w:t>
      </w:r>
      <w:r w:rsidRPr="00FC0540">
        <w:rPr>
          <w:color w:val="000000" w:themeColor="text1"/>
        </w:rPr>
        <w:t xml:space="preserve">b) </w:t>
      </w:r>
      <w:r w:rsidRPr="00FC0540">
        <w:rPr>
          <w:bCs w:val="0"/>
          <w:color w:val="000000" w:themeColor="text1"/>
        </w:rPr>
        <w:t xml:space="preserve">transcript likely encoding transcript likely encoding Hsp33 (BLASTX); and </w:t>
      </w:r>
      <w:r w:rsidRPr="00FC0540">
        <w:rPr>
          <w:color w:val="000000" w:themeColor="text1"/>
        </w:rPr>
        <w:t xml:space="preserve">c) </w:t>
      </w:r>
      <w:r w:rsidRPr="00FC0540">
        <w:rPr>
          <w:bCs w:val="0"/>
          <w:color w:val="000000" w:themeColor="text1"/>
        </w:rPr>
        <w:t xml:space="preserve">transcript likely encoding acetyl-CoA (BLASTX). </w:t>
      </w:r>
    </w:p>
    <w:p w14:paraId="769A91F7" w14:textId="0E4137B1" w:rsidR="000263C8" w:rsidRPr="00305E4B" w:rsidRDefault="0070042E" w:rsidP="00A62BA6">
      <w:pPr>
        <w:spacing w:line="276" w:lineRule="auto"/>
        <w:rPr>
          <w:rFonts w:ascii="Arial" w:eastAsia="Times New Roman" w:hAnsi="Arial" w:cs="Arial"/>
          <w:b/>
          <w:bCs w:val="0"/>
          <w:color w:val="000000"/>
          <w:sz w:val="20"/>
          <w:szCs w:val="20"/>
          <w:lang w:eastAsia="en-GB"/>
        </w:rPr>
      </w:pPr>
      <w:r w:rsidRPr="00FC0540">
        <w:lastRenderedPageBreak/>
        <w:t xml:space="preserve">Table </w:t>
      </w:r>
      <w:r w:rsidR="006868AD" w:rsidRPr="00FC0540">
        <w:t>S</w:t>
      </w:r>
      <w:r w:rsidRPr="00FC0540">
        <w:t>1</w:t>
      </w:r>
      <w:r w:rsidR="004A757F" w:rsidRPr="00FC0540">
        <w:t>.</w:t>
      </w:r>
      <w:r w:rsidRPr="00FC0540">
        <w:rPr>
          <w:bCs w:val="0"/>
        </w:rPr>
        <w:t xml:space="preserve"> Metabolic responses of crustose coralline algae to the combined effects of elevated temperature and </w:t>
      </w:r>
      <w:r w:rsidRPr="00FC0540">
        <w:rPr>
          <w:bCs w:val="0"/>
          <w:i/>
          <w:iCs/>
        </w:rPr>
        <w:t>p</w:t>
      </w:r>
      <w:r w:rsidRPr="00FC0540">
        <w:rPr>
          <w:bCs w:val="0"/>
        </w:rPr>
        <w:t>CO</w:t>
      </w:r>
      <w:r w:rsidRPr="00FC0540">
        <w:rPr>
          <w:bCs w:val="0"/>
          <w:vertAlign w:val="subscript"/>
        </w:rPr>
        <w:t>2</w:t>
      </w:r>
      <w:r w:rsidRPr="00FC0540">
        <w:rPr>
          <w:bCs w:val="0"/>
        </w:rPr>
        <w:t>/reduced pH</w:t>
      </w:r>
      <w:r w:rsidR="00BB7EF2" w:rsidRPr="00FC0540">
        <w:rPr>
          <w:bCs w:val="0"/>
        </w:rPr>
        <w:t>, as reported in previous studies</w:t>
      </w:r>
      <w:r w:rsidRPr="00FC0540">
        <w:rPr>
          <w:bCs w:val="0"/>
        </w:rPr>
        <w:t xml:space="preserve">. </w:t>
      </w:r>
      <w:r w:rsidR="00AD3D52" w:rsidRPr="00FC0540">
        <w:rPr>
          <w:bCs w:val="0"/>
        </w:rPr>
        <w:t xml:space="preserve">Species </w:t>
      </w:r>
      <w:r w:rsidR="00767738" w:rsidRPr="00FC0540">
        <w:rPr>
          <w:bCs w:val="0"/>
        </w:rPr>
        <w:t xml:space="preserve">that were used in the phylogenetic tree are bolded, all studies in </w:t>
      </w:r>
      <w:r w:rsidR="004F7D46" w:rsidRPr="00FC0540">
        <w:rPr>
          <w:bCs w:val="0"/>
        </w:rPr>
        <w:t>this</w:t>
      </w:r>
      <w:r w:rsidR="00767738" w:rsidRPr="00FC0540">
        <w:rPr>
          <w:bCs w:val="0"/>
        </w:rPr>
        <w:t xml:space="preserve"> table were used in</w:t>
      </w:r>
      <w:r w:rsidR="00BB7EF2" w:rsidRPr="00FC0540">
        <w:rPr>
          <w:bCs w:val="0"/>
        </w:rPr>
        <w:t xml:space="preserve"> the</w:t>
      </w:r>
      <w:r w:rsidR="00767738" w:rsidRPr="00FC0540">
        <w:rPr>
          <w:bCs w:val="0"/>
        </w:rPr>
        <w:t xml:space="preserve"> response graph </w:t>
      </w:r>
      <w:r w:rsidR="00103912" w:rsidRPr="00FC0540">
        <w:rPr>
          <w:bCs w:val="0"/>
        </w:rPr>
        <w:t xml:space="preserve">in Figure 1. Green = positive response to elevated temperature and </w:t>
      </w:r>
      <w:r w:rsidR="00103912" w:rsidRPr="00FC0540">
        <w:rPr>
          <w:bCs w:val="0"/>
          <w:i/>
          <w:iCs/>
        </w:rPr>
        <w:t>p</w:t>
      </w:r>
      <w:r w:rsidR="00103912" w:rsidRPr="00FC0540">
        <w:rPr>
          <w:bCs w:val="0"/>
        </w:rPr>
        <w:t>CO</w:t>
      </w:r>
      <w:r w:rsidR="00103912" w:rsidRPr="00FC0540">
        <w:rPr>
          <w:bCs w:val="0"/>
          <w:vertAlign w:val="subscript"/>
        </w:rPr>
        <w:t>2</w:t>
      </w:r>
      <w:r w:rsidR="00103912" w:rsidRPr="00FC0540">
        <w:rPr>
          <w:bCs w:val="0"/>
        </w:rPr>
        <w:t xml:space="preserve">/reduced pH, red = negative response to elevated </w:t>
      </w:r>
      <w:r w:rsidR="00103912" w:rsidRPr="00896920">
        <w:rPr>
          <w:bCs w:val="0"/>
        </w:rPr>
        <w:t xml:space="preserve">temperature and </w:t>
      </w:r>
      <w:r w:rsidR="00103912" w:rsidRPr="00896920">
        <w:rPr>
          <w:bCs w:val="0"/>
          <w:i/>
          <w:iCs/>
        </w:rPr>
        <w:t>p</w:t>
      </w:r>
      <w:r w:rsidR="00103912" w:rsidRPr="00896920">
        <w:rPr>
          <w:bCs w:val="0"/>
        </w:rPr>
        <w:t>CO</w:t>
      </w:r>
      <w:r w:rsidR="00103912" w:rsidRPr="00896920">
        <w:rPr>
          <w:bCs w:val="0"/>
          <w:vertAlign w:val="subscript"/>
        </w:rPr>
        <w:t>2</w:t>
      </w:r>
      <w:r w:rsidR="00103912" w:rsidRPr="00896920">
        <w:rPr>
          <w:bCs w:val="0"/>
        </w:rPr>
        <w:t xml:space="preserve">/reduced pH, and </w:t>
      </w:r>
      <w:r w:rsidR="00F2681C" w:rsidRPr="00896920">
        <w:rPr>
          <w:bCs w:val="0"/>
        </w:rPr>
        <w:t xml:space="preserve">blue </w:t>
      </w:r>
      <w:r w:rsidR="00103912" w:rsidRPr="00896920">
        <w:rPr>
          <w:bCs w:val="0"/>
        </w:rPr>
        <w:t>= no response. Included within the table are</w:t>
      </w:r>
      <w:r w:rsidR="0042378E" w:rsidRPr="00896920">
        <w:rPr>
          <w:bCs w:val="0"/>
        </w:rPr>
        <w:t xml:space="preserve"> species names,</w:t>
      </w:r>
      <w:r w:rsidR="00103912" w:rsidRPr="00896920">
        <w:rPr>
          <w:bCs w:val="0"/>
        </w:rPr>
        <w:t xml:space="preserve"> order,</w:t>
      </w:r>
      <w:r w:rsidR="004F7D46" w:rsidRPr="00896920">
        <w:rPr>
          <w:bCs w:val="0"/>
        </w:rPr>
        <w:t xml:space="preserve"> estimated</w:t>
      </w:r>
      <w:r w:rsidR="00ED40F8" w:rsidRPr="00896920">
        <w:rPr>
          <w:bCs w:val="0"/>
        </w:rPr>
        <w:t xml:space="preserve"> first occurrence </w:t>
      </w:r>
      <w:r w:rsidR="004F7D46" w:rsidRPr="00896920">
        <w:rPr>
          <w:bCs w:val="0"/>
        </w:rPr>
        <w:t xml:space="preserve">of genera </w:t>
      </w:r>
      <w:r w:rsidR="00262D56">
        <w:rPr>
          <w:bCs w:val="0"/>
        </w:rPr>
        <w:t>(</w:t>
      </w:r>
      <w:r w:rsidR="004F7D46" w:rsidRPr="00896920">
        <w:rPr>
          <w:bCs w:val="0"/>
        </w:rPr>
        <w:t xml:space="preserve">obtained from </w:t>
      </w:r>
      <w:r w:rsidR="004F7D46" w:rsidRPr="00896920">
        <w:rPr>
          <w:bCs w:val="0"/>
        </w:rPr>
        <w:fldChar w:fldCharType="begin"/>
      </w:r>
      <w:r w:rsidR="00E511F0">
        <w:rPr>
          <w:bCs w:val="0"/>
        </w:rPr>
        <w:instrText xml:space="preserve"> ADDIN EN.CITE &lt;EndNote&gt;&lt;Cite AuthorYear="1"&gt;&lt;Author&gt;Peña&lt;/Author&gt;&lt;Year&gt;2020&lt;/Year&gt;&lt;RecNum&gt;671&lt;/RecNum&gt;&lt;DisplayText&gt;V Peña, C Vieira, J Carlos Braga, J Aguirre, A Rösler, G Baele, O De Clerck and L Le Gall [23]&lt;/DisplayText&gt;&lt;record&gt;&lt;rec-number&gt;671&lt;/rec-number&gt;&lt;foreign-keys&gt;&lt;key app="EN" db-id="5rdwapt2bfwze6edv59v2dwm2vapa5vptpr0" timestamp="1589757697"&gt;671&lt;/key&gt;&lt;/foreign-keys&gt;&lt;ref-type name="Journal Article"&gt;17&lt;/ref-type&gt;&lt;contributors&gt;&lt;authors&gt;&lt;author&gt;Peña, Viviana&lt;/author&gt;&lt;author&gt;Vieira, Christophe&lt;/author&gt;&lt;author&gt;Carlos Braga, Juan&lt;/author&gt;&lt;author&gt;Aguirre, Julio&lt;/author&gt;&lt;author&gt;Rösler, Anja&lt;/author&gt;&lt;author&gt;Baele, Guy&lt;/author&gt;&lt;author&gt;De Clerck, Olivier&lt;/author&gt;&lt;author&gt;Le Gall, Line&lt;/author&gt;&lt;/authors&gt;&lt;/contributors&gt;&lt;titles&gt;&lt;title&gt;Radiation of the coralline red algae (Corallinophycidae, Rhodophyta) crown group as inferred from a multilocus time-calibrated phylogeny&lt;/title&gt;&lt;secondary-title&gt;Molecular Phylogenetics and Evolution&lt;/secondary-title&gt;&lt;/titles&gt;&lt;periodical&gt;&lt;full-title&gt;Molecular Phylogenetics and Evolution&lt;/full-title&gt;&lt;/periodical&gt;&lt;pages&gt;106845&lt;/pages&gt;&lt;volume&gt;150&lt;/volume&gt;&lt;keywords&gt;&lt;keyword&gt;Corallinales&lt;/keyword&gt;&lt;keyword&gt;evolution&lt;/keyword&gt;&lt;keyword&gt;diversification&lt;/keyword&gt;&lt;keyword&gt;Florideophyceae&lt;/keyword&gt;&lt;keyword&gt;fossil records&lt;/keyword&gt;&lt;keyword&gt;taxonomy&lt;/keyword&gt;&lt;/keywords&gt;&lt;dates&gt;&lt;year&gt;2020&lt;/year&gt;&lt;/dates&gt;&lt;urls&gt;&lt;/urls&gt;&lt;electronic-resource-num&gt;10.1016/j.ympev.2020.106845&lt;/electronic-resource-num&gt;&lt;/record&gt;&lt;/Cite&gt;&lt;/EndNote&gt;</w:instrText>
      </w:r>
      <w:r w:rsidR="004F7D46" w:rsidRPr="00896920">
        <w:rPr>
          <w:bCs w:val="0"/>
        </w:rPr>
        <w:fldChar w:fldCharType="separate"/>
      </w:r>
      <w:r w:rsidR="00E777FE" w:rsidRPr="00896920">
        <w:rPr>
          <w:bCs w:val="0"/>
          <w:noProof/>
        </w:rPr>
        <w:t>V Peña, C Vieira, J Carlos Braga, J Aguirre, A Rösler, G Baele, O De Clerck and L Le Gall [23]</w:t>
      </w:r>
      <w:r w:rsidR="004F7D46" w:rsidRPr="00896920">
        <w:rPr>
          <w:bCs w:val="0"/>
        </w:rPr>
        <w:fldChar w:fldCharType="end"/>
      </w:r>
      <w:r w:rsidR="00262D56">
        <w:rPr>
          <w:bCs w:val="0"/>
        </w:rPr>
        <w:t>)</w:t>
      </w:r>
      <w:r w:rsidR="004F7D46" w:rsidRPr="00896920">
        <w:rPr>
          <w:bCs w:val="0"/>
        </w:rPr>
        <w:t>,</w:t>
      </w:r>
      <w:r w:rsidR="00103912" w:rsidRPr="00896920">
        <w:rPr>
          <w:bCs w:val="0"/>
        </w:rPr>
        <w:t xml:space="preserve"> levels of temperature and </w:t>
      </w:r>
      <w:r w:rsidR="00103912" w:rsidRPr="00896920">
        <w:rPr>
          <w:bCs w:val="0"/>
          <w:i/>
          <w:iCs/>
        </w:rPr>
        <w:t>p</w:t>
      </w:r>
      <w:r w:rsidR="00103912" w:rsidRPr="00896920">
        <w:rPr>
          <w:bCs w:val="0"/>
        </w:rPr>
        <w:t>CO</w:t>
      </w:r>
      <w:r w:rsidR="00103912" w:rsidRPr="00896920">
        <w:rPr>
          <w:bCs w:val="0"/>
          <w:vertAlign w:val="subscript"/>
        </w:rPr>
        <w:t>2</w:t>
      </w:r>
      <w:r w:rsidR="00103912" w:rsidRPr="00896920">
        <w:rPr>
          <w:bCs w:val="0"/>
        </w:rPr>
        <w:t>/pH relative to current</w:t>
      </w:r>
      <w:r w:rsidR="003D4314" w:rsidRPr="00896920">
        <w:rPr>
          <w:bCs w:val="0"/>
        </w:rPr>
        <w:t xml:space="preserve"> at time of divergence</w:t>
      </w:r>
      <w:r w:rsidR="00103912" w:rsidRPr="00896920">
        <w:rPr>
          <w:bCs w:val="0"/>
        </w:rPr>
        <w:t xml:space="preserve">, </w:t>
      </w:r>
      <w:r w:rsidR="00857304" w:rsidRPr="00896920">
        <w:rPr>
          <w:bCs w:val="0"/>
        </w:rPr>
        <w:t>species collection location</w:t>
      </w:r>
      <w:r w:rsidR="00103912" w:rsidRPr="00896920">
        <w:rPr>
          <w:bCs w:val="0"/>
        </w:rPr>
        <w:t xml:space="preserve">, </w:t>
      </w:r>
      <w:r w:rsidR="004F7D46" w:rsidRPr="00896920">
        <w:rPr>
          <w:bCs w:val="0"/>
        </w:rPr>
        <w:t xml:space="preserve">methodology of </w:t>
      </w:r>
      <w:r w:rsidR="00103912" w:rsidRPr="00896920">
        <w:rPr>
          <w:bCs w:val="0"/>
        </w:rPr>
        <w:t>metabolic</w:t>
      </w:r>
      <w:r w:rsidR="00103912" w:rsidRPr="00FC0540">
        <w:rPr>
          <w:bCs w:val="0"/>
        </w:rPr>
        <w:t xml:space="preserve"> rate measure</w:t>
      </w:r>
      <w:r w:rsidR="00EA40FF" w:rsidRPr="00FC0540">
        <w:rPr>
          <w:bCs w:val="0"/>
        </w:rPr>
        <w:t>ment</w:t>
      </w:r>
      <w:r w:rsidR="00103912" w:rsidRPr="00FC0540">
        <w:rPr>
          <w:bCs w:val="0"/>
        </w:rPr>
        <w:t xml:space="preserve">, calculated mean value for control and elevated temperature and </w:t>
      </w:r>
      <w:r w:rsidR="00103912" w:rsidRPr="00FC0540">
        <w:rPr>
          <w:bCs w:val="0"/>
          <w:i/>
          <w:iCs/>
        </w:rPr>
        <w:t>p</w:t>
      </w:r>
      <w:r w:rsidR="00103912" w:rsidRPr="00FC0540">
        <w:rPr>
          <w:bCs w:val="0"/>
        </w:rPr>
        <w:t>CO</w:t>
      </w:r>
      <w:r w:rsidR="00103912" w:rsidRPr="00FC0540">
        <w:rPr>
          <w:bCs w:val="0"/>
          <w:vertAlign w:val="subscript"/>
        </w:rPr>
        <w:t>2</w:t>
      </w:r>
      <w:r w:rsidR="00103912" w:rsidRPr="00FC0540">
        <w:rPr>
          <w:bCs w:val="0"/>
        </w:rPr>
        <w:t>/reduced pH treatments, and respective stu</w:t>
      </w:r>
      <w:r w:rsidR="004F7D46" w:rsidRPr="00FC0540">
        <w:rPr>
          <w:bCs w:val="0"/>
        </w:rPr>
        <w:t>dy</w:t>
      </w:r>
      <w:r w:rsidR="00103912" w:rsidRPr="00FC0540">
        <w:rPr>
          <w:bCs w:val="0"/>
        </w:rPr>
        <w:t xml:space="preserve">. </w:t>
      </w:r>
      <w:r w:rsidR="00BE54DB" w:rsidRPr="00FC0540">
        <w:rPr>
          <w:bCs w:val="0"/>
        </w:rPr>
        <w:t>PAM = Pulse Amplitude Modulation Fluorometry</w:t>
      </w:r>
      <w:r w:rsidR="008E02AF" w:rsidRPr="00FC0540">
        <w:rPr>
          <w:bCs w:val="0"/>
        </w:rPr>
        <w:t>.</w:t>
      </w:r>
      <w:r w:rsidR="00857304" w:rsidRPr="00FC0540">
        <w:rPr>
          <w:bCs w:val="0"/>
        </w:rPr>
        <w:t xml:space="preserve"> GBR = Great Barrier Reef, Australia</w:t>
      </w:r>
    </w:p>
    <w:tbl>
      <w:tblPr>
        <w:tblW w:w="4917" w:type="pct"/>
        <w:tblLayout w:type="fixed"/>
        <w:tblLook w:val="04A0" w:firstRow="1" w:lastRow="0" w:firstColumn="1" w:lastColumn="0" w:noHBand="0" w:noVBand="1"/>
      </w:tblPr>
      <w:tblGrid>
        <w:gridCol w:w="1354"/>
        <w:gridCol w:w="1064"/>
        <w:gridCol w:w="11"/>
        <w:gridCol w:w="986"/>
        <w:gridCol w:w="12"/>
        <w:gridCol w:w="970"/>
        <w:gridCol w:w="12"/>
        <w:gridCol w:w="833"/>
        <w:gridCol w:w="12"/>
        <w:gridCol w:w="1086"/>
        <w:gridCol w:w="12"/>
        <w:gridCol w:w="729"/>
        <w:gridCol w:w="12"/>
        <w:gridCol w:w="840"/>
        <w:gridCol w:w="12"/>
        <w:gridCol w:w="950"/>
        <w:gridCol w:w="12"/>
        <w:gridCol w:w="7"/>
      </w:tblGrid>
      <w:tr w:rsidR="00A76C59" w:rsidRPr="00A76C59" w14:paraId="4D95901D" w14:textId="77777777" w:rsidTr="00A76C59">
        <w:trPr>
          <w:gridAfter w:val="2"/>
          <w:wAfter w:w="11" w:type="pct"/>
          <w:trHeight w:val="833"/>
        </w:trPr>
        <w:tc>
          <w:tcPr>
            <w:tcW w:w="759" w:type="pct"/>
            <w:tcBorders>
              <w:top w:val="single" w:sz="4" w:space="0" w:color="auto"/>
              <w:left w:val="nil"/>
              <w:bottom w:val="single" w:sz="4" w:space="0" w:color="auto"/>
              <w:right w:val="nil"/>
            </w:tcBorders>
            <w:shd w:val="clear" w:color="auto" w:fill="auto"/>
            <w:vAlign w:val="center"/>
            <w:hideMark/>
          </w:tcPr>
          <w:p w14:paraId="22B87E05"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Species</w:t>
            </w:r>
          </w:p>
        </w:tc>
        <w:tc>
          <w:tcPr>
            <w:tcW w:w="596" w:type="pct"/>
            <w:tcBorders>
              <w:top w:val="single" w:sz="4" w:space="0" w:color="auto"/>
              <w:left w:val="nil"/>
              <w:bottom w:val="single" w:sz="4" w:space="0" w:color="auto"/>
              <w:right w:val="nil"/>
            </w:tcBorders>
            <w:shd w:val="clear" w:color="auto" w:fill="auto"/>
            <w:vAlign w:val="center"/>
            <w:hideMark/>
          </w:tcPr>
          <w:p w14:paraId="1AC749C7"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Order</w:t>
            </w:r>
          </w:p>
        </w:tc>
        <w:tc>
          <w:tcPr>
            <w:tcW w:w="559" w:type="pct"/>
            <w:gridSpan w:val="2"/>
            <w:tcBorders>
              <w:top w:val="single" w:sz="4" w:space="0" w:color="auto"/>
              <w:left w:val="nil"/>
              <w:bottom w:val="single" w:sz="4" w:space="0" w:color="auto"/>
              <w:right w:val="nil"/>
            </w:tcBorders>
            <w:shd w:val="clear" w:color="auto" w:fill="auto"/>
            <w:vAlign w:val="center"/>
            <w:hideMark/>
          </w:tcPr>
          <w:p w14:paraId="6A662777" w14:textId="13288E7A"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 xml:space="preserve">Divergence time </w:t>
            </w:r>
            <w:r w:rsidRPr="00A76C59">
              <w:rPr>
                <w:rFonts w:eastAsia="Times New Roman"/>
                <w:i/>
                <w:iCs/>
                <w:color w:val="000000"/>
                <w:sz w:val="14"/>
                <w:szCs w:val="14"/>
                <w:lang w:eastAsia="en-GB"/>
              </w:rPr>
              <w:t>ca.</w:t>
            </w:r>
            <w:r w:rsidRPr="00A76C59">
              <w:rPr>
                <w:rFonts w:eastAsia="Times New Roman"/>
                <w:color w:val="000000"/>
                <w:sz w:val="14"/>
                <w:szCs w:val="14"/>
                <w:lang w:eastAsia="en-GB"/>
              </w:rPr>
              <w:t xml:space="preserve"> </w:t>
            </w:r>
            <w:r w:rsidR="00C1209A" w:rsidRPr="00A76C59">
              <w:rPr>
                <w:rFonts w:eastAsia="Times New Roman"/>
                <w:color w:val="000000"/>
                <w:sz w:val="14"/>
                <w:szCs w:val="14"/>
                <w:lang w:eastAsia="en-GB"/>
              </w:rPr>
              <w:t>(</w:t>
            </w:r>
            <w:proofErr w:type="spellStart"/>
            <w:r w:rsidRPr="00A76C59">
              <w:rPr>
                <w:rFonts w:eastAsia="Times New Roman"/>
                <w:color w:val="000000"/>
                <w:sz w:val="14"/>
                <w:szCs w:val="14"/>
                <w:lang w:eastAsia="en-GB"/>
              </w:rPr>
              <w:t>mya</w:t>
            </w:r>
            <w:proofErr w:type="spellEnd"/>
            <w:r w:rsidR="00C1209A" w:rsidRPr="00A76C59">
              <w:rPr>
                <w:rFonts w:eastAsia="Times New Roman"/>
                <w:color w:val="000000"/>
                <w:sz w:val="14"/>
                <w:szCs w:val="14"/>
                <w:lang w:eastAsia="en-GB"/>
              </w:rPr>
              <w:t>)</w:t>
            </w:r>
          </w:p>
        </w:tc>
        <w:tc>
          <w:tcPr>
            <w:tcW w:w="551" w:type="pct"/>
            <w:gridSpan w:val="2"/>
            <w:tcBorders>
              <w:top w:val="single" w:sz="4" w:space="0" w:color="auto"/>
              <w:left w:val="nil"/>
              <w:bottom w:val="single" w:sz="4" w:space="0" w:color="auto"/>
              <w:right w:val="nil"/>
            </w:tcBorders>
            <w:shd w:val="clear" w:color="auto" w:fill="auto"/>
            <w:vAlign w:val="center"/>
            <w:hideMark/>
          </w:tcPr>
          <w:p w14:paraId="6C04E7B4" w14:textId="05E151F8" w:rsidR="00A25555" w:rsidRPr="00A76C59" w:rsidRDefault="00857304" w:rsidP="00DF1EE8">
            <w:pPr>
              <w:jc w:val="center"/>
              <w:rPr>
                <w:rFonts w:eastAsia="Times New Roman"/>
                <w:color w:val="000000"/>
                <w:sz w:val="14"/>
                <w:szCs w:val="14"/>
                <w:lang w:eastAsia="en-GB"/>
              </w:rPr>
            </w:pPr>
            <w:r w:rsidRPr="00A76C59">
              <w:rPr>
                <w:rFonts w:eastAsia="Times New Roman"/>
                <w:color w:val="000000"/>
                <w:sz w:val="14"/>
                <w:szCs w:val="14"/>
                <w:lang w:eastAsia="en-GB"/>
              </w:rPr>
              <w:t>H</w:t>
            </w:r>
            <w:r w:rsidR="00A25555" w:rsidRPr="00A76C59">
              <w:rPr>
                <w:rFonts w:eastAsia="Times New Roman"/>
                <w:color w:val="000000"/>
                <w:sz w:val="14"/>
                <w:szCs w:val="14"/>
                <w:lang w:eastAsia="en-GB"/>
              </w:rPr>
              <w:t xml:space="preserve">istoric level of TºC + </w:t>
            </w:r>
            <w:r w:rsidR="00A25555" w:rsidRPr="00A76C59">
              <w:rPr>
                <w:rFonts w:eastAsia="Times New Roman"/>
                <w:i/>
                <w:iCs/>
                <w:color w:val="000000"/>
                <w:sz w:val="14"/>
                <w:szCs w:val="14"/>
                <w:lang w:eastAsia="en-GB"/>
              </w:rPr>
              <w:t>p</w:t>
            </w:r>
            <w:r w:rsidR="00A25555" w:rsidRPr="00A76C59">
              <w:rPr>
                <w:rFonts w:eastAsia="Times New Roman"/>
                <w:color w:val="000000"/>
                <w:sz w:val="14"/>
                <w:szCs w:val="14"/>
                <w:lang w:eastAsia="en-GB"/>
              </w:rPr>
              <w:t>CO</w:t>
            </w:r>
            <w:r w:rsidR="00A25555" w:rsidRPr="00A76C59">
              <w:rPr>
                <w:rFonts w:eastAsia="Times New Roman"/>
                <w:color w:val="000000"/>
                <w:sz w:val="14"/>
                <w:szCs w:val="14"/>
                <w:vertAlign w:val="subscript"/>
                <w:lang w:eastAsia="en-GB"/>
              </w:rPr>
              <w:t>2</w:t>
            </w:r>
            <w:r w:rsidR="00A25555" w:rsidRPr="00A76C59">
              <w:rPr>
                <w:rFonts w:eastAsia="Times New Roman"/>
                <w:color w:val="000000"/>
                <w:sz w:val="14"/>
                <w:szCs w:val="14"/>
                <w:lang w:eastAsia="en-GB"/>
              </w:rPr>
              <w:t xml:space="preserve">/pH </w:t>
            </w:r>
          </w:p>
        </w:tc>
        <w:tc>
          <w:tcPr>
            <w:tcW w:w="474" w:type="pct"/>
            <w:gridSpan w:val="2"/>
            <w:tcBorders>
              <w:top w:val="single" w:sz="4" w:space="0" w:color="auto"/>
              <w:left w:val="nil"/>
              <w:bottom w:val="single" w:sz="4" w:space="0" w:color="auto"/>
              <w:right w:val="nil"/>
            </w:tcBorders>
            <w:shd w:val="clear" w:color="auto" w:fill="auto"/>
            <w:vAlign w:val="center"/>
            <w:hideMark/>
          </w:tcPr>
          <w:p w14:paraId="1339DEAD" w14:textId="06BC6C5D" w:rsidR="00A25555" w:rsidRPr="00A76C59" w:rsidRDefault="00857304" w:rsidP="00DF1EE8">
            <w:pPr>
              <w:jc w:val="center"/>
              <w:rPr>
                <w:rFonts w:eastAsia="Times New Roman"/>
                <w:color w:val="000000"/>
                <w:sz w:val="14"/>
                <w:szCs w:val="14"/>
                <w:lang w:eastAsia="en-GB"/>
              </w:rPr>
            </w:pPr>
            <w:r w:rsidRPr="00A76C59">
              <w:rPr>
                <w:rFonts w:eastAsia="Times New Roman"/>
                <w:color w:val="000000"/>
                <w:sz w:val="14"/>
                <w:szCs w:val="14"/>
                <w:lang w:eastAsia="en-GB"/>
              </w:rPr>
              <w:t>Location</w:t>
            </w:r>
          </w:p>
        </w:tc>
        <w:tc>
          <w:tcPr>
            <w:tcW w:w="616" w:type="pct"/>
            <w:gridSpan w:val="2"/>
            <w:tcBorders>
              <w:top w:val="single" w:sz="4" w:space="0" w:color="auto"/>
              <w:left w:val="nil"/>
              <w:bottom w:val="single" w:sz="4" w:space="0" w:color="auto"/>
              <w:right w:val="nil"/>
            </w:tcBorders>
            <w:shd w:val="clear" w:color="auto" w:fill="auto"/>
            <w:vAlign w:val="center"/>
            <w:hideMark/>
          </w:tcPr>
          <w:p w14:paraId="2E20571C"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Methodology</w:t>
            </w:r>
          </w:p>
        </w:tc>
        <w:tc>
          <w:tcPr>
            <w:tcW w:w="416" w:type="pct"/>
            <w:gridSpan w:val="2"/>
            <w:tcBorders>
              <w:top w:val="single" w:sz="4" w:space="0" w:color="auto"/>
              <w:left w:val="nil"/>
              <w:bottom w:val="single" w:sz="4" w:space="0" w:color="auto"/>
              <w:right w:val="nil"/>
            </w:tcBorders>
            <w:shd w:val="clear" w:color="auto" w:fill="auto"/>
            <w:vAlign w:val="center"/>
            <w:hideMark/>
          </w:tcPr>
          <w:p w14:paraId="29BA92DB"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Mean at control</w:t>
            </w:r>
          </w:p>
        </w:tc>
        <w:tc>
          <w:tcPr>
            <w:tcW w:w="478" w:type="pct"/>
            <w:gridSpan w:val="2"/>
            <w:tcBorders>
              <w:top w:val="single" w:sz="4" w:space="0" w:color="auto"/>
              <w:left w:val="nil"/>
              <w:bottom w:val="single" w:sz="4" w:space="0" w:color="auto"/>
              <w:right w:val="nil"/>
            </w:tcBorders>
            <w:shd w:val="clear" w:color="auto" w:fill="auto"/>
            <w:vAlign w:val="center"/>
            <w:hideMark/>
          </w:tcPr>
          <w:p w14:paraId="75A0B28C"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Mean at high</w:t>
            </w:r>
          </w:p>
        </w:tc>
        <w:tc>
          <w:tcPr>
            <w:tcW w:w="540" w:type="pct"/>
            <w:gridSpan w:val="2"/>
            <w:tcBorders>
              <w:top w:val="single" w:sz="4" w:space="0" w:color="auto"/>
              <w:left w:val="nil"/>
              <w:bottom w:val="single" w:sz="4" w:space="0" w:color="auto"/>
              <w:right w:val="nil"/>
            </w:tcBorders>
            <w:shd w:val="clear" w:color="auto" w:fill="auto"/>
            <w:vAlign w:val="center"/>
            <w:hideMark/>
          </w:tcPr>
          <w:p w14:paraId="30EEA0A4" w14:textId="77777777" w:rsidR="00A25555" w:rsidRPr="00A76C59" w:rsidRDefault="00A25555" w:rsidP="00DF1EE8">
            <w:pPr>
              <w:jc w:val="center"/>
              <w:rPr>
                <w:rFonts w:eastAsia="Times New Roman"/>
                <w:color w:val="000000"/>
                <w:sz w:val="14"/>
                <w:szCs w:val="14"/>
                <w:lang w:eastAsia="en-GB"/>
              </w:rPr>
            </w:pPr>
            <w:r w:rsidRPr="00A76C59">
              <w:rPr>
                <w:rFonts w:eastAsia="Times New Roman"/>
                <w:color w:val="000000"/>
                <w:sz w:val="14"/>
                <w:szCs w:val="14"/>
                <w:lang w:eastAsia="en-GB"/>
              </w:rPr>
              <w:t>Study</w:t>
            </w:r>
          </w:p>
        </w:tc>
      </w:tr>
      <w:tr w:rsidR="00A76C59" w:rsidRPr="00A76C59" w14:paraId="70F43570" w14:textId="77777777" w:rsidTr="00A76C59">
        <w:trPr>
          <w:trHeight w:val="340"/>
        </w:trPr>
        <w:tc>
          <w:tcPr>
            <w:tcW w:w="759" w:type="pct"/>
            <w:tcBorders>
              <w:top w:val="nil"/>
              <w:left w:val="nil"/>
              <w:bottom w:val="nil"/>
              <w:right w:val="nil"/>
            </w:tcBorders>
            <w:shd w:val="clear" w:color="000000" w:fill="E96761"/>
            <w:noWrap/>
            <w:vAlign w:val="center"/>
            <w:hideMark/>
          </w:tcPr>
          <w:p w14:paraId="7DC68EE2" w14:textId="09E91D25" w:rsidR="00A25555" w:rsidRPr="00A76C59" w:rsidRDefault="00A25555" w:rsidP="00A76C59">
            <w:pPr>
              <w:ind w:right="-9"/>
              <w:rPr>
                <w:rFonts w:eastAsia="Times New Roman"/>
                <w:color w:val="000000"/>
                <w:sz w:val="15"/>
                <w:szCs w:val="15"/>
                <w:lang w:eastAsia="en-GB"/>
              </w:rPr>
            </w:pPr>
            <w:r w:rsidRPr="00A76C59">
              <w:rPr>
                <w:rFonts w:eastAsia="Times New Roman"/>
                <w:i/>
                <w:iCs/>
                <w:color w:val="000000"/>
                <w:sz w:val="15"/>
                <w:szCs w:val="15"/>
                <w:lang w:eastAsia="en-GB"/>
              </w:rPr>
              <w:t>Porolithon</w:t>
            </w:r>
            <w:r w:rsidRPr="00A76C59">
              <w:rPr>
                <w:rFonts w:eastAsia="Times New Roman"/>
                <w:color w:val="000000"/>
                <w:sz w:val="15"/>
                <w:szCs w:val="15"/>
                <w:lang w:eastAsia="en-GB"/>
              </w:rPr>
              <w:t xml:space="preserve"> cf. </w:t>
            </w:r>
            <w:r w:rsidR="00B54410" w:rsidRPr="00A76C59">
              <w:rPr>
                <w:rFonts w:eastAsia="Times New Roman"/>
                <w:i/>
                <w:iCs/>
                <w:color w:val="000000"/>
                <w:sz w:val="15"/>
                <w:szCs w:val="15"/>
                <w:lang w:eastAsia="en-GB"/>
              </w:rPr>
              <w:t>onkodes</w:t>
            </w:r>
          </w:p>
        </w:tc>
        <w:tc>
          <w:tcPr>
            <w:tcW w:w="602" w:type="pct"/>
            <w:gridSpan w:val="2"/>
            <w:tcBorders>
              <w:top w:val="nil"/>
              <w:left w:val="nil"/>
              <w:bottom w:val="nil"/>
              <w:right w:val="nil"/>
            </w:tcBorders>
            <w:shd w:val="clear" w:color="auto" w:fill="auto"/>
            <w:noWrap/>
            <w:vAlign w:val="center"/>
            <w:hideMark/>
          </w:tcPr>
          <w:p w14:paraId="456478F3"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3A80DE1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22</w:t>
            </w:r>
          </w:p>
        </w:tc>
        <w:tc>
          <w:tcPr>
            <w:tcW w:w="551" w:type="pct"/>
            <w:gridSpan w:val="2"/>
            <w:tcBorders>
              <w:top w:val="nil"/>
              <w:left w:val="nil"/>
              <w:bottom w:val="nil"/>
              <w:right w:val="nil"/>
            </w:tcBorders>
            <w:shd w:val="clear" w:color="auto" w:fill="auto"/>
            <w:noWrap/>
            <w:vAlign w:val="center"/>
            <w:hideMark/>
          </w:tcPr>
          <w:p w14:paraId="7CD3F934"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6B0C4795" w14:textId="575EC633"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51231D88" w14:textId="7974C7A6"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4B30D4BB"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21</w:t>
            </w:r>
          </w:p>
        </w:tc>
        <w:tc>
          <w:tcPr>
            <w:tcW w:w="478" w:type="pct"/>
            <w:gridSpan w:val="2"/>
            <w:tcBorders>
              <w:top w:val="nil"/>
              <w:left w:val="nil"/>
              <w:bottom w:val="nil"/>
              <w:right w:val="nil"/>
            </w:tcBorders>
            <w:shd w:val="clear" w:color="auto" w:fill="auto"/>
            <w:noWrap/>
            <w:vAlign w:val="center"/>
            <w:hideMark/>
          </w:tcPr>
          <w:p w14:paraId="2B5DDA1C"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w:t>
            </w:r>
          </w:p>
        </w:tc>
        <w:tc>
          <w:tcPr>
            <w:tcW w:w="544" w:type="pct"/>
            <w:gridSpan w:val="3"/>
            <w:tcBorders>
              <w:top w:val="nil"/>
              <w:left w:val="nil"/>
              <w:bottom w:val="nil"/>
              <w:right w:val="nil"/>
            </w:tcBorders>
            <w:shd w:val="clear" w:color="auto" w:fill="auto"/>
            <w:noWrap/>
            <w:vAlign w:val="center"/>
            <w:hideMark/>
          </w:tcPr>
          <w:p w14:paraId="4A852549" w14:textId="69A64D7B"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AuthorYear="1"&gt;&lt;Author&gt;Anthony&lt;/Author&gt;&lt;Year&gt;2008&lt;/Year&gt;&lt;RecNum&gt;563&lt;/RecNum&gt;&lt;DisplayText&gt;KRN Anthony, DI Kline, G Diaz-Pulido, S Dove and O Hoegh-Guldberg [24]&lt;/DisplayText&gt;&lt;record&gt;&lt;rec-number&gt;563&lt;/rec-number&gt;&lt;foreign-keys&gt;&lt;key app="EN" db-id="5rdwapt2bfwze6edv59v2dwm2vapa5vptpr0" timestamp="1573446607"&gt;563&lt;/key&gt;&lt;/foreign-keys&gt;&lt;ref-type name="Journal Article"&gt;17&lt;/ref-type&gt;&lt;contributors&gt;&lt;authors&gt;&lt;author&gt;Anthony, K. R. N.&lt;/author&gt;&lt;author&gt;Kline, D. I.&lt;/author&gt;&lt;author&gt;Diaz-Pulido, G.&lt;/author&gt;&lt;author&gt;Dove, S.&lt;/author&gt;&lt;author&gt;Hoegh-Guldberg, O.&lt;/author&gt;&lt;/authors&gt;&lt;/contributors&gt;&lt;titles&gt;&lt;title&gt;Ocean acidification causes bleaching and productivity loss in coral reef builders&lt;/title&gt;&lt;secondary-title&gt;Proceedings of the National Academy of Sciences&lt;/secondary-title&gt;&lt;/titles&gt;&lt;pages&gt;17442-17446&lt;/pages&gt;&lt;volume&gt;105&lt;/volume&gt;&lt;number&gt;45&lt;/number&gt;&lt;dates&gt;&lt;year&gt;2008&lt;/year&gt;&lt;/dates&gt;&lt;urls&gt;&lt;related-urls&gt;&lt;url&gt;http://www.pnas.org/content/105/45/17442.abstract&lt;/url&gt;&lt;/related-urls&gt;&lt;/urls&gt;&lt;electronic-resource-num&gt;10.1073/pnas.0804478105&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KRN Anthony, DI Kline, G Diaz-Pulido, S Dove and O Hoegh-Guldberg [24]</w:t>
            </w:r>
            <w:r w:rsidRPr="007F798A">
              <w:rPr>
                <w:rFonts w:eastAsia="Times New Roman"/>
                <w:color w:val="000000"/>
                <w:sz w:val="15"/>
                <w:szCs w:val="15"/>
                <w:lang w:eastAsia="en-GB"/>
              </w:rPr>
              <w:fldChar w:fldCharType="end"/>
            </w:r>
          </w:p>
        </w:tc>
      </w:tr>
      <w:tr w:rsidR="00A76C59" w:rsidRPr="00A76C59" w14:paraId="074C65E3" w14:textId="77777777" w:rsidTr="00A76C59">
        <w:trPr>
          <w:trHeight w:val="340"/>
        </w:trPr>
        <w:tc>
          <w:tcPr>
            <w:tcW w:w="759" w:type="pct"/>
            <w:tcBorders>
              <w:top w:val="nil"/>
              <w:left w:val="nil"/>
              <w:bottom w:val="nil"/>
              <w:right w:val="nil"/>
            </w:tcBorders>
            <w:shd w:val="clear" w:color="auto" w:fill="B4C6E7" w:themeFill="accent1" w:themeFillTint="66"/>
            <w:noWrap/>
            <w:vAlign w:val="center"/>
            <w:hideMark/>
          </w:tcPr>
          <w:p w14:paraId="63B2F44F" w14:textId="77777777" w:rsidR="00A25555" w:rsidRPr="00A76C59" w:rsidRDefault="00A25555" w:rsidP="00DF1EE8">
            <w:pPr>
              <w:rPr>
                <w:rFonts w:eastAsia="Times New Roman"/>
                <w:b/>
                <w:bCs w:val="0"/>
                <w:i/>
                <w:iCs/>
                <w:color w:val="000000"/>
                <w:sz w:val="15"/>
                <w:szCs w:val="15"/>
                <w:lang w:eastAsia="en-GB"/>
              </w:rPr>
            </w:pPr>
            <w:r w:rsidRPr="00A76C59">
              <w:rPr>
                <w:rFonts w:eastAsia="Times New Roman"/>
                <w:bCs w:val="0"/>
                <w:i/>
                <w:iCs/>
                <w:color w:val="000000"/>
                <w:sz w:val="15"/>
                <w:szCs w:val="15"/>
                <w:lang w:eastAsia="en-GB"/>
              </w:rPr>
              <w:t xml:space="preserve">Porolithon </w:t>
            </w:r>
            <w:r w:rsidRPr="00A76C59">
              <w:rPr>
                <w:rFonts w:eastAsia="Times New Roman"/>
                <w:bCs w:val="0"/>
                <w:color w:val="000000"/>
                <w:sz w:val="15"/>
                <w:szCs w:val="15"/>
                <w:lang w:eastAsia="en-GB"/>
              </w:rPr>
              <w:t>cf.</w:t>
            </w:r>
            <w:r w:rsidRPr="00A76C59">
              <w:rPr>
                <w:rFonts w:eastAsia="Times New Roman"/>
                <w:bCs w:val="0"/>
                <w:i/>
                <w:iCs/>
                <w:color w:val="000000"/>
                <w:sz w:val="15"/>
                <w:szCs w:val="15"/>
                <w:lang w:eastAsia="en-GB"/>
              </w:rPr>
              <w:t xml:space="preserve"> </w:t>
            </w:r>
            <w:proofErr w:type="spellStart"/>
            <w:r w:rsidRPr="00A76C59">
              <w:rPr>
                <w:rFonts w:eastAsia="Times New Roman"/>
                <w:bCs w:val="0"/>
                <w:i/>
                <w:iCs/>
                <w:color w:val="000000"/>
                <w:sz w:val="15"/>
                <w:szCs w:val="15"/>
                <w:lang w:eastAsia="en-GB"/>
              </w:rPr>
              <w:t>onokdes</w:t>
            </w:r>
            <w:proofErr w:type="spellEnd"/>
          </w:p>
        </w:tc>
        <w:tc>
          <w:tcPr>
            <w:tcW w:w="602" w:type="pct"/>
            <w:gridSpan w:val="2"/>
            <w:tcBorders>
              <w:top w:val="nil"/>
              <w:left w:val="nil"/>
              <w:bottom w:val="nil"/>
              <w:right w:val="nil"/>
            </w:tcBorders>
            <w:shd w:val="clear" w:color="auto" w:fill="auto"/>
            <w:noWrap/>
            <w:vAlign w:val="center"/>
            <w:hideMark/>
          </w:tcPr>
          <w:p w14:paraId="635366D2"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119C644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22</w:t>
            </w:r>
          </w:p>
        </w:tc>
        <w:tc>
          <w:tcPr>
            <w:tcW w:w="551" w:type="pct"/>
            <w:gridSpan w:val="2"/>
            <w:tcBorders>
              <w:top w:val="nil"/>
              <w:left w:val="nil"/>
              <w:bottom w:val="nil"/>
              <w:right w:val="nil"/>
            </w:tcBorders>
            <w:shd w:val="clear" w:color="auto" w:fill="auto"/>
            <w:noWrap/>
            <w:vAlign w:val="center"/>
            <w:hideMark/>
          </w:tcPr>
          <w:p w14:paraId="37BEBC8C"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2B5423C6" w14:textId="2EEA4979"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55ED1F65"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04DA55F0"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513</w:t>
            </w:r>
          </w:p>
        </w:tc>
        <w:tc>
          <w:tcPr>
            <w:tcW w:w="478" w:type="pct"/>
            <w:gridSpan w:val="2"/>
            <w:tcBorders>
              <w:top w:val="nil"/>
              <w:left w:val="nil"/>
              <w:bottom w:val="nil"/>
              <w:right w:val="nil"/>
            </w:tcBorders>
            <w:shd w:val="clear" w:color="auto" w:fill="auto"/>
            <w:noWrap/>
            <w:vAlign w:val="center"/>
            <w:hideMark/>
          </w:tcPr>
          <w:p w14:paraId="471F8F69"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506</w:t>
            </w:r>
          </w:p>
        </w:tc>
        <w:tc>
          <w:tcPr>
            <w:tcW w:w="544" w:type="pct"/>
            <w:gridSpan w:val="3"/>
            <w:tcBorders>
              <w:top w:val="nil"/>
              <w:left w:val="nil"/>
              <w:bottom w:val="nil"/>
              <w:right w:val="nil"/>
            </w:tcBorders>
            <w:shd w:val="clear" w:color="auto" w:fill="auto"/>
            <w:noWrap/>
            <w:vAlign w:val="center"/>
            <w:hideMark/>
          </w:tcPr>
          <w:p w14:paraId="20CD83F7" w14:textId="1F102402"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E Bergstrom, A Ordoñez, M Ho, C Hurd, B Fry and G Diaz-Pulido [25]</w:t>
            </w:r>
            <w:r w:rsidRPr="007F798A">
              <w:rPr>
                <w:rFonts w:eastAsia="Times New Roman"/>
                <w:color w:val="000000"/>
                <w:sz w:val="15"/>
                <w:szCs w:val="15"/>
                <w:lang w:eastAsia="en-GB"/>
              </w:rPr>
              <w:fldChar w:fldCharType="end"/>
            </w:r>
          </w:p>
        </w:tc>
      </w:tr>
      <w:tr w:rsidR="00A76C59" w:rsidRPr="00A76C59" w14:paraId="7F058B83" w14:textId="77777777" w:rsidTr="00A76C59">
        <w:trPr>
          <w:trHeight w:val="340"/>
        </w:trPr>
        <w:tc>
          <w:tcPr>
            <w:tcW w:w="759" w:type="pct"/>
            <w:tcBorders>
              <w:top w:val="nil"/>
              <w:left w:val="nil"/>
              <w:bottom w:val="nil"/>
              <w:right w:val="nil"/>
            </w:tcBorders>
            <w:shd w:val="clear" w:color="000000" w:fill="E96761"/>
            <w:noWrap/>
            <w:vAlign w:val="center"/>
            <w:hideMark/>
          </w:tcPr>
          <w:p w14:paraId="18ED7010" w14:textId="3F92E6CB" w:rsidR="00A25555" w:rsidRPr="00A76C59" w:rsidRDefault="00A25555" w:rsidP="00DF1EE8">
            <w:pPr>
              <w:rPr>
                <w:rFonts w:eastAsia="Times New Roman"/>
                <w:i/>
                <w:iCs/>
                <w:color w:val="000000"/>
                <w:sz w:val="15"/>
                <w:szCs w:val="15"/>
                <w:lang w:eastAsia="en-GB"/>
              </w:rPr>
            </w:pPr>
            <w:proofErr w:type="spellStart"/>
            <w:r w:rsidRPr="00A76C59">
              <w:rPr>
                <w:rFonts w:eastAsia="Times New Roman"/>
                <w:i/>
                <w:iCs/>
                <w:color w:val="000000"/>
                <w:sz w:val="15"/>
                <w:szCs w:val="15"/>
                <w:lang w:eastAsia="en-GB"/>
              </w:rPr>
              <w:t>Chamberlainium</w:t>
            </w:r>
            <w:proofErr w:type="spellEnd"/>
            <w:r w:rsidRPr="00A76C59">
              <w:rPr>
                <w:rFonts w:eastAsia="Times New Roman"/>
                <w:color w:val="000000"/>
                <w:sz w:val="15"/>
                <w:szCs w:val="15"/>
                <w:lang w:eastAsia="en-GB"/>
              </w:rPr>
              <w:t> </w:t>
            </w:r>
            <w:r w:rsidR="00F35BA6" w:rsidRPr="00A76C59">
              <w:rPr>
                <w:rFonts w:eastAsia="Times New Roman"/>
                <w:color w:val="000000"/>
                <w:sz w:val="15"/>
                <w:szCs w:val="15"/>
                <w:lang w:eastAsia="en-GB"/>
              </w:rPr>
              <w:t xml:space="preserve"> </w:t>
            </w:r>
            <w:r w:rsidRPr="00A76C59">
              <w:rPr>
                <w:rFonts w:eastAsia="Times New Roman"/>
                <w:color w:val="000000"/>
                <w:sz w:val="15"/>
                <w:szCs w:val="15"/>
                <w:lang w:eastAsia="en-GB"/>
              </w:rPr>
              <w:t>sp.</w:t>
            </w:r>
          </w:p>
        </w:tc>
        <w:tc>
          <w:tcPr>
            <w:tcW w:w="602" w:type="pct"/>
            <w:gridSpan w:val="2"/>
            <w:tcBorders>
              <w:top w:val="nil"/>
              <w:left w:val="nil"/>
              <w:bottom w:val="nil"/>
              <w:right w:val="nil"/>
            </w:tcBorders>
            <w:shd w:val="clear" w:color="auto" w:fill="auto"/>
            <w:noWrap/>
            <w:vAlign w:val="center"/>
            <w:hideMark/>
          </w:tcPr>
          <w:p w14:paraId="67F0CAEF"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1BA62AB6"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39</w:t>
            </w:r>
          </w:p>
        </w:tc>
        <w:tc>
          <w:tcPr>
            <w:tcW w:w="551" w:type="pct"/>
            <w:gridSpan w:val="2"/>
            <w:tcBorders>
              <w:top w:val="nil"/>
              <w:left w:val="nil"/>
              <w:bottom w:val="nil"/>
              <w:right w:val="nil"/>
            </w:tcBorders>
            <w:shd w:val="clear" w:color="auto" w:fill="auto"/>
            <w:noWrap/>
            <w:vAlign w:val="center"/>
            <w:hideMark/>
          </w:tcPr>
          <w:p w14:paraId="50C15392"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23AFDE82" w14:textId="1344B4B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Korea</w:t>
            </w:r>
          </w:p>
        </w:tc>
        <w:tc>
          <w:tcPr>
            <w:tcW w:w="616" w:type="pct"/>
            <w:gridSpan w:val="2"/>
            <w:tcBorders>
              <w:top w:val="nil"/>
              <w:left w:val="nil"/>
              <w:bottom w:val="nil"/>
              <w:right w:val="nil"/>
            </w:tcBorders>
            <w:shd w:val="clear" w:color="auto" w:fill="auto"/>
            <w:vAlign w:val="center"/>
            <w:hideMark/>
          </w:tcPr>
          <w:p w14:paraId="2CF7EC3B" w14:textId="0ADAD09F"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3E2E6674"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0.35</w:t>
            </w:r>
          </w:p>
        </w:tc>
        <w:tc>
          <w:tcPr>
            <w:tcW w:w="478" w:type="pct"/>
            <w:gridSpan w:val="2"/>
            <w:tcBorders>
              <w:top w:val="nil"/>
              <w:left w:val="nil"/>
              <w:bottom w:val="nil"/>
              <w:right w:val="nil"/>
            </w:tcBorders>
            <w:shd w:val="clear" w:color="auto" w:fill="auto"/>
            <w:noWrap/>
            <w:vAlign w:val="center"/>
            <w:hideMark/>
          </w:tcPr>
          <w:p w14:paraId="151D53E0"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0.4</w:t>
            </w:r>
          </w:p>
        </w:tc>
        <w:tc>
          <w:tcPr>
            <w:tcW w:w="544" w:type="pct"/>
            <w:gridSpan w:val="3"/>
            <w:tcBorders>
              <w:top w:val="nil"/>
              <w:left w:val="nil"/>
              <w:bottom w:val="nil"/>
              <w:right w:val="nil"/>
            </w:tcBorders>
            <w:shd w:val="clear" w:color="auto" w:fill="auto"/>
            <w:noWrap/>
            <w:vAlign w:val="center"/>
            <w:hideMark/>
          </w:tcPr>
          <w:p w14:paraId="212762C9" w14:textId="4BFD1754"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AuthorYear="1"&gt;&lt;Author&gt;Kim&lt;/Author&gt;&lt;Year&gt;2020&lt;/Year&gt;&lt;RecNum&gt;698&lt;/RecNum&gt;&lt;DisplayText&gt;J-H Kim, N Kim, H Moon, S Lee, SY Jeong, G Diaz-Pulido, MS Edwards, J-H Kang, EJ Kang, H-J Oh, et al. [26]&lt;/DisplayText&gt;&lt;record&gt;&lt;rec-number&gt;698&lt;/rec-number&gt;&lt;foreign-keys&gt;&lt;key app="EN" db-id="5rdwapt2bfwze6edv59v2dwm2vapa5vptpr0" timestamp="1597962843"&gt;698&lt;/key&gt;&lt;/foreign-keys&gt;&lt;ref-type name="Journal Article"&gt;17&lt;/ref-type&gt;&lt;contributors&gt;&lt;authors&gt;&lt;author&gt;Kim, Ju-Hyoung&lt;/author&gt;&lt;author&gt;Kim, Nahyun&lt;/author&gt;&lt;author&gt;Moon, Hanbi&lt;/author&gt;&lt;author&gt;Lee, Sukyeon&lt;/author&gt;&lt;author&gt;Jeong, So Young&lt;/author&gt;&lt;author&gt;Diaz-Pulido, Guillermo&lt;/author&gt;&lt;author&gt;Edwards, Matthew S.&lt;/author&gt;&lt;author&gt;Kang, Ju-Hyun&lt;/author&gt;&lt;author&gt;Kang, Eun Ju&lt;/author&gt;&lt;author&gt;Oh, Hyun-Ju&lt;/author&gt;&lt;author&gt;Hwang, Jae-Dong&lt;/author&gt;&lt;author&gt;Kim, Il-Nam&lt;/author&gt;&lt;/authors&gt;&lt;/contributors&gt;&lt;titles&gt;&lt;title&gt;Global warming offsets the ecophysiological stress of ocean acidification on temperate crustose coralline algae&lt;/title&gt;&lt;secondary-title&gt;Marine Pollution Bulletin&lt;/secondary-title&gt;&lt;/titles&gt;&lt;pages&gt;111324&lt;/pages&gt;&lt;volume&gt;157&lt;/volume&gt;&lt;keywords&gt;&lt;keyword&gt;Acidification&lt;/keyword&gt;&lt;keyword&gt;Calcification&lt;/keyword&gt;&lt;keyword&gt;Climate change&lt;/keyword&gt;&lt;keyword&gt;Crustose coralline algae&lt;/keyword&gt;&lt;keyword&gt;Photosynthesis&lt;/keyword&gt;&lt;keyword&gt;Warming&lt;/keyword&gt;&lt;/keywords&gt;&lt;dates&gt;&lt;year&gt;2020&lt;/year&gt;&lt;pub-dates&gt;&lt;date&gt;2020/08/01/&lt;/date&gt;&lt;/pub-dates&gt;&lt;/dates&gt;&lt;isbn&gt;0025-326X&lt;/isbn&gt;&lt;urls&gt;&lt;related-urls&gt;&lt;url&gt;http://www.sciencedirect.com/science/article/pii/S0025326X20304422&lt;/url&gt;&lt;/related-urls&gt;&lt;/urls&gt;&lt;electronic-resource-num&gt;10.1016/j.marpolbul.2020.111324&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J-H Kim, N Kim, H Moon, S Lee, SY Jeong, G Diaz-Pulido, MS Edwards, J-H Kang, EJ Kang, H-J Oh, et al. [26]</w:t>
            </w:r>
            <w:r w:rsidRPr="007F798A">
              <w:rPr>
                <w:rFonts w:eastAsia="Times New Roman"/>
                <w:color w:val="000000"/>
                <w:sz w:val="15"/>
                <w:szCs w:val="15"/>
                <w:lang w:eastAsia="en-GB"/>
              </w:rPr>
              <w:fldChar w:fldCharType="end"/>
            </w:r>
          </w:p>
        </w:tc>
      </w:tr>
      <w:tr w:rsidR="00A76C59" w:rsidRPr="00A76C59" w14:paraId="354E2857" w14:textId="77777777" w:rsidTr="00A76C59">
        <w:trPr>
          <w:trHeight w:val="340"/>
        </w:trPr>
        <w:tc>
          <w:tcPr>
            <w:tcW w:w="759" w:type="pct"/>
            <w:tcBorders>
              <w:top w:val="nil"/>
              <w:left w:val="nil"/>
              <w:bottom w:val="nil"/>
              <w:right w:val="nil"/>
            </w:tcBorders>
            <w:shd w:val="clear" w:color="000000" w:fill="E96761"/>
            <w:noWrap/>
            <w:vAlign w:val="center"/>
            <w:hideMark/>
          </w:tcPr>
          <w:p w14:paraId="12C62045" w14:textId="77777777"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t xml:space="preserve">Lithophyllum </w:t>
            </w:r>
            <w:proofErr w:type="spellStart"/>
            <w:r w:rsidRPr="00A76C59">
              <w:rPr>
                <w:rFonts w:eastAsia="Times New Roman"/>
                <w:i/>
                <w:iCs/>
                <w:color w:val="000000"/>
                <w:sz w:val="15"/>
                <w:szCs w:val="15"/>
                <w:lang w:eastAsia="en-GB"/>
              </w:rPr>
              <w:t>cabiochae</w:t>
            </w:r>
            <w:proofErr w:type="spellEnd"/>
          </w:p>
        </w:tc>
        <w:tc>
          <w:tcPr>
            <w:tcW w:w="602" w:type="pct"/>
            <w:gridSpan w:val="2"/>
            <w:tcBorders>
              <w:top w:val="nil"/>
              <w:left w:val="nil"/>
              <w:bottom w:val="nil"/>
              <w:right w:val="nil"/>
            </w:tcBorders>
            <w:shd w:val="clear" w:color="auto" w:fill="auto"/>
            <w:noWrap/>
            <w:vAlign w:val="center"/>
            <w:hideMark/>
          </w:tcPr>
          <w:p w14:paraId="55D0BE52"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44224607"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27</w:t>
            </w:r>
          </w:p>
        </w:tc>
        <w:tc>
          <w:tcPr>
            <w:tcW w:w="551" w:type="pct"/>
            <w:gridSpan w:val="2"/>
            <w:tcBorders>
              <w:top w:val="nil"/>
              <w:left w:val="nil"/>
              <w:bottom w:val="nil"/>
              <w:right w:val="nil"/>
            </w:tcBorders>
            <w:shd w:val="clear" w:color="auto" w:fill="auto"/>
            <w:noWrap/>
            <w:vAlign w:val="center"/>
            <w:hideMark/>
          </w:tcPr>
          <w:p w14:paraId="71E54625"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03C0DDD9" w14:textId="1883CD17"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France</w:t>
            </w:r>
          </w:p>
        </w:tc>
        <w:tc>
          <w:tcPr>
            <w:tcW w:w="616" w:type="pct"/>
            <w:gridSpan w:val="2"/>
            <w:tcBorders>
              <w:top w:val="nil"/>
              <w:left w:val="nil"/>
              <w:bottom w:val="nil"/>
              <w:right w:val="nil"/>
            </w:tcBorders>
            <w:shd w:val="clear" w:color="auto" w:fill="auto"/>
            <w:vAlign w:val="center"/>
            <w:hideMark/>
          </w:tcPr>
          <w:p w14:paraId="190B9099" w14:textId="1241A14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6BB6EAFC"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0.9</w:t>
            </w:r>
          </w:p>
        </w:tc>
        <w:tc>
          <w:tcPr>
            <w:tcW w:w="478" w:type="pct"/>
            <w:gridSpan w:val="2"/>
            <w:tcBorders>
              <w:top w:val="nil"/>
              <w:left w:val="nil"/>
              <w:bottom w:val="nil"/>
              <w:right w:val="nil"/>
            </w:tcBorders>
            <w:shd w:val="clear" w:color="auto" w:fill="auto"/>
            <w:noWrap/>
            <w:vAlign w:val="center"/>
            <w:hideMark/>
          </w:tcPr>
          <w:p w14:paraId="6361C898"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0.61</w:t>
            </w:r>
          </w:p>
        </w:tc>
        <w:tc>
          <w:tcPr>
            <w:tcW w:w="544" w:type="pct"/>
            <w:gridSpan w:val="3"/>
            <w:tcBorders>
              <w:top w:val="nil"/>
              <w:left w:val="nil"/>
              <w:bottom w:val="nil"/>
              <w:right w:val="nil"/>
            </w:tcBorders>
            <w:shd w:val="clear" w:color="auto" w:fill="auto"/>
            <w:noWrap/>
            <w:vAlign w:val="center"/>
            <w:hideMark/>
          </w:tcPr>
          <w:p w14:paraId="39596395" w14:textId="71B63854"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AuthorYear="1"&gt;&lt;Author&gt;Martin&lt;/Author&gt;&lt;Year&gt;2013&lt;/Year&gt;&lt;RecNum&gt;767&lt;/RecNum&gt;&lt;DisplayText&gt;S Martin, S Cohu, C Vignot, G Zimmerman and J-P Gattuso [27]&lt;/DisplayText&gt;&lt;record&gt;&lt;rec-number&gt;767&lt;/rec-number&gt;&lt;foreign-keys&gt;&lt;key app="EN" db-id="5rdwapt2bfwze6edv59v2dwm2vapa5vptpr0" timestamp="1610520124"&gt;767&lt;/key&gt;&lt;/foreign-keys&gt;&lt;ref-type name="Journal Article"&gt;17&lt;/ref-type&gt;&lt;contributors&gt;&lt;authors&gt;&lt;author&gt;Martin, Sophie&lt;/author&gt;&lt;author&gt;Cohu, Stéphanie&lt;/author&gt;&lt;author&gt;Vignot, Céline&lt;/author&gt;&lt;author&gt;Zimmerman, Guillaume&lt;/author&gt;&lt;author&gt;Gattuso, Jean-Pierre&lt;/author&gt;&lt;/authors&gt;&lt;/contributors&gt;&lt;titles&gt;&lt;title&gt;&lt;style face="normal" font="default" size="100%"&gt;One-year experiment on the physiological response of the Mediterranean crustose coralline alga, &lt;/style&gt;&lt;style face="italic" font="default" size="100%"&gt;Lithophyllum cabiochae&lt;/style&gt;&lt;style face="normal" font="default" size="100%"&gt;, to elevated &lt;/style&gt;&lt;style face="italic" font="default" size="100%"&gt;p&lt;/style&gt;&lt;style face="normal" font="default" size="100%"&gt;CO&lt;/style&gt;&lt;style face="subscript" font="default" size="100%"&gt;2&lt;/style&gt;&lt;style face="normal" font="default" size="100%"&gt; and temperature&lt;/style&gt;&lt;/title&gt;&lt;secondary-title&gt;Ecology and Evolution&lt;/secondary-title&gt;&lt;/titles&gt;&lt;pages&gt;676-693&lt;/pages&gt;&lt;volume&gt;3&lt;/volume&gt;&lt;number&gt;3&lt;/number&gt;&lt;keywords&gt;&lt;keyword&gt;Calcification&lt;/keyword&gt;&lt;keyword&gt;coralligenous habitat&lt;/keyword&gt;&lt;keyword&gt;coralline algae&lt;/keyword&gt;&lt;keyword&gt;global warming&lt;/keyword&gt;&lt;keyword&gt;irradiance&lt;/keyword&gt;&lt;keyword&gt;ocean acidification&lt;/keyword&gt;&lt;keyword&gt;pCO2&lt;/keyword&gt;&lt;keyword&gt;photosynthesis&lt;/keyword&gt;&lt;keyword&gt;respiration&lt;/keyword&gt;&lt;keyword&gt;temperature&lt;/keyword&gt;&lt;/keywords&gt;&lt;dates&gt;&lt;year&gt;2013&lt;/year&gt;&lt;pub-dates&gt;&lt;date&gt;2013/03/01&lt;/date&gt;&lt;/pub-dates&gt;&lt;/dates&gt;&lt;publisher&gt;John Wiley &amp;amp; Sons, Ltd&lt;/publisher&gt;&lt;isbn&gt;2045-7758&lt;/isbn&gt;&lt;urls&gt;&lt;related-urls&gt;&lt;url&gt;https://doi.org/10.1002/ece3.475&lt;/url&gt;&lt;/related-urls&gt;&lt;/urls&gt;&lt;electronic-resource-num&gt;10.1002/ece3.475&lt;/electronic-resource-num&gt;&lt;access-date&gt;2021/01/12&lt;/access-date&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 xml:space="preserve">S Martin, S Cohu, C Vignot, G Zimmerman and J-P </w:t>
            </w:r>
            <w:r w:rsidR="00B27AEA" w:rsidRPr="007F798A">
              <w:rPr>
                <w:rFonts w:eastAsia="Times New Roman"/>
                <w:noProof/>
                <w:color w:val="000000"/>
                <w:sz w:val="15"/>
                <w:szCs w:val="15"/>
                <w:lang w:eastAsia="en-GB"/>
              </w:rPr>
              <w:lastRenderedPageBreak/>
              <w:t>Gattuso [27]</w:t>
            </w:r>
            <w:r w:rsidRPr="007F798A">
              <w:rPr>
                <w:rFonts w:eastAsia="Times New Roman"/>
                <w:color w:val="000000"/>
                <w:sz w:val="15"/>
                <w:szCs w:val="15"/>
                <w:lang w:eastAsia="en-GB"/>
              </w:rPr>
              <w:fldChar w:fldCharType="end"/>
            </w:r>
          </w:p>
        </w:tc>
      </w:tr>
      <w:tr w:rsidR="00A76C59" w:rsidRPr="00A76C59" w14:paraId="0CA7223E" w14:textId="77777777" w:rsidTr="00A76C59">
        <w:trPr>
          <w:trHeight w:val="340"/>
        </w:trPr>
        <w:tc>
          <w:tcPr>
            <w:tcW w:w="759" w:type="pct"/>
            <w:tcBorders>
              <w:top w:val="nil"/>
              <w:left w:val="nil"/>
              <w:bottom w:val="nil"/>
              <w:right w:val="nil"/>
            </w:tcBorders>
            <w:shd w:val="clear" w:color="000000" w:fill="E96761"/>
            <w:noWrap/>
            <w:vAlign w:val="center"/>
            <w:hideMark/>
          </w:tcPr>
          <w:p w14:paraId="126E69F3" w14:textId="77777777"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lastRenderedPageBreak/>
              <w:t xml:space="preserve">Lithophyllum </w:t>
            </w:r>
            <w:proofErr w:type="spellStart"/>
            <w:r w:rsidRPr="00A76C59">
              <w:rPr>
                <w:rFonts w:eastAsia="Times New Roman"/>
                <w:i/>
                <w:iCs/>
                <w:color w:val="000000"/>
                <w:sz w:val="15"/>
                <w:szCs w:val="15"/>
                <w:lang w:eastAsia="en-GB"/>
              </w:rPr>
              <w:t>incrustans</w:t>
            </w:r>
            <w:proofErr w:type="spellEnd"/>
          </w:p>
        </w:tc>
        <w:tc>
          <w:tcPr>
            <w:tcW w:w="602" w:type="pct"/>
            <w:gridSpan w:val="2"/>
            <w:tcBorders>
              <w:top w:val="nil"/>
              <w:left w:val="nil"/>
              <w:bottom w:val="nil"/>
              <w:right w:val="nil"/>
            </w:tcBorders>
            <w:shd w:val="clear" w:color="auto" w:fill="auto"/>
            <w:noWrap/>
            <w:vAlign w:val="center"/>
            <w:hideMark/>
          </w:tcPr>
          <w:p w14:paraId="30E348AC"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1A67CD92"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27</w:t>
            </w:r>
          </w:p>
        </w:tc>
        <w:tc>
          <w:tcPr>
            <w:tcW w:w="551" w:type="pct"/>
            <w:gridSpan w:val="2"/>
            <w:tcBorders>
              <w:top w:val="nil"/>
              <w:left w:val="nil"/>
              <w:bottom w:val="nil"/>
              <w:right w:val="nil"/>
            </w:tcBorders>
            <w:shd w:val="clear" w:color="auto" w:fill="auto"/>
            <w:noWrap/>
            <w:vAlign w:val="center"/>
            <w:hideMark/>
          </w:tcPr>
          <w:p w14:paraId="1B4620C6"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6C641163" w14:textId="55F2A839"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France</w:t>
            </w:r>
          </w:p>
        </w:tc>
        <w:tc>
          <w:tcPr>
            <w:tcW w:w="616" w:type="pct"/>
            <w:gridSpan w:val="2"/>
            <w:tcBorders>
              <w:top w:val="nil"/>
              <w:left w:val="nil"/>
              <w:bottom w:val="nil"/>
              <w:right w:val="nil"/>
            </w:tcBorders>
            <w:shd w:val="clear" w:color="auto" w:fill="auto"/>
            <w:vAlign w:val="center"/>
            <w:hideMark/>
          </w:tcPr>
          <w:p w14:paraId="55FBEB6A" w14:textId="31392A89"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3C83237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1.78</w:t>
            </w:r>
          </w:p>
        </w:tc>
        <w:tc>
          <w:tcPr>
            <w:tcW w:w="478" w:type="pct"/>
            <w:gridSpan w:val="2"/>
            <w:tcBorders>
              <w:top w:val="nil"/>
              <w:left w:val="nil"/>
              <w:bottom w:val="nil"/>
              <w:right w:val="nil"/>
            </w:tcBorders>
            <w:shd w:val="clear" w:color="auto" w:fill="auto"/>
            <w:noWrap/>
            <w:vAlign w:val="center"/>
            <w:hideMark/>
          </w:tcPr>
          <w:p w14:paraId="0DF3690A"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1.68</w:t>
            </w:r>
          </w:p>
        </w:tc>
        <w:tc>
          <w:tcPr>
            <w:tcW w:w="544" w:type="pct"/>
            <w:gridSpan w:val="3"/>
            <w:tcBorders>
              <w:top w:val="nil"/>
              <w:left w:val="nil"/>
              <w:bottom w:val="nil"/>
              <w:right w:val="nil"/>
            </w:tcBorders>
            <w:shd w:val="clear" w:color="auto" w:fill="auto"/>
            <w:noWrap/>
            <w:vAlign w:val="center"/>
            <w:hideMark/>
          </w:tcPr>
          <w:p w14:paraId="4E1166F2" w14:textId="660C7C46"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AuthorYear="1"&gt;&lt;Author&gt;Qui-Minet&lt;/Author&gt;&lt;Year&gt;2019&lt;/Year&gt;&lt;RecNum&gt;821&lt;/RecNum&gt;&lt;DisplayText&gt;ZN Qui-Minet, J Coudret, D Davoult, J Grall, M Mendez‐Sandin, T Cariou and S Martin [28]&lt;/DisplayText&gt;&lt;record&gt;&lt;rec-number&gt;821&lt;/rec-number&gt;&lt;foreign-keys&gt;&lt;key app="EN" db-id="5rdwapt2bfwze6edv59v2dwm2vapa5vptpr0" timestamp="1614905389"&gt;821&lt;/key&gt;&lt;/foreign-keys&gt;&lt;ref-type name="Journal Article"&gt;17&lt;/ref-type&gt;&lt;contributors&gt;&lt;authors&gt;&lt;author&gt;Qui-Minet, Zujaila Nohemy&lt;/author&gt;&lt;author&gt;Coudret, Jérôme&lt;/author&gt;&lt;author&gt;Davoult, Dominique&lt;/author&gt;&lt;author&gt;Grall, Jacques&lt;/author&gt;&lt;author&gt;Mendez‐Sandin, Miguel&lt;/author&gt;&lt;author&gt;Cariou, Thierry&lt;/author&gt;&lt;author&gt;Martin, Sophie&lt;/author&gt;&lt;/authors&gt;&lt;/contributors&gt;&lt;titles&gt;&lt;title&gt;Combined effects of global climate change and nutrient enrichment on the physiology of three temperate maerl species&lt;/title&gt;&lt;secondary-title&gt;Ecology and Evolution&lt;/secondary-title&gt;&lt;alt-title&gt;Ecol Evol&lt;/alt-title&gt;&lt;/titles&gt;&lt;pages&gt;13787-13807&lt;/pages&gt;&lt;volume&gt;9&lt;/volume&gt;&lt;number&gt;24&lt;/number&gt;&lt;dates&gt;&lt;year&gt;2019&lt;/year&gt;&lt;/dates&gt;&lt;publisher&gt;Wiley&lt;/publisher&gt;&lt;isbn&gt;2045-7758&lt;/isbn&gt;&lt;urls&gt;&lt;related-urls&gt;&lt;url&gt;https://dx.doi.org/10.1002/ece3.5802&lt;/url&gt;&lt;/related-urls&gt;&lt;/urls&gt;&lt;electronic-resource-num&gt;10.1002/ece3.5802&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ZN Qui-Minet, J Coudret, D Davoult, J Grall, M Mendez‐Sandin, T Cariou and S Martin [28]</w:t>
            </w:r>
            <w:r w:rsidRPr="007F798A">
              <w:rPr>
                <w:rFonts w:eastAsia="Times New Roman"/>
                <w:color w:val="000000"/>
                <w:sz w:val="15"/>
                <w:szCs w:val="15"/>
                <w:lang w:eastAsia="en-GB"/>
              </w:rPr>
              <w:fldChar w:fldCharType="end"/>
            </w:r>
          </w:p>
        </w:tc>
      </w:tr>
      <w:tr w:rsidR="00A76C59" w:rsidRPr="00A76C59" w14:paraId="54C09781" w14:textId="77777777" w:rsidTr="00A76C59">
        <w:trPr>
          <w:trHeight w:val="340"/>
        </w:trPr>
        <w:tc>
          <w:tcPr>
            <w:tcW w:w="759" w:type="pct"/>
            <w:tcBorders>
              <w:top w:val="nil"/>
              <w:left w:val="nil"/>
              <w:bottom w:val="nil"/>
              <w:right w:val="nil"/>
            </w:tcBorders>
            <w:shd w:val="clear" w:color="000000" w:fill="92D050"/>
            <w:noWrap/>
            <w:vAlign w:val="center"/>
            <w:hideMark/>
          </w:tcPr>
          <w:p w14:paraId="02D94D37" w14:textId="77777777"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t xml:space="preserve">Lithophyllum </w:t>
            </w:r>
            <w:r w:rsidRPr="00A76C59">
              <w:rPr>
                <w:rFonts w:eastAsia="Times New Roman"/>
                <w:color w:val="000000"/>
                <w:sz w:val="15"/>
                <w:szCs w:val="15"/>
                <w:lang w:eastAsia="en-GB"/>
              </w:rPr>
              <w:t>cf.</w:t>
            </w:r>
            <w:r w:rsidRPr="00A76C59">
              <w:rPr>
                <w:rFonts w:eastAsia="Times New Roman"/>
                <w:i/>
                <w:iCs/>
                <w:color w:val="000000"/>
                <w:sz w:val="15"/>
                <w:szCs w:val="15"/>
                <w:lang w:eastAsia="en-GB"/>
              </w:rPr>
              <w:t xml:space="preserve"> </w:t>
            </w:r>
            <w:proofErr w:type="spellStart"/>
            <w:r w:rsidRPr="00A76C59">
              <w:rPr>
                <w:rFonts w:eastAsia="Times New Roman"/>
                <w:i/>
                <w:iCs/>
                <w:color w:val="000000"/>
                <w:sz w:val="15"/>
                <w:szCs w:val="15"/>
                <w:lang w:eastAsia="en-GB"/>
              </w:rPr>
              <w:t>insipidum</w:t>
            </w:r>
            <w:proofErr w:type="spellEnd"/>
          </w:p>
        </w:tc>
        <w:tc>
          <w:tcPr>
            <w:tcW w:w="602" w:type="pct"/>
            <w:gridSpan w:val="2"/>
            <w:tcBorders>
              <w:top w:val="nil"/>
              <w:left w:val="nil"/>
              <w:bottom w:val="nil"/>
              <w:right w:val="nil"/>
            </w:tcBorders>
            <w:shd w:val="clear" w:color="auto" w:fill="auto"/>
            <w:noWrap/>
            <w:vAlign w:val="center"/>
            <w:hideMark/>
          </w:tcPr>
          <w:p w14:paraId="6573DC4B"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28D7149F"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27</w:t>
            </w:r>
          </w:p>
        </w:tc>
        <w:tc>
          <w:tcPr>
            <w:tcW w:w="551" w:type="pct"/>
            <w:gridSpan w:val="2"/>
            <w:tcBorders>
              <w:top w:val="nil"/>
              <w:left w:val="nil"/>
              <w:bottom w:val="nil"/>
              <w:right w:val="nil"/>
            </w:tcBorders>
            <w:shd w:val="clear" w:color="auto" w:fill="auto"/>
            <w:noWrap/>
            <w:vAlign w:val="center"/>
            <w:hideMark/>
          </w:tcPr>
          <w:p w14:paraId="5E3EED67"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2F2679DC" w14:textId="0757648D"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721DC6E8"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7B64B840"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441</w:t>
            </w:r>
          </w:p>
        </w:tc>
        <w:tc>
          <w:tcPr>
            <w:tcW w:w="478" w:type="pct"/>
            <w:gridSpan w:val="2"/>
            <w:tcBorders>
              <w:top w:val="nil"/>
              <w:left w:val="nil"/>
              <w:bottom w:val="nil"/>
              <w:right w:val="nil"/>
            </w:tcBorders>
            <w:shd w:val="clear" w:color="auto" w:fill="auto"/>
            <w:noWrap/>
            <w:vAlign w:val="center"/>
            <w:hideMark/>
          </w:tcPr>
          <w:p w14:paraId="61FD66C2"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464</w:t>
            </w:r>
          </w:p>
        </w:tc>
        <w:tc>
          <w:tcPr>
            <w:tcW w:w="544" w:type="pct"/>
            <w:gridSpan w:val="3"/>
            <w:tcBorders>
              <w:top w:val="nil"/>
              <w:left w:val="nil"/>
              <w:bottom w:val="nil"/>
              <w:right w:val="nil"/>
            </w:tcBorders>
            <w:shd w:val="clear" w:color="auto" w:fill="auto"/>
            <w:noWrap/>
            <w:vAlign w:val="center"/>
            <w:hideMark/>
          </w:tcPr>
          <w:p w14:paraId="515C15E3" w14:textId="3D080C60"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E Bergstrom, A Ordoñez, M Ho, C Hurd, B Fry and G Diaz-Pulido [25]</w:t>
            </w:r>
            <w:r w:rsidRPr="007F798A">
              <w:rPr>
                <w:rFonts w:eastAsia="Times New Roman"/>
                <w:color w:val="000000"/>
                <w:sz w:val="15"/>
                <w:szCs w:val="15"/>
                <w:lang w:eastAsia="en-GB"/>
              </w:rPr>
              <w:fldChar w:fldCharType="end"/>
            </w:r>
          </w:p>
        </w:tc>
      </w:tr>
      <w:tr w:rsidR="00A76C59" w:rsidRPr="00A76C59" w14:paraId="7798DAD7" w14:textId="77777777" w:rsidTr="00A76C59">
        <w:trPr>
          <w:trHeight w:val="340"/>
        </w:trPr>
        <w:tc>
          <w:tcPr>
            <w:tcW w:w="759" w:type="pct"/>
            <w:tcBorders>
              <w:top w:val="nil"/>
              <w:left w:val="nil"/>
              <w:bottom w:val="nil"/>
              <w:right w:val="nil"/>
            </w:tcBorders>
            <w:shd w:val="clear" w:color="000000" w:fill="E96761"/>
            <w:noWrap/>
            <w:vAlign w:val="center"/>
            <w:hideMark/>
          </w:tcPr>
          <w:p w14:paraId="7B811B3B" w14:textId="77777777" w:rsidR="00A25555" w:rsidRPr="00A76C59" w:rsidRDefault="00A25555" w:rsidP="00DF1EE8">
            <w:pPr>
              <w:rPr>
                <w:rFonts w:eastAsia="Times New Roman"/>
                <w:i/>
                <w:iCs/>
                <w:color w:val="000000"/>
                <w:sz w:val="15"/>
                <w:szCs w:val="15"/>
                <w:lang w:eastAsia="en-GB"/>
              </w:rPr>
            </w:pPr>
            <w:proofErr w:type="spellStart"/>
            <w:r w:rsidRPr="00A76C59">
              <w:rPr>
                <w:rFonts w:eastAsia="Times New Roman"/>
                <w:i/>
                <w:iCs/>
                <w:color w:val="000000"/>
                <w:sz w:val="15"/>
                <w:szCs w:val="15"/>
                <w:lang w:eastAsia="en-GB"/>
              </w:rPr>
              <w:t>Neogoniolithon</w:t>
            </w:r>
            <w:proofErr w:type="spellEnd"/>
            <w:r w:rsidRPr="00A76C59">
              <w:rPr>
                <w:rFonts w:eastAsia="Times New Roman"/>
                <w:i/>
                <w:iCs/>
                <w:color w:val="000000"/>
                <w:sz w:val="15"/>
                <w:szCs w:val="15"/>
                <w:lang w:eastAsia="en-GB"/>
              </w:rPr>
              <w:t xml:space="preserve"> </w:t>
            </w:r>
            <w:r w:rsidRPr="00A76C59">
              <w:rPr>
                <w:rFonts w:eastAsia="Times New Roman"/>
                <w:color w:val="000000"/>
                <w:sz w:val="15"/>
                <w:szCs w:val="15"/>
                <w:lang w:eastAsia="en-GB"/>
              </w:rPr>
              <w:t>sp.</w:t>
            </w:r>
          </w:p>
        </w:tc>
        <w:tc>
          <w:tcPr>
            <w:tcW w:w="602" w:type="pct"/>
            <w:gridSpan w:val="2"/>
            <w:tcBorders>
              <w:top w:val="nil"/>
              <w:left w:val="nil"/>
              <w:bottom w:val="nil"/>
              <w:right w:val="nil"/>
            </w:tcBorders>
            <w:shd w:val="clear" w:color="auto" w:fill="auto"/>
            <w:noWrap/>
            <w:vAlign w:val="center"/>
            <w:hideMark/>
          </w:tcPr>
          <w:p w14:paraId="22FEB1CD"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1FF7D99F"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105</w:t>
            </w:r>
          </w:p>
        </w:tc>
        <w:tc>
          <w:tcPr>
            <w:tcW w:w="551" w:type="pct"/>
            <w:gridSpan w:val="2"/>
            <w:tcBorders>
              <w:top w:val="nil"/>
              <w:left w:val="nil"/>
              <w:bottom w:val="nil"/>
              <w:right w:val="nil"/>
            </w:tcBorders>
            <w:shd w:val="clear" w:color="auto" w:fill="auto"/>
            <w:noWrap/>
            <w:vAlign w:val="center"/>
            <w:hideMark/>
          </w:tcPr>
          <w:p w14:paraId="02645B9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5F1982FF" w14:textId="2D6DF482"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Mexico</w:t>
            </w:r>
          </w:p>
        </w:tc>
        <w:tc>
          <w:tcPr>
            <w:tcW w:w="616" w:type="pct"/>
            <w:gridSpan w:val="2"/>
            <w:tcBorders>
              <w:top w:val="nil"/>
              <w:left w:val="nil"/>
              <w:bottom w:val="nil"/>
              <w:right w:val="nil"/>
            </w:tcBorders>
            <w:shd w:val="clear" w:color="auto" w:fill="auto"/>
            <w:vAlign w:val="center"/>
            <w:hideMark/>
          </w:tcPr>
          <w:p w14:paraId="70C348C1" w14:textId="6CC2CA9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0ECAF5F9"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2.91</w:t>
            </w:r>
          </w:p>
        </w:tc>
        <w:tc>
          <w:tcPr>
            <w:tcW w:w="478" w:type="pct"/>
            <w:gridSpan w:val="2"/>
            <w:tcBorders>
              <w:top w:val="nil"/>
              <w:left w:val="nil"/>
              <w:bottom w:val="nil"/>
              <w:right w:val="nil"/>
            </w:tcBorders>
            <w:shd w:val="clear" w:color="auto" w:fill="auto"/>
            <w:noWrap/>
            <w:vAlign w:val="center"/>
            <w:hideMark/>
          </w:tcPr>
          <w:p w14:paraId="1B4B0DA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1.73</w:t>
            </w:r>
          </w:p>
        </w:tc>
        <w:tc>
          <w:tcPr>
            <w:tcW w:w="544" w:type="pct"/>
            <w:gridSpan w:val="3"/>
            <w:tcBorders>
              <w:top w:val="nil"/>
              <w:left w:val="nil"/>
              <w:bottom w:val="nil"/>
              <w:right w:val="nil"/>
            </w:tcBorders>
            <w:shd w:val="clear" w:color="auto" w:fill="auto"/>
            <w:noWrap/>
            <w:vAlign w:val="center"/>
            <w:hideMark/>
          </w:tcPr>
          <w:p w14:paraId="2956877F" w14:textId="20682A8D"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AuthorYear="1"&gt;&lt;Author&gt;Vásquez-Elizondo&lt;/Author&gt;&lt;Year&gt;2016&lt;/Year&gt;&lt;RecNum&gt;560&lt;/RecNum&gt;&lt;DisplayText&gt;RM Vásquez-Elizondo and S Enríquez [29]&lt;/DisplayText&gt;&lt;record&gt;&lt;rec-number&gt;560&lt;/rec-number&gt;&lt;foreign-keys&gt;&lt;key app="EN" db-id="5rdwapt2bfwze6edv59v2dwm2vapa5vptpr0" timestamp="1573002100"&gt;560&lt;/key&gt;&lt;/foreign-keys&gt;&lt;ref-type name="Journal Article"&gt;17&lt;/ref-type&gt;&lt;contributors&gt;&lt;authors&gt;&lt;author&gt;Vásquez-Elizondo, Román Manuel&lt;/author&gt;&lt;author&gt;Enríquez, Susana&lt;/author&gt;&lt;/authors&gt;&lt;/contributors&gt;&lt;titles&gt;&lt;title&gt;Coralline algal physiology is more adversely affected by elevated temperature than reduced pH&lt;/title&gt;&lt;secondary-title&gt;Scientific Reports&lt;/secondary-title&gt;&lt;/titles&gt;&lt;pages&gt;19030&lt;/pages&gt;&lt;volume&gt;6&lt;/volume&gt;&lt;dates&gt;&lt;year&gt;2016&lt;/year&gt;&lt;/dates&gt;&lt;publisher&gt;The Author(s)&lt;/publisher&gt;&lt;work-type&gt;Article&lt;/work-type&gt;&lt;urls&gt;&lt;related-urls&gt;&lt;url&gt;https://doi.org/10.1038/srep19030&lt;/url&gt;&lt;/related-urls&gt;&lt;/urls&gt;&lt;electronic-resource-num&gt;10.1038/srep19030&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RM Vásquez-Elizondo and S Enríquez [29]</w:t>
            </w:r>
            <w:r w:rsidRPr="007F798A">
              <w:rPr>
                <w:rFonts w:eastAsia="Times New Roman"/>
                <w:color w:val="000000"/>
                <w:sz w:val="15"/>
                <w:szCs w:val="15"/>
                <w:lang w:eastAsia="en-GB"/>
              </w:rPr>
              <w:fldChar w:fldCharType="end"/>
            </w:r>
          </w:p>
        </w:tc>
      </w:tr>
      <w:tr w:rsidR="00A76C59" w:rsidRPr="00A76C59" w14:paraId="7285B7D5" w14:textId="77777777" w:rsidTr="00A76C59">
        <w:trPr>
          <w:trHeight w:val="340"/>
        </w:trPr>
        <w:tc>
          <w:tcPr>
            <w:tcW w:w="759" w:type="pct"/>
            <w:tcBorders>
              <w:top w:val="nil"/>
              <w:left w:val="nil"/>
              <w:bottom w:val="nil"/>
              <w:right w:val="nil"/>
            </w:tcBorders>
            <w:shd w:val="clear" w:color="auto" w:fill="B4C6E7" w:themeFill="accent1" w:themeFillTint="66"/>
            <w:noWrap/>
            <w:vAlign w:val="center"/>
            <w:hideMark/>
          </w:tcPr>
          <w:p w14:paraId="3E1063CA" w14:textId="77777777" w:rsidR="00A25555" w:rsidRPr="00A76C59" w:rsidRDefault="00A25555" w:rsidP="00DF1EE8">
            <w:pPr>
              <w:rPr>
                <w:rFonts w:eastAsia="Times New Roman"/>
                <w:i/>
                <w:iCs/>
                <w:color w:val="000000"/>
                <w:sz w:val="15"/>
                <w:szCs w:val="15"/>
                <w:lang w:eastAsia="en-GB"/>
              </w:rPr>
            </w:pPr>
            <w:proofErr w:type="spellStart"/>
            <w:r w:rsidRPr="00A76C59">
              <w:rPr>
                <w:rFonts w:eastAsia="Times New Roman"/>
                <w:i/>
                <w:iCs/>
                <w:color w:val="000000"/>
                <w:sz w:val="15"/>
                <w:szCs w:val="15"/>
                <w:lang w:eastAsia="en-GB"/>
              </w:rPr>
              <w:t>Neogoniolithon</w:t>
            </w:r>
            <w:proofErr w:type="spellEnd"/>
            <w:r w:rsidRPr="00A76C59">
              <w:rPr>
                <w:rFonts w:eastAsia="Times New Roman"/>
                <w:i/>
                <w:iCs/>
                <w:color w:val="000000"/>
                <w:sz w:val="15"/>
                <w:szCs w:val="15"/>
                <w:lang w:eastAsia="en-GB"/>
              </w:rPr>
              <w:t xml:space="preserve"> </w:t>
            </w:r>
            <w:proofErr w:type="spellStart"/>
            <w:r w:rsidRPr="00A76C59">
              <w:rPr>
                <w:rFonts w:eastAsia="Times New Roman"/>
                <w:i/>
                <w:iCs/>
                <w:color w:val="000000"/>
                <w:sz w:val="15"/>
                <w:szCs w:val="15"/>
                <w:lang w:eastAsia="en-GB"/>
              </w:rPr>
              <w:t>fosliei</w:t>
            </w:r>
            <w:proofErr w:type="spellEnd"/>
          </w:p>
        </w:tc>
        <w:tc>
          <w:tcPr>
            <w:tcW w:w="602" w:type="pct"/>
            <w:gridSpan w:val="2"/>
            <w:tcBorders>
              <w:top w:val="nil"/>
              <w:left w:val="nil"/>
              <w:bottom w:val="nil"/>
              <w:right w:val="nil"/>
            </w:tcBorders>
            <w:shd w:val="clear" w:color="auto" w:fill="auto"/>
            <w:noWrap/>
            <w:vAlign w:val="center"/>
            <w:hideMark/>
          </w:tcPr>
          <w:p w14:paraId="15D115A0"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corallinales</w:t>
            </w:r>
            <w:proofErr w:type="spellEnd"/>
          </w:p>
        </w:tc>
        <w:tc>
          <w:tcPr>
            <w:tcW w:w="560" w:type="pct"/>
            <w:gridSpan w:val="2"/>
            <w:tcBorders>
              <w:top w:val="nil"/>
              <w:left w:val="nil"/>
              <w:bottom w:val="nil"/>
              <w:right w:val="nil"/>
            </w:tcBorders>
            <w:shd w:val="clear" w:color="auto" w:fill="auto"/>
            <w:noWrap/>
            <w:vAlign w:val="center"/>
            <w:hideMark/>
          </w:tcPr>
          <w:p w14:paraId="11375B6B"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105</w:t>
            </w:r>
          </w:p>
        </w:tc>
        <w:tc>
          <w:tcPr>
            <w:tcW w:w="551" w:type="pct"/>
            <w:gridSpan w:val="2"/>
            <w:tcBorders>
              <w:top w:val="nil"/>
              <w:left w:val="nil"/>
              <w:bottom w:val="nil"/>
              <w:right w:val="nil"/>
            </w:tcBorders>
            <w:shd w:val="clear" w:color="auto" w:fill="auto"/>
            <w:noWrap/>
            <w:vAlign w:val="center"/>
            <w:hideMark/>
          </w:tcPr>
          <w:p w14:paraId="13BAC58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7F37B116" w14:textId="391E073D"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1691A749"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6CCB4C98"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406</w:t>
            </w:r>
          </w:p>
        </w:tc>
        <w:tc>
          <w:tcPr>
            <w:tcW w:w="478" w:type="pct"/>
            <w:gridSpan w:val="2"/>
            <w:tcBorders>
              <w:top w:val="nil"/>
              <w:left w:val="nil"/>
              <w:bottom w:val="nil"/>
              <w:right w:val="nil"/>
            </w:tcBorders>
            <w:shd w:val="clear" w:color="auto" w:fill="auto"/>
            <w:noWrap/>
            <w:vAlign w:val="center"/>
            <w:hideMark/>
          </w:tcPr>
          <w:p w14:paraId="4E466272"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447</w:t>
            </w:r>
          </w:p>
        </w:tc>
        <w:tc>
          <w:tcPr>
            <w:tcW w:w="544" w:type="pct"/>
            <w:gridSpan w:val="3"/>
            <w:tcBorders>
              <w:top w:val="nil"/>
              <w:left w:val="nil"/>
              <w:bottom w:val="nil"/>
              <w:right w:val="nil"/>
            </w:tcBorders>
            <w:shd w:val="clear" w:color="auto" w:fill="auto"/>
            <w:noWrap/>
            <w:vAlign w:val="center"/>
            <w:hideMark/>
          </w:tcPr>
          <w:p w14:paraId="7D3B99BC" w14:textId="42EA4BD5"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E Bergstrom, A Ordoñez, M Ho, C Hurd, B Fry and G Diaz-Pulido [25]</w:t>
            </w:r>
            <w:r w:rsidRPr="007F798A">
              <w:rPr>
                <w:rFonts w:eastAsia="Times New Roman"/>
                <w:color w:val="000000"/>
                <w:sz w:val="15"/>
                <w:szCs w:val="15"/>
                <w:lang w:eastAsia="en-GB"/>
              </w:rPr>
              <w:fldChar w:fldCharType="end"/>
            </w:r>
          </w:p>
        </w:tc>
      </w:tr>
      <w:tr w:rsidR="00A76C59" w:rsidRPr="00A76C59" w14:paraId="4F60CD4B" w14:textId="77777777" w:rsidTr="00A76C59">
        <w:trPr>
          <w:trHeight w:val="340"/>
        </w:trPr>
        <w:tc>
          <w:tcPr>
            <w:tcW w:w="759" w:type="pct"/>
            <w:tcBorders>
              <w:top w:val="nil"/>
              <w:left w:val="nil"/>
              <w:bottom w:val="nil"/>
              <w:right w:val="nil"/>
            </w:tcBorders>
            <w:shd w:val="clear" w:color="000000" w:fill="92D050"/>
            <w:vAlign w:val="center"/>
            <w:hideMark/>
          </w:tcPr>
          <w:p w14:paraId="0EEA4E02" w14:textId="77777777" w:rsidR="00A25555" w:rsidRPr="00A76C59" w:rsidRDefault="00A25555" w:rsidP="00DF1EE8">
            <w:pPr>
              <w:rPr>
                <w:rFonts w:eastAsia="Times New Roman"/>
                <w:i/>
                <w:iCs/>
                <w:color w:val="000000"/>
                <w:sz w:val="15"/>
                <w:szCs w:val="15"/>
                <w:lang w:eastAsia="en-GB"/>
              </w:rPr>
            </w:pPr>
            <w:proofErr w:type="spellStart"/>
            <w:r w:rsidRPr="00A76C59">
              <w:rPr>
                <w:rFonts w:eastAsia="Times New Roman"/>
                <w:i/>
                <w:iCs/>
                <w:color w:val="000000"/>
                <w:sz w:val="15"/>
                <w:szCs w:val="15"/>
                <w:lang w:eastAsia="en-GB"/>
              </w:rPr>
              <w:t>Phymatolithon</w:t>
            </w:r>
            <w:proofErr w:type="spellEnd"/>
            <w:r w:rsidRPr="00A76C59">
              <w:rPr>
                <w:rFonts w:eastAsia="Times New Roman"/>
                <w:i/>
                <w:iCs/>
                <w:color w:val="000000"/>
                <w:sz w:val="15"/>
                <w:szCs w:val="15"/>
                <w:lang w:eastAsia="en-GB"/>
              </w:rPr>
              <w:t xml:space="preserve"> </w:t>
            </w:r>
            <w:proofErr w:type="spellStart"/>
            <w:r w:rsidRPr="00A76C59">
              <w:rPr>
                <w:rFonts w:eastAsia="Times New Roman"/>
                <w:i/>
                <w:iCs/>
                <w:color w:val="000000"/>
                <w:sz w:val="15"/>
                <w:szCs w:val="15"/>
                <w:lang w:eastAsia="en-GB"/>
              </w:rPr>
              <w:t>lusitanicum</w:t>
            </w:r>
            <w:proofErr w:type="spellEnd"/>
          </w:p>
        </w:tc>
        <w:tc>
          <w:tcPr>
            <w:tcW w:w="602" w:type="pct"/>
            <w:gridSpan w:val="2"/>
            <w:tcBorders>
              <w:top w:val="nil"/>
              <w:left w:val="nil"/>
              <w:bottom w:val="nil"/>
              <w:right w:val="nil"/>
            </w:tcBorders>
            <w:shd w:val="clear" w:color="auto" w:fill="auto"/>
            <w:noWrap/>
            <w:vAlign w:val="center"/>
            <w:hideMark/>
          </w:tcPr>
          <w:p w14:paraId="4DBF5E4B" w14:textId="7777777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vAlign w:val="center"/>
            <w:hideMark/>
          </w:tcPr>
          <w:p w14:paraId="41914C98"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60</w:t>
            </w:r>
          </w:p>
        </w:tc>
        <w:tc>
          <w:tcPr>
            <w:tcW w:w="551" w:type="pct"/>
            <w:gridSpan w:val="2"/>
            <w:tcBorders>
              <w:top w:val="nil"/>
              <w:left w:val="nil"/>
              <w:bottom w:val="nil"/>
              <w:right w:val="nil"/>
            </w:tcBorders>
            <w:shd w:val="clear" w:color="auto" w:fill="auto"/>
            <w:noWrap/>
            <w:vAlign w:val="center"/>
            <w:hideMark/>
          </w:tcPr>
          <w:p w14:paraId="7E344BE4"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37506084" w14:textId="6D1A6BC7"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Portugal</w:t>
            </w:r>
          </w:p>
        </w:tc>
        <w:tc>
          <w:tcPr>
            <w:tcW w:w="616" w:type="pct"/>
            <w:gridSpan w:val="2"/>
            <w:tcBorders>
              <w:top w:val="nil"/>
              <w:left w:val="nil"/>
              <w:bottom w:val="nil"/>
              <w:right w:val="nil"/>
            </w:tcBorders>
            <w:shd w:val="clear" w:color="auto" w:fill="auto"/>
            <w:vAlign w:val="center"/>
            <w:hideMark/>
          </w:tcPr>
          <w:p w14:paraId="21937701" w14:textId="68BC0CB9"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31492D0B"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1.1</w:t>
            </w:r>
          </w:p>
        </w:tc>
        <w:tc>
          <w:tcPr>
            <w:tcW w:w="478" w:type="pct"/>
            <w:gridSpan w:val="2"/>
            <w:tcBorders>
              <w:top w:val="nil"/>
              <w:left w:val="nil"/>
              <w:bottom w:val="nil"/>
              <w:right w:val="nil"/>
            </w:tcBorders>
            <w:shd w:val="clear" w:color="auto" w:fill="auto"/>
            <w:noWrap/>
            <w:vAlign w:val="center"/>
            <w:hideMark/>
          </w:tcPr>
          <w:p w14:paraId="5F51C401" w14:textId="7777777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2.4</w:t>
            </w:r>
          </w:p>
        </w:tc>
        <w:tc>
          <w:tcPr>
            <w:tcW w:w="544" w:type="pct"/>
            <w:gridSpan w:val="3"/>
            <w:tcBorders>
              <w:top w:val="nil"/>
              <w:left w:val="nil"/>
              <w:bottom w:val="nil"/>
              <w:right w:val="nil"/>
            </w:tcBorders>
            <w:shd w:val="clear" w:color="auto" w:fill="auto"/>
            <w:noWrap/>
            <w:vAlign w:val="center"/>
            <w:hideMark/>
          </w:tcPr>
          <w:p w14:paraId="5ED93F5D" w14:textId="7E50F35C"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AuthorYear="1"&gt;&lt;Author&gt;Sordo&lt;/Author&gt;&lt;Year&gt;2019&lt;/Year&gt;&lt;RecNum&gt;725&lt;/RecNum&gt;&lt;DisplayText&gt;L Sordo, R Santos, I Barrote and J Silva [30]&lt;/DisplayText&gt;&lt;record&gt;&lt;rec-number&gt;725&lt;/rec-number&gt;&lt;foreign-keys&gt;&lt;key app="EN" db-id="5rdwapt2bfwze6edv59v2dwm2vapa5vptpr0" timestamp="1603841953"&gt;725&lt;/key&gt;&lt;/foreign-keys&gt;&lt;ref-type name="Journal Article"&gt;17&lt;/ref-type&gt;&lt;contributors&gt;&lt;authors&gt;&lt;author&gt;Sordo, Laura&lt;/author&gt;&lt;author&gt;Santos, Rui&lt;/author&gt;&lt;author&gt;Barrote, Isabel&lt;/author&gt;&lt;author&gt;Silva, João&lt;/author&gt;&lt;/authors&gt;&lt;/contributors&gt;&lt;titles&gt;&lt;title&gt;&lt;style face="normal" font="default" size="100%"&gt;Temperature amplifies the effect of high CO&lt;/style&gt;&lt;style face="subscript" font="default" size="100%"&gt;2&lt;/style&gt;&lt;style face="normal" font="default" size="100%"&gt; on the photosynthesis, respiration, and calcification of the coralline algae &lt;/style&gt;&lt;style face="italic" font="default" size="100%"&gt;Phymatolithon lusitanicum&lt;/style&gt;&lt;/title&gt;&lt;secondary-title&gt;Ecology and Evolution&lt;/secondary-title&gt;&lt;/titles&gt;&lt;pages&gt;11000-11009&lt;/pages&gt;&lt;volume&gt;9&lt;/volume&gt;&lt;number&gt;19&lt;/number&gt;&lt;keywords&gt;&lt;keyword&gt;calcification&lt;/keyword&gt;&lt;keyword&gt;CO2&lt;/keyword&gt;&lt;keyword&gt;Coralline algae&lt;/keyword&gt;&lt;keyword&gt;heat wave&lt;/keyword&gt;&lt;keyword&gt;maërl&lt;/keyword&gt;&lt;keyword&gt;ocean acidification&lt;/keyword&gt;&lt;keyword&gt;photosynthesis&lt;/keyword&gt;&lt;keyword&gt;respiration&lt;/keyword&gt;&lt;keyword&gt;temperature&lt;/keyword&gt;&lt;/keywords&gt;&lt;dates&gt;&lt;year&gt;2019&lt;/year&gt;&lt;pub-dates&gt;&lt;date&gt;2019/10/01&lt;/date&gt;&lt;/pub-dates&gt;&lt;/dates&gt;&lt;publisher&gt;John Wiley &amp;amp; Sons, Ltd&lt;/publisher&gt;&lt;isbn&gt;2045-7758&lt;/isbn&gt;&lt;urls&gt;&lt;related-urls&gt;&lt;url&gt;https://doi.org/10.1002/ece3.5560&lt;/url&gt;&lt;/related-urls&gt;&lt;/urls&gt;&lt;electronic-resource-num&gt;10.1002/ece3.5560&lt;/electronic-resource-num&gt;&lt;access-date&gt;2020/10/27&lt;/access-date&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L Sordo, R Santos, I Barrote and J Silva [30]</w:t>
            </w:r>
            <w:r w:rsidRPr="007F798A">
              <w:rPr>
                <w:rFonts w:eastAsia="Times New Roman"/>
                <w:color w:val="000000"/>
                <w:sz w:val="15"/>
                <w:szCs w:val="15"/>
                <w:lang w:eastAsia="en-GB"/>
              </w:rPr>
              <w:fldChar w:fldCharType="end"/>
            </w:r>
          </w:p>
        </w:tc>
      </w:tr>
      <w:tr w:rsidR="00A76C59" w:rsidRPr="007F798A" w14:paraId="54BE310F" w14:textId="77777777" w:rsidTr="00A76C59">
        <w:trPr>
          <w:gridAfter w:val="1"/>
          <w:wAfter w:w="4" w:type="pct"/>
          <w:trHeight w:val="680"/>
        </w:trPr>
        <w:tc>
          <w:tcPr>
            <w:tcW w:w="759" w:type="pct"/>
            <w:tcBorders>
              <w:top w:val="nil"/>
              <w:left w:val="nil"/>
              <w:bottom w:val="nil"/>
              <w:right w:val="nil"/>
            </w:tcBorders>
            <w:shd w:val="clear" w:color="auto" w:fill="B4C6E7" w:themeFill="accent1" w:themeFillTint="66"/>
            <w:noWrap/>
            <w:vAlign w:val="center"/>
            <w:hideMark/>
          </w:tcPr>
          <w:p w14:paraId="4FB08F69" w14:textId="1A886A5A"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i/>
                <w:iCs/>
                <w:color w:val="000000"/>
                <w:sz w:val="15"/>
                <w:szCs w:val="15"/>
                <w:lang w:eastAsia="en-GB"/>
              </w:rPr>
              <w:t>Phymatolithon</w:t>
            </w:r>
            <w:proofErr w:type="spellEnd"/>
            <w:r w:rsidRPr="00A76C59">
              <w:rPr>
                <w:rFonts w:eastAsia="Times New Roman"/>
                <w:i/>
                <w:iCs/>
                <w:color w:val="000000"/>
                <w:sz w:val="15"/>
                <w:szCs w:val="15"/>
                <w:lang w:eastAsia="en-GB"/>
              </w:rPr>
              <w:t xml:space="preserve"> </w:t>
            </w:r>
            <w:proofErr w:type="spellStart"/>
            <w:r w:rsidRPr="00A76C59">
              <w:rPr>
                <w:rFonts w:eastAsia="Times New Roman"/>
                <w:i/>
                <w:iCs/>
                <w:color w:val="000000"/>
                <w:sz w:val="15"/>
                <w:szCs w:val="15"/>
                <w:lang w:eastAsia="en-GB"/>
              </w:rPr>
              <w:t>calcareum</w:t>
            </w:r>
            <w:proofErr w:type="spellEnd"/>
          </w:p>
        </w:tc>
        <w:tc>
          <w:tcPr>
            <w:tcW w:w="602" w:type="pct"/>
            <w:gridSpan w:val="2"/>
            <w:tcBorders>
              <w:top w:val="nil"/>
              <w:left w:val="nil"/>
              <w:bottom w:val="nil"/>
              <w:right w:val="nil"/>
            </w:tcBorders>
            <w:shd w:val="clear" w:color="auto" w:fill="auto"/>
            <w:noWrap/>
            <w:vAlign w:val="center"/>
            <w:hideMark/>
          </w:tcPr>
          <w:p w14:paraId="437A8ED4" w14:textId="77B2580D"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4FC63321" w14:textId="73786FA3"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60</w:t>
            </w:r>
          </w:p>
        </w:tc>
        <w:tc>
          <w:tcPr>
            <w:tcW w:w="551" w:type="pct"/>
            <w:gridSpan w:val="2"/>
            <w:tcBorders>
              <w:top w:val="nil"/>
              <w:left w:val="nil"/>
              <w:bottom w:val="nil"/>
              <w:right w:val="nil"/>
            </w:tcBorders>
            <w:shd w:val="clear" w:color="auto" w:fill="auto"/>
            <w:noWrap/>
            <w:vAlign w:val="center"/>
            <w:hideMark/>
          </w:tcPr>
          <w:p w14:paraId="01A46A36" w14:textId="6A06BEF5"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lower</w:t>
            </w:r>
          </w:p>
        </w:tc>
        <w:tc>
          <w:tcPr>
            <w:tcW w:w="474" w:type="pct"/>
            <w:gridSpan w:val="2"/>
            <w:tcBorders>
              <w:top w:val="nil"/>
              <w:left w:val="nil"/>
              <w:bottom w:val="nil"/>
              <w:right w:val="nil"/>
            </w:tcBorders>
            <w:shd w:val="clear" w:color="auto" w:fill="auto"/>
            <w:noWrap/>
            <w:vAlign w:val="center"/>
            <w:hideMark/>
          </w:tcPr>
          <w:p w14:paraId="1B8B3857" w14:textId="43651883"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France</w:t>
            </w:r>
          </w:p>
        </w:tc>
        <w:tc>
          <w:tcPr>
            <w:tcW w:w="616" w:type="pct"/>
            <w:gridSpan w:val="2"/>
            <w:tcBorders>
              <w:top w:val="nil"/>
              <w:left w:val="nil"/>
              <w:bottom w:val="nil"/>
              <w:right w:val="nil"/>
            </w:tcBorders>
            <w:shd w:val="clear" w:color="auto" w:fill="auto"/>
            <w:vAlign w:val="center"/>
            <w:hideMark/>
          </w:tcPr>
          <w:p w14:paraId="46FD2737" w14:textId="0C690B1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78D64481" w14:textId="5E3673EF"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1.7</w:t>
            </w:r>
          </w:p>
        </w:tc>
        <w:tc>
          <w:tcPr>
            <w:tcW w:w="478" w:type="pct"/>
            <w:gridSpan w:val="2"/>
            <w:tcBorders>
              <w:top w:val="nil"/>
              <w:left w:val="nil"/>
              <w:bottom w:val="nil"/>
              <w:right w:val="nil"/>
            </w:tcBorders>
            <w:shd w:val="clear" w:color="auto" w:fill="auto"/>
            <w:noWrap/>
            <w:vAlign w:val="center"/>
            <w:hideMark/>
          </w:tcPr>
          <w:p w14:paraId="4F0EF103" w14:textId="316BEDC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1.8</w:t>
            </w:r>
          </w:p>
        </w:tc>
        <w:tc>
          <w:tcPr>
            <w:tcW w:w="540" w:type="pct"/>
            <w:gridSpan w:val="2"/>
            <w:tcBorders>
              <w:top w:val="nil"/>
              <w:left w:val="nil"/>
              <w:bottom w:val="nil"/>
              <w:right w:val="nil"/>
            </w:tcBorders>
            <w:shd w:val="clear" w:color="auto" w:fill="auto"/>
            <w:noWrap/>
            <w:vAlign w:val="center"/>
            <w:hideMark/>
          </w:tcPr>
          <w:p w14:paraId="0B40EC84" w14:textId="707E98E4"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AuthorYear="1"&gt;&lt;Author&gt;Qui-Minet&lt;/Author&gt;&lt;Year&gt;2019&lt;/Year&gt;&lt;RecNum&gt;821&lt;/RecNum&gt;&lt;DisplayText&gt;ZN Qui-Minet, J Coudret, D Davoult, J Grall, M Mendez‐Sandin, T Cariou and S Martin [28]&lt;/DisplayText&gt;&lt;record&gt;&lt;rec-number&gt;821&lt;/rec-number&gt;&lt;foreign-keys&gt;&lt;key app="EN" db-id="5rdwapt2bfwze6edv59v2dwm2vapa5vptpr0" timestamp="1614905389"&gt;821&lt;/key&gt;&lt;/foreign-keys&gt;&lt;ref-type name="Journal Article"&gt;17&lt;/ref-type&gt;&lt;contributors&gt;&lt;authors&gt;&lt;author&gt;Qui-Minet, Zujaila Nohemy&lt;/author&gt;&lt;author&gt;Coudret, Jérôme&lt;/author&gt;&lt;author&gt;Davoult, Dominique&lt;/author&gt;&lt;author&gt;Grall, Jacques&lt;/author&gt;&lt;author&gt;Mendez‐Sandin, Miguel&lt;/author&gt;&lt;author&gt;Cariou, Thierry&lt;/author&gt;&lt;author&gt;Martin, Sophie&lt;/author&gt;&lt;/authors&gt;&lt;/contributors&gt;&lt;titles&gt;&lt;title&gt;Combined effects of global climate change and nutrient enrichment on the physiology of three temperate maerl species&lt;/title&gt;&lt;secondary-title&gt;Ecology and Evolution&lt;/secondary-title&gt;&lt;alt-title&gt;Ecol Evol&lt;/alt-title&gt;&lt;/titles&gt;&lt;pages&gt;13787-13807&lt;/pages&gt;&lt;volume&gt;9&lt;/volume&gt;&lt;number&gt;24&lt;/number&gt;&lt;dates&gt;&lt;year&gt;2019&lt;/year&gt;&lt;/dates&gt;&lt;publisher&gt;Wiley&lt;/publisher&gt;&lt;isbn&gt;2045-7758&lt;/isbn&gt;&lt;urls&gt;&lt;related-urls&gt;&lt;url&gt;https://dx.doi.org/10.1002/ece3.5802&lt;/url&gt;&lt;/related-urls&gt;&lt;/urls&gt;&lt;electronic-resource-num&gt;10.1002/ece3.5802&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ZN Qui-Minet, J Coudret, D Davoult, J Grall, M Mendez‐Sandin, T Cariou and S Martin [28]</w:t>
            </w:r>
            <w:r w:rsidRPr="007F798A">
              <w:rPr>
                <w:rFonts w:eastAsia="Times New Roman"/>
                <w:color w:val="000000"/>
                <w:sz w:val="15"/>
                <w:szCs w:val="15"/>
                <w:lang w:eastAsia="en-GB"/>
              </w:rPr>
              <w:fldChar w:fldCharType="end"/>
            </w:r>
          </w:p>
        </w:tc>
      </w:tr>
      <w:tr w:rsidR="00A76C59" w:rsidRPr="007F798A" w14:paraId="3488E36F" w14:textId="77777777" w:rsidTr="00A76C59">
        <w:trPr>
          <w:gridAfter w:val="1"/>
          <w:wAfter w:w="4" w:type="pct"/>
          <w:trHeight w:val="340"/>
        </w:trPr>
        <w:tc>
          <w:tcPr>
            <w:tcW w:w="759" w:type="pct"/>
            <w:tcBorders>
              <w:top w:val="nil"/>
              <w:left w:val="nil"/>
              <w:bottom w:val="nil"/>
              <w:right w:val="nil"/>
            </w:tcBorders>
            <w:shd w:val="clear" w:color="auto" w:fill="B4C6E7" w:themeFill="accent1" w:themeFillTint="66"/>
            <w:noWrap/>
            <w:vAlign w:val="center"/>
            <w:hideMark/>
          </w:tcPr>
          <w:p w14:paraId="1F6CF3A1" w14:textId="73DE4696" w:rsidR="00A25555" w:rsidRPr="00A76C59" w:rsidRDefault="00A25555" w:rsidP="00DF1EE8">
            <w:pPr>
              <w:rPr>
                <w:rFonts w:eastAsia="Times New Roman"/>
                <w:i/>
                <w:iCs/>
                <w:color w:val="000000"/>
                <w:sz w:val="15"/>
                <w:szCs w:val="15"/>
                <w:lang w:eastAsia="en-GB"/>
              </w:rPr>
            </w:pPr>
            <w:proofErr w:type="spellStart"/>
            <w:r w:rsidRPr="00A76C59">
              <w:rPr>
                <w:rFonts w:eastAsia="Times New Roman"/>
                <w:i/>
                <w:iCs/>
                <w:color w:val="000000"/>
                <w:sz w:val="15"/>
                <w:szCs w:val="15"/>
                <w:lang w:eastAsia="en-GB"/>
              </w:rPr>
              <w:t>Mesophyllum</w:t>
            </w:r>
            <w:proofErr w:type="spellEnd"/>
            <w:r w:rsidRPr="00A76C59">
              <w:rPr>
                <w:rFonts w:eastAsia="Times New Roman"/>
                <w:i/>
                <w:iCs/>
                <w:color w:val="000000"/>
                <w:sz w:val="15"/>
                <w:szCs w:val="15"/>
                <w:lang w:eastAsia="en-GB"/>
              </w:rPr>
              <w:t xml:space="preserve"> / </w:t>
            </w:r>
            <w:proofErr w:type="spellStart"/>
            <w:r w:rsidRPr="00A76C59">
              <w:rPr>
                <w:rFonts w:eastAsia="Times New Roman"/>
                <w:i/>
                <w:iCs/>
                <w:color w:val="000000"/>
                <w:sz w:val="15"/>
                <w:szCs w:val="15"/>
                <w:lang w:eastAsia="en-GB"/>
              </w:rPr>
              <w:t>Melyvonnnea</w:t>
            </w:r>
            <w:proofErr w:type="spellEnd"/>
            <w:r w:rsidRPr="00A76C59">
              <w:rPr>
                <w:rFonts w:eastAsia="Times New Roman"/>
                <w:i/>
                <w:iCs/>
                <w:color w:val="000000"/>
                <w:sz w:val="15"/>
                <w:szCs w:val="15"/>
                <w:lang w:eastAsia="en-GB"/>
              </w:rPr>
              <w:t xml:space="preserve"> sp.</w:t>
            </w:r>
          </w:p>
        </w:tc>
        <w:tc>
          <w:tcPr>
            <w:tcW w:w="602" w:type="pct"/>
            <w:gridSpan w:val="2"/>
            <w:tcBorders>
              <w:top w:val="nil"/>
              <w:left w:val="nil"/>
              <w:bottom w:val="nil"/>
              <w:right w:val="nil"/>
            </w:tcBorders>
            <w:shd w:val="clear" w:color="auto" w:fill="auto"/>
            <w:noWrap/>
            <w:vAlign w:val="center"/>
            <w:hideMark/>
          </w:tcPr>
          <w:p w14:paraId="31CB1F89" w14:textId="055D28D1"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58859F83" w14:textId="560BEB0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71</w:t>
            </w:r>
          </w:p>
        </w:tc>
        <w:tc>
          <w:tcPr>
            <w:tcW w:w="551" w:type="pct"/>
            <w:gridSpan w:val="2"/>
            <w:tcBorders>
              <w:top w:val="nil"/>
              <w:left w:val="nil"/>
              <w:bottom w:val="nil"/>
              <w:right w:val="nil"/>
            </w:tcBorders>
            <w:shd w:val="clear" w:color="auto" w:fill="auto"/>
            <w:noWrap/>
            <w:vAlign w:val="center"/>
            <w:hideMark/>
          </w:tcPr>
          <w:p w14:paraId="19454F24" w14:textId="363F6C0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12F9D6CC" w14:textId="5B510510"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15B204DD" w14:textId="550812E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697140F7" w14:textId="5432E5B0"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472</w:t>
            </w:r>
          </w:p>
        </w:tc>
        <w:tc>
          <w:tcPr>
            <w:tcW w:w="478" w:type="pct"/>
            <w:gridSpan w:val="2"/>
            <w:tcBorders>
              <w:top w:val="nil"/>
              <w:left w:val="nil"/>
              <w:bottom w:val="nil"/>
              <w:right w:val="nil"/>
            </w:tcBorders>
            <w:shd w:val="clear" w:color="auto" w:fill="auto"/>
            <w:noWrap/>
            <w:vAlign w:val="center"/>
            <w:hideMark/>
          </w:tcPr>
          <w:p w14:paraId="38D623CA" w14:textId="58931BA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495</w:t>
            </w:r>
          </w:p>
        </w:tc>
        <w:tc>
          <w:tcPr>
            <w:tcW w:w="540" w:type="pct"/>
            <w:gridSpan w:val="2"/>
            <w:tcBorders>
              <w:top w:val="nil"/>
              <w:left w:val="nil"/>
              <w:bottom w:val="nil"/>
              <w:right w:val="nil"/>
            </w:tcBorders>
            <w:shd w:val="clear" w:color="auto" w:fill="auto"/>
            <w:noWrap/>
            <w:vAlign w:val="center"/>
            <w:hideMark/>
          </w:tcPr>
          <w:p w14:paraId="0A27D0FB" w14:textId="1335BBCC"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 xml:space="preserve">E Bergstrom, A Ordoñez, M Ho, C Hurd, B Fry </w:t>
            </w:r>
            <w:r w:rsidR="00B27AEA" w:rsidRPr="007F798A">
              <w:rPr>
                <w:rFonts w:eastAsia="Times New Roman"/>
                <w:noProof/>
                <w:color w:val="000000"/>
                <w:sz w:val="15"/>
                <w:szCs w:val="15"/>
                <w:lang w:eastAsia="en-GB"/>
              </w:rPr>
              <w:lastRenderedPageBreak/>
              <w:t>and G Diaz-Pulido [25]</w:t>
            </w:r>
            <w:r w:rsidRPr="007F798A">
              <w:rPr>
                <w:rFonts w:eastAsia="Times New Roman"/>
                <w:color w:val="000000"/>
                <w:sz w:val="15"/>
                <w:szCs w:val="15"/>
                <w:lang w:eastAsia="en-GB"/>
              </w:rPr>
              <w:fldChar w:fldCharType="end"/>
            </w:r>
          </w:p>
        </w:tc>
      </w:tr>
      <w:tr w:rsidR="00A76C59" w:rsidRPr="007F798A" w14:paraId="4DAE27F3" w14:textId="77777777" w:rsidTr="00A76C59">
        <w:trPr>
          <w:gridAfter w:val="1"/>
          <w:wAfter w:w="4" w:type="pct"/>
          <w:trHeight w:val="340"/>
        </w:trPr>
        <w:tc>
          <w:tcPr>
            <w:tcW w:w="759" w:type="pct"/>
            <w:tcBorders>
              <w:top w:val="nil"/>
              <w:left w:val="nil"/>
              <w:bottom w:val="nil"/>
              <w:right w:val="nil"/>
            </w:tcBorders>
            <w:shd w:val="clear" w:color="000000" w:fill="E96761"/>
            <w:noWrap/>
            <w:vAlign w:val="center"/>
            <w:hideMark/>
          </w:tcPr>
          <w:p w14:paraId="0289E049" w14:textId="220469A5"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lastRenderedPageBreak/>
              <w:t xml:space="preserve">Lithothamnion </w:t>
            </w:r>
            <w:r w:rsidRPr="00A76C59">
              <w:rPr>
                <w:rFonts w:eastAsia="Times New Roman"/>
                <w:color w:val="000000"/>
                <w:sz w:val="15"/>
                <w:szCs w:val="15"/>
                <w:lang w:eastAsia="en-GB"/>
              </w:rPr>
              <w:t>sp.</w:t>
            </w:r>
          </w:p>
        </w:tc>
        <w:tc>
          <w:tcPr>
            <w:tcW w:w="602" w:type="pct"/>
            <w:gridSpan w:val="2"/>
            <w:tcBorders>
              <w:top w:val="nil"/>
              <w:left w:val="nil"/>
              <w:bottom w:val="nil"/>
              <w:right w:val="nil"/>
            </w:tcBorders>
            <w:shd w:val="clear" w:color="auto" w:fill="auto"/>
            <w:noWrap/>
            <w:vAlign w:val="center"/>
            <w:hideMark/>
          </w:tcPr>
          <w:p w14:paraId="7E6E0484" w14:textId="54BC3A95"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5DB03E67" w14:textId="7861CF4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75</w:t>
            </w:r>
          </w:p>
        </w:tc>
        <w:tc>
          <w:tcPr>
            <w:tcW w:w="551" w:type="pct"/>
            <w:gridSpan w:val="2"/>
            <w:tcBorders>
              <w:top w:val="nil"/>
              <w:left w:val="nil"/>
              <w:bottom w:val="nil"/>
              <w:right w:val="nil"/>
            </w:tcBorders>
            <w:shd w:val="clear" w:color="auto" w:fill="auto"/>
            <w:noWrap/>
            <w:vAlign w:val="center"/>
            <w:hideMark/>
          </w:tcPr>
          <w:p w14:paraId="4D56EF53" w14:textId="409735DC"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1B28314D" w14:textId="166EF873"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Mexico</w:t>
            </w:r>
          </w:p>
        </w:tc>
        <w:tc>
          <w:tcPr>
            <w:tcW w:w="616" w:type="pct"/>
            <w:gridSpan w:val="2"/>
            <w:tcBorders>
              <w:top w:val="nil"/>
              <w:left w:val="nil"/>
              <w:bottom w:val="nil"/>
              <w:right w:val="nil"/>
            </w:tcBorders>
            <w:shd w:val="clear" w:color="auto" w:fill="auto"/>
            <w:vAlign w:val="center"/>
            <w:hideMark/>
          </w:tcPr>
          <w:p w14:paraId="6FF80AE5" w14:textId="03CBDB8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19C6EEAD" w14:textId="419AF33F"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0.48</w:t>
            </w:r>
          </w:p>
        </w:tc>
        <w:tc>
          <w:tcPr>
            <w:tcW w:w="478" w:type="pct"/>
            <w:gridSpan w:val="2"/>
            <w:tcBorders>
              <w:top w:val="nil"/>
              <w:left w:val="nil"/>
              <w:bottom w:val="nil"/>
              <w:right w:val="nil"/>
            </w:tcBorders>
            <w:shd w:val="clear" w:color="auto" w:fill="auto"/>
            <w:noWrap/>
            <w:vAlign w:val="center"/>
            <w:hideMark/>
          </w:tcPr>
          <w:p w14:paraId="7FBF2382" w14:textId="74F74DA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0.19</w:t>
            </w:r>
          </w:p>
        </w:tc>
        <w:tc>
          <w:tcPr>
            <w:tcW w:w="540" w:type="pct"/>
            <w:gridSpan w:val="2"/>
            <w:tcBorders>
              <w:top w:val="nil"/>
              <w:left w:val="nil"/>
              <w:bottom w:val="nil"/>
              <w:right w:val="nil"/>
            </w:tcBorders>
            <w:shd w:val="clear" w:color="auto" w:fill="auto"/>
            <w:noWrap/>
            <w:vAlign w:val="center"/>
            <w:hideMark/>
          </w:tcPr>
          <w:p w14:paraId="62C22910" w14:textId="4EC9F335"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AuthorYear="1"&gt;&lt;Author&gt;Vásquez-Elizondo&lt;/Author&gt;&lt;Year&gt;2016&lt;/Year&gt;&lt;RecNum&gt;560&lt;/RecNum&gt;&lt;DisplayText&gt;RM Vásquez-Elizondo and S Enríquez [29]&lt;/DisplayText&gt;&lt;record&gt;&lt;rec-number&gt;560&lt;/rec-number&gt;&lt;foreign-keys&gt;&lt;key app="EN" db-id="5rdwapt2bfwze6edv59v2dwm2vapa5vptpr0" timestamp="1573002100"&gt;560&lt;/key&gt;&lt;/foreign-keys&gt;&lt;ref-type name="Journal Article"&gt;17&lt;/ref-type&gt;&lt;contributors&gt;&lt;authors&gt;&lt;author&gt;Vásquez-Elizondo, Román Manuel&lt;/author&gt;&lt;author&gt;Enríquez, Susana&lt;/author&gt;&lt;/authors&gt;&lt;/contributors&gt;&lt;titles&gt;&lt;title&gt;Coralline algal physiology is more adversely affected by elevated temperature than reduced pH&lt;/title&gt;&lt;secondary-title&gt;Scientific Reports&lt;/secondary-title&gt;&lt;/titles&gt;&lt;pages&gt;19030&lt;/pages&gt;&lt;volume&gt;6&lt;/volume&gt;&lt;dates&gt;&lt;year&gt;2016&lt;/year&gt;&lt;/dates&gt;&lt;publisher&gt;The Author(s)&lt;/publisher&gt;&lt;work-type&gt;Article&lt;/work-type&gt;&lt;urls&gt;&lt;related-urls&gt;&lt;url&gt;https://doi.org/10.1038/srep19030&lt;/url&gt;&lt;/related-urls&gt;&lt;/urls&gt;&lt;electronic-resource-num&gt;10.1038/srep19030&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RM Vásquez-Elizondo and S Enríquez [29]</w:t>
            </w:r>
            <w:r w:rsidRPr="007F798A">
              <w:rPr>
                <w:rFonts w:eastAsia="Times New Roman"/>
                <w:color w:val="000000"/>
                <w:sz w:val="15"/>
                <w:szCs w:val="15"/>
                <w:lang w:eastAsia="en-GB"/>
              </w:rPr>
              <w:fldChar w:fldCharType="end"/>
            </w:r>
          </w:p>
        </w:tc>
      </w:tr>
      <w:tr w:rsidR="00A76C59" w:rsidRPr="007F798A" w14:paraId="59BE2AA0" w14:textId="77777777" w:rsidTr="00A76C59">
        <w:trPr>
          <w:gridAfter w:val="1"/>
          <w:wAfter w:w="4" w:type="pct"/>
          <w:trHeight w:val="340"/>
        </w:trPr>
        <w:tc>
          <w:tcPr>
            <w:tcW w:w="759" w:type="pct"/>
            <w:tcBorders>
              <w:top w:val="nil"/>
              <w:left w:val="nil"/>
              <w:bottom w:val="nil"/>
              <w:right w:val="nil"/>
            </w:tcBorders>
            <w:shd w:val="clear" w:color="auto" w:fill="B4C6E7" w:themeFill="accent1" w:themeFillTint="66"/>
            <w:noWrap/>
            <w:vAlign w:val="center"/>
            <w:hideMark/>
          </w:tcPr>
          <w:p w14:paraId="2D3F66A7" w14:textId="2AE7166E"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t xml:space="preserve">Lithothamnion </w:t>
            </w:r>
            <w:proofErr w:type="spellStart"/>
            <w:r w:rsidRPr="00A76C59">
              <w:rPr>
                <w:rFonts w:eastAsia="Times New Roman"/>
                <w:i/>
                <w:iCs/>
                <w:color w:val="000000"/>
                <w:sz w:val="15"/>
                <w:szCs w:val="15"/>
                <w:lang w:eastAsia="en-GB"/>
              </w:rPr>
              <w:t>corallioides</w:t>
            </w:r>
            <w:proofErr w:type="spellEnd"/>
          </w:p>
        </w:tc>
        <w:tc>
          <w:tcPr>
            <w:tcW w:w="602" w:type="pct"/>
            <w:gridSpan w:val="2"/>
            <w:tcBorders>
              <w:top w:val="nil"/>
              <w:left w:val="nil"/>
              <w:bottom w:val="nil"/>
              <w:right w:val="nil"/>
            </w:tcBorders>
            <w:shd w:val="clear" w:color="auto" w:fill="auto"/>
            <w:noWrap/>
            <w:vAlign w:val="center"/>
            <w:hideMark/>
          </w:tcPr>
          <w:p w14:paraId="7451D22E" w14:textId="000C4018"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01F933CA" w14:textId="300F2CE0"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75</w:t>
            </w:r>
          </w:p>
        </w:tc>
        <w:tc>
          <w:tcPr>
            <w:tcW w:w="551" w:type="pct"/>
            <w:gridSpan w:val="2"/>
            <w:tcBorders>
              <w:top w:val="nil"/>
              <w:left w:val="nil"/>
              <w:bottom w:val="nil"/>
              <w:right w:val="nil"/>
            </w:tcBorders>
            <w:shd w:val="clear" w:color="auto" w:fill="auto"/>
            <w:noWrap/>
            <w:vAlign w:val="center"/>
            <w:hideMark/>
          </w:tcPr>
          <w:p w14:paraId="50447046" w14:textId="1DAA6F29"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6C94077E" w14:textId="44DCF637"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France</w:t>
            </w:r>
          </w:p>
        </w:tc>
        <w:tc>
          <w:tcPr>
            <w:tcW w:w="616" w:type="pct"/>
            <w:gridSpan w:val="2"/>
            <w:tcBorders>
              <w:top w:val="nil"/>
              <w:left w:val="nil"/>
              <w:bottom w:val="nil"/>
              <w:right w:val="nil"/>
            </w:tcBorders>
            <w:shd w:val="clear" w:color="auto" w:fill="auto"/>
            <w:vAlign w:val="center"/>
            <w:hideMark/>
          </w:tcPr>
          <w:p w14:paraId="05F06A5B" w14:textId="0380CAE9"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732CE904" w14:textId="1A235F24"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2.15</w:t>
            </w:r>
          </w:p>
        </w:tc>
        <w:tc>
          <w:tcPr>
            <w:tcW w:w="478" w:type="pct"/>
            <w:gridSpan w:val="2"/>
            <w:tcBorders>
              <w:top w:val="nil"/>
              <w:left w:val="nil"/>
              <w:bottom w:val="nil"/>
              <w:right w:val="nil"/>
            </w:tcBorders>
            <w:shd w:val="clear" w:color="auto" w:fill="auto"/>
            <w:noWrap/>
            <w:vAlign w:val="center"/>
            <w:hideMark/>
          </w:tcPr>
          <w:p w14:paraId="1CF434FE" w14:textId="257AD942"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2.15</w:t>
            </w:r>
          </w:p>
        </w:tc>
        <w:tc>
          <w:tcPr>
            <w:tcW w:w="540" w:type="pct"/>
            <w:gridSpan w:val="2"/>
            <w:tcBorders>
              <w:top w:val="nil"/>
              <w:left w:val="nil"/>
              <w:bottom w:val="nil"/>
              <w:right w:val="nil"/>
            </w:tcBorders>
            <w:shd w:val="clear" w:color="auto" w:fill="auto"/>
            <w:noWrap/>
            <w:vAlign w:val="center"/>
            <w:hideMark/>
          </w:tcPr>
          <w:p w14:paraId="5FA1B589" w14:textId="530FCA97"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AuthorYear="1"&gt;&lt;Author&gt;Qui-Minet&lt;/Author&gt;&lt;Year&gt;2019&lt;/Year&gt;&lt;RecNum&gt;821&lt;/RecNum&gt;&lt;DisplayText&gt;ZN Qui-Minet, J Coudret, D Davoult, J Grall, M Mendez‐Sandin, T Cariou and S Martin [28]&lt;/DisplayText&gt;&lt;record&gt;&lt;rec-number&gt;821&lt;/rec-number&gt;&lt;foreign-keys&gt;&lt;key app="EN" db-id="5rdwapt2bfwze6edv59v2dwm2vapa5vptpr0" timestamp="1614905389"&gt;821&lt;/key&gt;&lt;/foreign-keys&gt;&lt;ref-type name="Journal Article"&gt;17&lt;/ref-type&gt;&lt;contributors&gt;&lt;authors&gt;&lt;author&gt;Qui-Minet, Zujaila Nohemy&lt;/author&gt;&lt;author&gt;Coudret, Jérôme&lt;/author&gt;&lt;author&gt;Davoult, Dominique&lt;/author&gt;&lt;author&gt;Grall, Jacques&lt;/author&gt;&lt;author&gt;Mendez‐Sandin, Miguel&lt;/author&gt;&lt;author&gt;Cariou, Thierry&lt;/author&gt;&lt;author&gt;Martin, Sophie&lt;/author&gt;&lt;/authors&gt;&lt;/contributors&gt;&lt;titles&gt;&lt;title&gt;Combined effects of global climate change and nutrient enrichment on the physiology of three temperate maerl species&lt;/title&gt;&lt;secondary-title&gt;Ecology and Evolution&lt;/secondary-title&gt;&lt;alt-title&gt;Ecol Evol&lt;/alt-title&gt;&lt;/titles&gt;&lt;pages&gt;13787-13807&lt;/pages&gt;&lt;volume&gt;9&lt;/volume&gt;&lt;number&gt;24&lt;/number&gt;&lt;dates&gt;&lt;year&gt;2019&lt;/year&gt;&lt;/dates&gt;&lt;publisher&gt;Wiley&lt;/publisher&gt;&lt;isbn&gt;2045-7758&lt;/isbn&gt;&lt;urls&gt;&lt;related-urls&gt;&lt;url&gt;https://dx.doi.org/10.1002/ece3.5802&lt;/url&gt;&lt;/related-urls&gt;&lt;/urls&gt;&lt;electronic-resource-num&gt;10.1002/ece3.5802&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ZN Qui-Minet, J Coudret, D Davoult, J Grall, M Mendez‐Sandin, T Cariou and S Martin [28]</w:t>
            </w:r>
            <w:r w:rsidRPr="007F798A">
              <w:rPr>
                <w:rFonts w:eastAsia="Times New Roman"/>
                <w:color w:val="000000"/>
                <w:sz w:val="15"/>
                <w:szCs w:val="15"/>
                <w:lang w:eastAsia="en-GB"/>
              </w:rPr>
              <w:fldChar w:fldCharType="end"/>
            </w:r>
          </w:p>
        </w:tc>
      </w:tr>
      <w:tr w:rsidR="00A76C59" w:rsidRPr="007F798A" w14:paraId="237CEC0D" w14:textId="77777777" w:rsidTr="00A76C59">
        <w:trPr>
          <w:gridAfter w:val="1"/>
          <w:wAfter w:w="4" w:type="pct"/>
          <w:trHeight w:val="340"/>
        </w:trPr>
        <w:tc>
          <w:tcPr>
            <w:tcW w:w="759" w:type="pct"/>
            <w:tcBorders>
              <w:top w:val="nil"/>
              <w:left w:val="nil"/>
              <w:bottom w:val="nil"/>
              <w:right w:val="nil"/>
            </w:tcBorders>
            <w:shd w:val="clear" w:color="auto" w:fill="B4C6E7" w:themeFill="accent1" w:themeFillTint="66"/>
            <w:noWrap/>
            <w:vAlign w:val="center"/>
            <w:hideMark/>
          </w:tcPr>
          <w:p w14:paraId="6F761E81" w14:textId="2AADA3BA" w:rsidR="00A25555" w:rsidRPr="00A76C59" w:rsidRDefault="00801D33" w:rsidP="00DF1EE8">
            <w:pPr>
              <w:rPr>
                <w:rFonts w:eastAsia="Times New Roman"/>
                <w:i/>
                <w:iCs/>
                <w:color w:val="000000"/>
                <w:sz w:val="15"/>
                <w:szCs w:val="15"/>
                <w:lang w:eastAsia="en-GB"/>
              </w:rPr>
            </w:pPr>
            <w:r w:rsidRPr="00A76C59">
              <w:rPr>
                <w:rFonts w:eastAsia="Times New Roman"/>
                <w:bCs w:val="0"/>
                <w:i/>
                <w:iCs/>
                <w:color w:val="000000"/>
                <w:sz w:val="15"/>
                <w:szCs w:val="15"/>
                <w:lang w:eastAsia="en-GB"/>
              </w:rPr>
              <w:t>L</w:t>
            </w:r>
            <w:r w:rsidR="00A25555" w:rsidRPr="00A76C59">
              <w:rPr>
                <w:rFonts w:eastAsia="Times New Roman"/>
                <w:bCs w:val="0"/>
                <w:i/>
                <w:iCs/>
                <w:color w:val="000000"/>
                <w:sz w:val="15"/>
                <w:szCs w:val="15"/>
                <w:lang w:eastAsia="en-GB"/>
              </w:rPr>
              <w:t xml:space="preserve">ithothamnion </w:t>
            </w:r>
            <w:proofErr w:type="spellStart"/>
            <w:r w:rsidR="00A25555" w:rsidRPr="00A76C59">
              <w:rPr>
                <w:rFonts w:eastAsia="Times New Roman"/>
                <w:bCs w:val="0"/>
                <w:i/>
                <w:iCs/>
                <w:color w:val="000000"/>
                <w:sz w:val="15"/>
                <w:szCs w:val="15"/>
                <w:lang w:eastAsia="en-GB"/>
              </w:rPr>
              <w:t>proliferum</w:t>
            </w:r>
            <w:proofErr w:type="spellEnd"/>
          </w:p>
        </w:tc>
        <w:tc>
          <w:tcPr>
            <w:tcW w:w="602" w:type="pct"/>
            <w:gridSpan w:val="2"/>
            <w:tcBorders>
              <w:top w:val="nil"/>
              <w:left w:val="nil"/>
              <w:bottom w:val="nil"/>
              <w:right w:val="nil"/>
            </w:tcBorders>
            <w:shd w:val="clear" w:color="auto" w:fill="auto"/>
            <w:noWrap/>
            <w:vAlign w:val="center"/>
            <w:hideMark/>
          </w:tcPr>
          <w:p w14:paraId="217D27A9" w14:textId="7F811D21"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59674E57" w14:textId="2E6A403C"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75</w:t>
            </w:r>
          </w:p>
        </w:tc>
        <w:tc>
          <w:tcPr>
            <w:tcW w:w="551" w:type="pct"/>
            <w:gridSpan w:val="2"/>
            <w:tcBorders>
              <w:top w:val="nil"/>
              <w:left w:val="nil"/>
              <w:bottom w:val="nil"/>
              <w:right w:val="nil"/>
            </w:tcBorders>
            <w:shd w:val="clear" w:color="auto" w:fill="auto"/>
            <w:noWrap/>
            <w:vAlign w:val="center"/>
            <w:hideMark/>
          </w:tcPr>
          <w:p w14:paraId="6B35588A" w14:textId="52853B9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7892866A" w14:textId="2C5527DB"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283B7A15" w14:textId="5DE9251F"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0CC74EEC" w14:textId="03CCA2C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511</w:t>
            </w:r>
          </w:p>
        </w:tc>
        <w:tc>
          <w:tcPr>
            <w:tcW w:w="478" w:type="pct"/>
            <w:gridSpan w:val="2"/>
            <w:tcBorders>
              <w:top w:val="nil"/>
              <w:left w:val="nil"/>
              <w:bottom w:val="nil"/>
              <w:right w:val="nil"/>
            </w:tcBorders>
            <w:shd w:val="clear" w:color="auto" w:fill="auto"/>
            <w:noWrap/>
            <w:vAlign w:val="center"/>
            <w:hideMark/>
          </w:tcPr>
          <w:p w14:paraId="552B7EA9" w14:textId="3B3D4516"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412</w:t>
            </w:r>
          </w:p>
        </w:tc>
        <w:tc>
          <w:tcPr>
            <w:tcW w:w="540" w:type="pct"/>
            <w:gridSpan w:val="2"/>
            <w:tcBorders>
              <w:top w:val="nil"/>
              <w:left w:val="nil"/>
              <w:bottom w:val="nil"/>
              <w:right w:val="nil"/>
            </w:tcBorders>
            <w:shd w:val="clear" w:color="auto" w:fill="auto"/>
            <w:noWrap/>
            <w:vAlign w:val="center"/>
            <w:hideMark/>
          </w:tcPr>
          <w:p w14:paraId="00A70BD0" w14:textId="375DC937"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E Bergstrom, A Ordoñez, M Ho, C Hurd, B Fry and G Diaz-Pulido [25]</w:t>
            </w:r>
            <w:r w:rsidRPr="007F798A">
              <w:rPr>
                <w:rFonts w:eastAsia="Times New Roman"/>
                <w:color w:val="000000"/>
                <w:sz w:val="15"/>
                <w:szCs w:val="15"/>
                <w:lang w:eastAsia="en-GB"/>
              </w:rPr>
              <w:fldChar w:fldCharType="end"/>
            </w:r>
          </w:p>
        </w:tc>
      </w:tr>
      <w:tr w:rsidR="00A76C59" w:rsidRPr="007F798A" w14:paraId="6FE6A989" w14:textId="77777777" w:rsidTr="00A76C59">
        <w:trPr>
          <w:gridAfter w:val="1"/>
          <w:wAfter w:w="4" w:type="pct"/>
          <w:trHeight w:val="340"/>
        </w:trPr>
        <w:tc>
          <w:tcPr>
            <w:tcW w:w="759" w:type="pct"/>
            <w:tcBorders>
              <w:top w:val="nil"/>
              <w:left w:val="nil"/>
              <w:bottom w:val="nil"/>
              <w:right w:val="nil"/>
            </w:tcBorders>
            <w:shd w:val="clear" w:color="000000" w:fill="92D050"/>
            <w:noWrap/>
            <w:vAlign w:val="center"/>
            <w:hideMark/>
          </w:tcPr>
          <w:p w14:paraId="0A787F20" w14:textId="37A5B4EE" w:rsidR="00A25555" w:rsidRPr="00A76C59" w:rsidRDefault="00A25555" w:rsidP="00DF1EE8">
            <w:pPr>
              <w:rPr>
                <w:rFonts w:eastAsia="Times New Roman"/>
                <w:b/>
                <w:bCs w:val="0"/>
                <w:i/>
                <w:iCs/>
                <w:color w:val="000000"/>
                <w:sz w:val="15"/>
                <w:szCs w:val="15"/>
                <w:lang w:eastAsia="en-GB"/>
              </w:rPr>
            </w:pPr>
            <w:r w:rsidRPr="00A76C59">
              <w:rPr>
                <w:rFonts w:eastAsia="Times New Roman"/>
                <w:i/>
                <w:iCs/>
                <w:color w:val="000000"/>
                <w:sz w:val="15"/>
                <w:szCs w:val="15"/>
                <w:lang w:eastAsia="en-GB"/>
              </w:rPr>
              <w:t xml:space="preserve">Lithothamnion </w:t>
            </w:r>
            <w:proofErr w:type="spellStart"/>
            <w:r w:rsidRPr="00A76C59">
              <w:rPr>
                <w:rFonts w:eastAsia="Times New Roman"/>
                <w:i/>
                <w:iCs/>
                <w:color w:val="000000"/>
                <w:sz w:val="15"/>
                <w:szCs w:val="15"/>
                <w:lang w:eastAsia="en-GB"/>
              </w:rPr>
              <w:t>crispatum</w:t>
            </w:r>
            <w:proofErr w:type="spellEnd"/>
          </w:p>
        </w:tc>
        <w:tc>
          <w:tcPr>
            <w:tcW w:w="602" w:type="pct"/>
            <w:gridSpan w:val="2"/>
            <w:tcBorders>
              <w:top w:val="nil"/>
              <w:left w:val="nil"/>
              <w:bottom w:val="nil"/>
              <w:right w:val="nil"/>
            </w:tcBorders>
            <w:shd w:val="clear" w:color="auto" w:fill="auto"/>
            <w:noWrap/>
            <w:vAlign w:val="center"/>
            <w:hideMark/>
          </w:tcPr>
          <w:p w14:paraId="4BB1A9C8" w14:textId="03C172F7"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hapalidales</w:t>
            </w:r>
            <w:proofErr w:type="spellEnd"/>
          </w:p>
        </w:tc>
        <w:tc>
          <w:tcPr>
            <w:tcW w:w="560" w:type="pct"/>
            <w:gridSpan w:val="2"/>
            <w:tcBorders>
              <w:top w:val="nil"/>
              <w:left w:val="nil"/>
              <w:bottom w:val="nil"/>
              <w:right w:val="nil"/>
            </w:tcBorders>
            <w:shd w:val="clear" w:color="auto" w:fill="auto"/>
            <w:noWrap/>
            <w:vAlign w:val="center"/>
            <w:hideMark/>
          </w:tcPr>
          <w:p w14:paraId="79CB33DC" w14:textId="301E3722"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75</w:t>
            </w:r>
          </w:p>
        </w:tc>
        <w:tc>
          <w:tcPr>
            <w:tcW w:w="551" w:type="pct"/>
            <w:gridSpan w:val="2"/>
            <w:tcBorders>
              <w:top w:val="nil"/>
              <w:left w:val="nil"/>
              <w:bottom w:val="nil"/>
              <w:right w:val="nil"/>
            </w:tcBorders>
            <w:shd w:val="clear" w:color="auto" w:fill="auto"/>
            <w:noWrap/>
            <w:vAlign w:val="center"/>
            <w:hideMark/>
          </w:tcPr>
          <w:p w14:paraId="03916B1F" w14:textId="3807976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7CC742D3" w14:textId="7E02684F"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Brazil</w:t>
            </w:r>
          </w:p>
        </w:tc>
        <w:tc>
          <w:tcPr>
            <w:tcW w:w="616" w:type="pct"/>
            <w:gridSpan w:val="2"/>
            <w:tcBorders>
              <w:top w:val="nil"/>
              <w:left w:val="nil"/>
              <w:bottom w:val="nil"/>
              <w:right w:val="nil"/>
            </w:tcBorders>
            <w:shd w:val="clear" w:color="auto" w:fill="auto"/>
            <w:vAlign w:val="center"/>
            <w:hideMark/>
          </w:tcPr>
          <w:p w14:paraId="035B8C32" w14:textId="2B103087"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nil"/>
              <w:right w:val="nil"/>
            </w:tcBorders>
            <w:shd w:val="clear" w:color="auto" w:fill="auto"/>
            <w:noWrap/>
            <w:vAlign w:val="center"/>
            <w:hideMark/>
          </w:tcPr>
          <w:p w14:paraId="6A1E113C" w14:textId="6E2353E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0.456</w:t>
            </w:r>
          </w:p>
        </w:tc>
        <w:tc>
          <w:tcPr>
            <w:tcW w:w="478" w:type="pct"/>
            <w:gridSpan w:val="2"/>
            <w:tcBorders>
              <w:top w:val="nil"/>
              <w:left w:val="nil"/>
              <w:bottom w:val="nil"/>
              <w:right w:val="nil"/>
            </w:tcBorders>
            <w:shd w:val="clear" w:color="auto" w:fill="auto"/>
            <w:noWrap/>
            <w:vAlign w:val="center"/>
            <w:hideMark/>
          </w:tcPr>
          <w:p w14:paraId="1E88180B" w14:textId="650BD8A8"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0.55</w:t>
            </w:r>
          </w:p>
        </w:tc>
        <w:tc>
          <w:tcPr>
            <w:tcW w:w="540" w:type="pct"/>
            <w:gridSpan w:val="2"/>
            <w:tcBorders>
              <w:top w:val="nil"/>
              <w:left w:val="nil"/>
              <w:bottom w:val="nil"/>
              <w:right w:val="nil"/>
            </w:tcBorders>
            <w:shd w:val="clear" w:color="auto" w:fill="auto"/>
            <w:noWrap/>
            <w:vAlign w:val="center"/>
            <w:hideMark/>
          </w:tcPr>
          <w:p w14:paraId="660F3164" w14:textId="408A3EBC"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AuthorYear="1"&gt;&lt;Author&gt;Muñoz&lt;/Author&gt;&lt;Year&gt;2018&lt;/Year&gt;&lt;RecNum&gt;851&lt;/RecNum&gt;&lt;DisplayText&gt;PT Muñoz, CA Sáez, MB Martínez-Callejas, MR Flores-Molina, E Bastos, A Fonseca, CFD Gurgel, JB Barufi, L Rörig, JM Hall-Spencer, et al. [31]&lt;/DisplayText&gt;&lt;record&gt;&lt;rec-number&gt;851&lt;/rec-number&gt;&lt;foreign-keys&gt;&lt;key app="EN" db-id="5rdwapt2bfwze6edv59v2dwm2vapa5vptpr0" timestamp="1617761441"&gt;851&lt;/key&gt;&lt;/foreign-keys&gt;&lt;ref-type name="Journal Article"&gt;17&lt;/ref-type&gt;&lt;contributors&gt;&lt;authors&gt;&lt;author&gt;Muñoz, Pamela T.&lt;/author&gt;&lt;author&gt;Sáez, Claudio A.&lt;/author&gt;&lt;author&gt;Martínez-Callejas, María Brezo&lt;/author&gt;&lt;author&gt;Flores-Molina, María Rosa&lt;/author&gt;&lt;author&gt;Bastos, Eduardo&lt;/author&gt;&lt;author&gt;Fonseca, Alessandra&lt;/author&gt;&lt;author&gt;Gurgel, C. Frederico D.&lt;/author&gt;&lt;author&gt;Barufi, José Bonomi&lt;/author&gt;&lt;author&gt;Rörig, Leonardo&lt;/author&gt;&lt;author&gt;Hall-Spencer, Jason M.&lt;/author&gt;&lt;author&gt;Horta, Paulo Antunes&lt;/author&gt;&lt;/authors&gt;&lt;/contributors&gt;&lt;titles&gt;&lt;title&gt;&lt;style face="normal" font="default" size="100%"&gt;Short-term interactive effects of increased temperatures and acidification on the calcifying macroalgae &lt;/style&gt;&lt;style face="italic" font="default" size="100%"&gt;Lithothamnion crispatum&lt;/style&gt;&lt;style face="normal" font="default" size="100%"&gt; and &lt;/style&gt;&lt;style face="italic" font="default" size="100%"&gt;Sonderophycus capensis&lt;/style&gt;&lt;/title&gt;&lt;secondary-title&gt;Aquatic Botany&lt;/secondary-title&gt;&lt;/titles&gt;&lt;pages&gt;46-52&lt;/pages&gt;&lt;volume&gt;148&lt;/volume&gt;&lt;keywords&gt;&lt;keyword&gt;Climate change&lt;/keyword&gt;&lt;keyword&gt;Acidification&lt;/keyword&gt;&lt;keyword&gt;Warming&lt;/keyword&gt;&lt;keyword&gt;Macroalgae&lt;/keyword&gt;&lt;/keywords&gt;&lt;dates&gt;&lt;year&gt;2018&lt;/year&gt;&lt;pub-dates&gt;&lt;date&gt;2018/08/01&lt;/date&gt;&lt;/pub-dates&gt;&lt;/dates&gt;&lt;isbn&gt;0304-3770&lt;/isbn&gt;&lt;urls&gt;&lt;related-urls&gt;&lt;url&gt;https://www.sciencedirect.com/science/article/pii/S0304377017304151&lt;/url&gt;&lt;/related-urls&gt;&lt;/urls&gt;&lt;electronic-resource-num&gt;10.1016/j.aquabot.2018.04.008&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PT Muñoz, CA Sáez, MB Martínez-Callejas, MR Flores-Molina, E Bastos, A Fonseca, CFD Gurgel, JB Barufi, L Rörig, JM Hall-Spencer, et al. [31]</w:t>
            </w:r>
            <w:r w:rsidRPr="007F798A">
              <w:rPr>
                <w:rFonts w:eastAsia="Times New Roman"/>
                <w:color w:val="000000"/>
                <w:sz w:val="15"/>
                <w:szCs w:val="15"/>
                <w:lang w:eastAsia="en-GB"/>
              </w:rPr>
              <w:fldChar w:fldCharType="end"/>
            </w:r>
          </w:p>
        </w:tc>
      </w:tr>
      <w:tr w:rsidR="00A76C59" w:rsidRPr="007F798A" w14:paraId="3BC00016" w14:textId="77777777" w:rsidTr="00A76C59">
        <w:trPr>
          <w:gridAfter w:val="1"/>
          <w:wAfter w:w="4" w:type="pct"/>
          <w:trHeight w:val="340"/>
        </w:trPr>
        <w:tc>
          <w:tcPr>
            <w:tcW w:w="759" w:type="pct"/>
            <w:tcBorders>
              <w:top w:val="nil"/>
              <w:left w:val="nil"/>
              <w:bottom w:val="nil"/>
              <w:right w:val="nil"/>
            </w:tcBorders>
            <w:shd w:val="clear" w:color="auto" w:fill="B4C6E7" w:themeFill="accent1" w:themeFillTint="66"/>
            <w:noWrap/>
            <w:vAlign w:val="center"/>
            <w:hideMark/>
          </w:tcPr>
          <w:p w14:paraId="7F02CF4C" w14:textId="4DA061EB" w:rsidR="00A25555" w:rsidRPr="00A76C59" w:rsidRDefault="00A25555" w:rsidP="00DF1EE8">
            <w:pPr>
              <w:rPr>
                <w:rFonts w:eastAsia="Times New Roman"/>
                <w:i/>
                <w:iCs/>
                <w:color w:val="000000"/>
                <w:sz w:val="15"/>
                <w:szCs w:val="15"/>
                <w:lang w:eastAsia="en-GB"/>
              </w:rPr>
            </w:pPr>
            <w:r w:rsidRPr="00A76C59">
              <w:rPr>
                <w:rFonts w:eastAsia="Times New Roman"/>
                <w:i/>
                <w:iCs/>
                <w:color w:val="000000"/>
                <w:sz w:val="15"/>
                <w:szCs w:val="15"/>
                <w:lang w:eastAsia="en-GB"/>
              </w:rPr>
              <w:t xml:space="preserve">Sporolithon </w:t>
            </w:r>
            <w:r w:rsidRPr="00A76C59">
              <w:rPr>
                <w:rFonts w:eastAsia="Times New Roman"/>
                <w:color w:val="000000"/>
                <w:sz w:val="15"/>
                <w:szCs w:val="15"/>
                <w:lang w:eastAsia="en-GB"/>
              </w:rPr>
              <w:t xml:space="preserve">cf. </w:t>
            </w:r>
            <w:r w:rsidRPr="00A76C59">
              <w:rPr>
                <w:rFonts w:eastAsia="Times New Roman"/>
                <w:i/>
                <w:iCs/>
                <w:color w:val="000000"/>
                <w:sz w:val="15"/>
                <w:szCs w:val="15"/>
                <w:lang w:eastAsia="en-GB"/>
              </w:rPr>
              <w:t>durum</w:t>
            </w:r>
          </w:p>
        </w:tc>
        <w:tc>
          <w:tcPr>
            <w:tcW w:w="602" w:type="pct"/>
            <w:gridSpan w:val="2"/>
            <w:tcBorders>
              <w:top w:val="nil"/>
              <w:left w:val="nil"/>
              <w:bottom w:val="nil"/>
              <w:right w:val="nil"/>
            </w:tcBorders>
            <w:shd w:val="clear" w:color="auto" w:fill="auto"/>
            <w:noWrap/>
            <w:vAlign w:val="center"/>
            <w:hideMark/>
          </w:tcPr>
          <w:p w14:paraId="29D7916B" w14:textId="59C50654"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sporolithales</w:t>
            </w:r>
            <w:proofErr w:type="spellEnd"/>
          </w:p>
        </w:tc>
        <w:tc>
          <w:tcPr>
            <w:tcW w:w="560" w:type="pct"/>
            <w:gridSpan w:val="2"/>
            <w:tcBorders>
              <w:top w:val="nil"/>
              <w:left w:val="nil"/>
              <w:bottom w:val="nil"/>
              <w:right w:val="nil"/>
            </w:tcBorders>
            <w:shd w:val="clear" w:color="auto" w:fill="auto"/>
            <w:noWrap/>
            <w:vAlign w:val="center"/>
            <w:hideMark/>
          </w:tcPr>
          <w:p w14:paraId="4DF2849F" w14:textId="269069CA"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137</w:t>
            </w:r>
          </w:p>
        </w:tc>
        <w:tc>
          <w:tcPr>
            <w:tcW w:w="551" w:type="pct"/>
            <w:gridSpan w:val="2"/>
            <w:tcBorders>
              <w:top w:val="nil"/>
              <w:left w:val="nil"/>
              <w:bottom w:val="nil"/>
              <w:right w:val="nil"/>
            </w:tcBorders>
            <w:shd w:val="clear" w:color="auto" w:fill="auto"/>
            <w:noWrap/>
            <w:vAlign w:val="center"/>
            <w:hideMark/>
          </w:tcPr>
          <w:p w14:paraId="6BD69DED" w14:textId="1BC855D0"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nil"/>
              <w:right w:val="nil"/>
            </w:tcBorders>
            <w:shd w:val="clear" w:color="auto" w:fill="auto"/>
            <w:noWrap/>
            <w:vAlign w:val="center"/>
            <w:hideMark/>
          </w:tcPr>
          <w:p w14:paraId="237588F5" w14:textId="3A210144"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nil"/>
              <w:right w:val="nil"/>
            </w:tcBorders>
            <w:shd w:val="clear" w:color="auto" w:fill="auto"/>
            <w:vAlign w:val="center"/>
            <w:hideMark/>
          </w:tcPr>
          <w:p w14:paraId="6F13DC38" w14:textId="269CBF72"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Dissolved O</w:t>
            </w:r>
            <w:r w:rsidRPr="00A76C59">
              <w:rPr>
                <w:rFonts w:eastAsia="Times New Roman"/>
                <w:bCs w:val="0"/>
                <w:color w:val="000000"/>
                <w:sz w:val="15"/>
                <w:szCs w:val="15"/>
                <w:vertAlign w:val="subscript"/>
                <w:lang w:eastAsia="en-GB"/>
              </w:rPr>
              <w:t>2</w:t>
            </w:r>
          </w:p>
        </w:tc>
        <w:tc>
          <w:tcPr>
            <w:tcW w:w="416" w:type="pct"/>
            <w:gridSpan w:val="2"/>
            <w:tcBorders>
              <w:top w:val="nil"/>
              <w:left w:val="nil"/>
              <w:bottom w:val="nil"/>
              <w:right w:val="nil"/>
            </w:tcBorders>
            <w:shd w:val="clear" w:color="auto" w:fill="auto"/>
            <w:noWrap/>
            <w:vAlign w:val="center"/>
            <w:hideMark/>
          </w:tcPr>
          <w:p w14:paraId="67F4398A" w14:textId="4BD40645"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2</w:t>
            </w:r>
            <w:r w:rsidR="00BA7F15" w:rsidRPr="00A76C59">
              <w:rPr>
                <w:rFonts w:eastAsia="Times New Roman"/>
                <w:bCs w:val="0"/>
                <w:color w:val="000000"/>
                <w:sz w:val="15"/>
                <w:szCs w:val="15"/>
                <w:lang w:eastAsia="en-GB"/>
              </w:rPr>
              <w:t>.3</w:t>
            </w:r>
          </w:p>
        </w:tc>
        <w:tc>
          <w:tcPr>
            <w:tcW w:w="478" w:type="pct"/>
            <w:gridSpan w:val="2"/>
            <w:tcBorders>
              <w:top w:val="nil"/>
              <w:left w:val="nil"/>
              <w:bottom w:val="nil"/>
              <w:right w:val="nil"/>
            </w:tcBorders>
            <w:shd w:val="clear" w:color="auto" w:fill="auto"/>
            <w:noWrap/>
            <w:vAlign w:val="center"/>
            <w:hideMark/>
          </w:tcPr>
          <w:p w14:paraId="1F50643D" w14:textId="4C7168EB" w:rsidR="00A25555" w:rsidRPr="00A76C59" w:rsidRDefault="00BA7F1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1.8</w:t>
            </w:r>
          </w:p>
        </w:tc>
        <w:tc>
          <w:tcPr>
            <w:tcW w:w="540" w:type="pct"/>
            <w:gridSpan w:val="2"/>
            <w:tcBorders>
              <w:top w:val="nil"/>
              <w:left w:val="nil"/>
              <w:bottom w:val="nil"/>
              <w:right w:val="nil"/>
            </w:tcBorders>
            <w:shd w:val="clear" w:color="auto" w:fill="auto"/>
            <w:noWrap/>
            <w:vAlign w:val="center"/>
            <w:hideMark/>
          </w:tcPr>
          <w:p w14:paraId="6A222A5C" w14:textId="216F6CA6"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AuthorYear="1"&gt;&lt;Author&gt;Page&lt;/Author&gt;&lt;Year&gt;2020&lt;/Year&gt;&lt;RecNum&gt;694&lt;/RecNum&gt;&lt;DisplayText&gt;TM Page and G Diaz-Pulido [21]&lt;/DisplayText&gt;&lt;record&gt;&lt;rec-number&gt;694&lt;/rec-number&gt;&lt;foreign-keys&gt;&lt;key app="EN" db-id="5rdwapt2bfwze6edv59v2dwm2vapa5vptpr0" timestamp="1594354743"&gt;694&lt;/key&gt;&lt;/foreign-keys&gt;&lt;ref-type name="Journal Article"&gt;17&lt;/ref-type&gt;&lt;contributors&gt;&lt;authors&gt;&lt;author&gt;Page, Tessa M.&lt;/author&gt;&lt;author&gt;Diaz-Pulido, Guillermo&lt;/author&gt;&lt;/authors&gt;&lt;/contributors&gt;&lt;titles&gt;&lt;title&gt;&lt;style face="normal" font="default" size="100%"&gt;Plasticity of adult coralline algae to prolonged increased temperature and &lt;/style&gt;&lt;style face="italic" font="default" size="100%"&gt;p&lt;/style&gt;&lt;style face="normal" font="default" size="100%"&gt;CO&lt;/style&gt;&lt;style face="subscript" font="default" size="100%"&gt;2&lt;/style&gt;&lt;style face="normal" font="default" size="100%"&gt; exposure but reduced survival in their first generation&lt;/style&gt;&lt;/title&gt;&lt;secondary-title&gt;PLOS ONE&lt;/secondary-title&gt;&lt;/titles&gt;&lt;pages&gt;e0235125&lt;/pages&gt;&lt;volume&gt;15&lt;/volume&gt;&lt;number&gt;6&lt;/number&gt;&lt;dates&gt;&lt;year&gt;2020&lt;/year&gt;&lt;/dates&gt;&lt;publisher&gt;Public Library of Science&lt;/publisher&gt;&lt;urls&gt;&lt;related-urls&gt;&lt;url&gt;https://doi.org/10.1371/journal.pone.0235125&lt;/url&gt;&lt;/related-urls&gt;&lt;/urls&gt;&lt;electronic-resource-num&gt;10.1371/journal.pone.0235125&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TM Page and G Diaz-Pulido [21]</w:t>
            </w:r>
            <w:r w:rsidRPr="007F798A">
              <w:rPr>
                <w:rFonts w:eastAsia="Times New Roman"/>
                <w:color w:val="000000"/>
                <w:sz w:val="15"/>
                <w:szCs w:val="15"/>
                <w:lang w:eastAsia="en-GB"/>
              </w:rPr>
              <w:fldChar w:fldCharType="end"/>
            </w:r>
          </w:p>
        </w:tc>
      </w:tr>
      <w:tr w:rsidR="00A76C59" w:rsidRPr="007F798A" w14:paraId="5EF89390" w14:textId="77777777" w:rsidTr="00A76C59">
        <w:trPr>
          <w:gridAfter w:val="1"/>
          <w:wAfter w:w="4" w:type="pct"/>
          <w:trHeight w:val="340"/>
        </w:trPr>
        <w:tc>
          <w:tcPr>
            <w:tcW w:w="759" w:type="pct"/>
            <w:tcBorders>
              <w:top w:val="nil"/>
              <w:left w:val="nil"/>
              <w:bottom w:val="single" w:sz="4" w:space="0" w:color="auto"/>
              <w:right w:val="nil"/>
            </w:tcBorders>
            <w:shd w:val="clear" w:color="auto" w:fill="B4C6E7" w:themeFill="accent1" w:themeFillTint="66"/>
            <w:noWrap/>
            <w:vAlign w:val="center"/>
            <w:hideMark/>
          </w:tcPr>
          <w:p w14:paraId="4FD01EB6" w14:textId="5D114844" w:rsidR="00A25555" w:rsidRPr="00A76C59" w:rsidRDefault="00A25555" w:rsidP="00DF1EE8">
            <w:pPr>
              <w:rPr>
                <w:rFonts w:eastAsia="Times New Roman"/>
                <w:color w:val="000000"/>
                <w:sz w:val="15"/>
                <w:szCs w:val="15"/>
                <w:lang w:eastAsia="en-GB"/>
              </w:rPr>
            </w:pPr>
            <w:r w:rsidRPr="00A76C59">
              <w:rPr>
                <w:rFonts w:eastAsia="Times New Roman"/>
                <w:bCs w:val="0"/>
                <w:i/>
                <w:iCs/>
                <w:color w:val="000000"/>
                <w:sz w:val="15"/>
                <w:szCs w:val="15"/>
                <w:lang w:eastAsia="en-GB"/>
              </w:rPr>
              <w:t xml:space="preserve">Sporolithon </w:t>
            </w:r>
            <w:r w:rsidRPr="00A76C59">
              <w:rPr>
                <w:rFonts w:eastAsia="Times New Roman"/>
                <w:bCs w:val="0"/>
                <w:color w:val="000000"/>
                <w:sz w:val="15"/>
                <w:szCs w:val="15"/>
                <w:lang w:eastAsia="en-GB"/>
              </w:rPr>
              <w:t>cf.</w:t>
            </w:r>
            <w:r w:rsidRPr="00A76C59">
              <w:rPr>
                <w:rFonts w:eastAsia="Times New Roman"/>
                <w:bCs w:val="0"/>
                <w:i/>
                <w:iCs/>
                <w:color w:val="000000"/>
                <w:sz w:val="15"/>
                <w:szCs w:val="15"/>
                <w:lang w:eastAsia="en-GB"/>
              </w:rPr>
              <w:t xml:space="preserve"> durum</w:t>
            </w:r>
          </w:p>
        </w:tc>
        <w:tc>
          <w:tcPr>
            <w:tcW w:w="602" w:type="pct"/>
            <w:gridSpan w:val="2"/>
            <w:tcBorders>
              <w:top w:val="nil"/>
              <w:left w:val="nil"/>
              <w:bottom w:val="single" w:sz="4" w:space="0" w:color="auto"/>
              <w:right w:val="nil"/>
            </w:tcBorders>
            <w:shd w:val="clear" w:color="auto" w:fill="auto"/>
            <w:noWrap/>
            <w:vAlign w:val="center"/>
            <w:hideMark/>
          </w:tcPr>
          <w:p w14:paraId="7E371A55" w14:textId="6DC0CD1E" w:rsidR="00A25555" w:rsidRPr="00A76C59" w:rsidRDefault="00A25555" w:rsidP="00DF1EE8">
            <w:pPr>
              <w:rPr>
                <w:rFonts w:eastAsia="Times New Roman"/>
                <w:b/>
                <w:bCs w:val="0"/>
                <w:i/>
                <w:iCs/>
                <w:color w:val="000000"/>
                <w:sz w:val="15"/>
                <w:szCs w:val="15"/>
                <w:lang w:eastAsia="en-GB"/>
              </w:rPr>
            </w:pPr>
            <w:proofErr w:type="spellStart"/>
            <w:r w:rsidRPr="00A76C59">
              <w:rPr>
                <w:rFonts w:eastAsia="Times New Roman"/>
                <w:bCs w:val="0"/>
                <w:i/>
                <w:iCs/>
                <w:color w:val="000000"/>
                <w:sz w:val="15"/>
                <w:szCs w:val="15"/>
                <w:lang w:eastAsia="en-GB"/>
              </w:rPr>
              <w:t>sporolithales</w:t>
            </w:r>
            <w:proofErr w:type="spellEnd"/>
          </w:p>
        </w:tc>
        <w:tc>
          <w:tcPr>
            <w:tcW w:w="560" w:type="pct"/>
            <w:gridSpan w:val="2"/>
            <w:tcBorders>
              <w:top w:val="nil"/>
              <w:left w:val="nil"/>
              <w:bottom w:val="single" w:sz="4" w:space="0" w:color="auto"/>
              <w:right w:val="nil"/>
            </w:tcBorders>
            <w:shd w:val="clear" w:color="auto" w:fill="auto"/>
            <w:noWrap/>
            <w:vAlign w:val="center"/>
            <w:hideMark/>
          </w:tcPr>
          <w:p w14:paraId="22FA3680" w14:textId="7F4D9735"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137</w:t>
            </w:r>
          </w:p>
        </w:tc>
        <w:tc>
          <w:tcPr>
            <w:tcW w:w="551" w:type="pct"/>
            <w:gridSpan w:val="2"/>
            <w:tcBorders>
              <w:top w:val="nil"/>
              <w:left w:val="nil"/>
              <w:bottom w:val="single" w:sz="4" w:space="0" w:color="auto"/>
              <w:right w:val="nil"/>
            </w:tcBorders>
            <w:shd w:val="clear" w:color="auto" w:fill="auto"/>
            <w:noWrap/>
            <w:vAlign w:val="center"/>
            <w:hideMark/>
          </w:tcPr>
          <w:p w14:paraId="74099DA5" w14:textId="71EC616D"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 xml:space="preserve">higher </w:t>
            </w:r>
          </w:p>
        </w:tc>
        <w:tc>
          <w:tcPr>
            <w:tcW w:w="474" w:type="pct"/>
            <w:gridSpan w:val="2"/>
            <w:tcBorders>
              <w:top w:val="nil"/>
              <w:left w:val="nil"/>
              <w:bottom w:val="single" w:sz="4" w:space="0" w:color="auto"/>
              <w:right w:val="nil"/>
            </w:tcBorders>
            <w:shd w:val="clear" w:color="auto" w:fill="auto"/>
            <w:noWrap/>
            <w:vAlign w:val="center"/>
            <w:hideMark/>
          </w:tcPr>
          <w:p w14:paraId="2FF1B848" w14:textId="3E8E9617" w:rsidR="00A25555" w:rsidRPr="00A76C59" w:rsidRDefault="00857304"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GBR</w:t>
            </w:r>
          </w:p>
        </w:tc>
        <w:tc>
          <w:tcPr>
            <w:tcW w:w="616" w:type="pct"/>
            <w:gridSpan w:val="2"/>
            <w:tcBorders>
              <w:top w:val="nil"/>
              <w:left w:val="nil"/>
              <w:bottom w:val="single" w:sz="4" w:space="0" w:color="auto"/>
              <w:right w:val="nil"/>
            </w:tcBorders>
            <w:shd w:val="clear" w:color="auto" w:fill="auto"/>
            <w:vAlign w:val="center"/>
            <w:hideMark/>
          </w:tcPr>
          <w:p w14:paraId="67376703" w14:textId="51A7403E"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PAM</w:t>
            </w:r>
          </w:p>
        </w:tc>
        <w:tc>
          <w:tcPr>
            <w:tcW w:w="416" w:type="pct"/>
            <w:gridSpan w:val="2"/>
            <w:tcBorders>
              <w:top w:val="nil"/>
              <w:left w:val="nil"/>
              <w:bottom w:val="single" w:sz="4" w:space="0" w:color="auto"/>
              <w:right w:val="nil"/>
            </w:tcBorders>
            <w:shd w:val="clear" w:color="auto" w:fill="auto"/>
            <w:noWrap/>
            <w:vAlign w:val="center"/>
            <w:hideMark/>
          </w:tcPr>
          <w:p w14:paraId="5377DB85" w14:textId="11CCF86F"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514</w:t>
            </w:r>
          </w:p>
        </w:tc>
        <w:tc>
          <w:tcPr>
            <w:tcW w:w="478" w:type="pct"/>
            <w:gridSpan w:val="2"/>
            <w:tcBorders>
              <w:top w:val="nil"/>
              <w:left w:val="nil"/>
              <w:bottom w:val="single" w:sz="4" w:space="0" w:color="auto"/>
              <w:right w:val="nil"/>
            </w:tcBorders>
            <w:shd w:val="clear" w:color="auto" w:fill="auto"/>
            <w:noWrap/>
            <w:vAlign w:val="center"/>
            <w:hideMark/>
          </w:tcPr>
          <w:p w14:paraId="382D59B4" w14:textId="271BA4C1" w:rsidR="00A25555" w:rsidRPr="00A76C59" w:rsidRDefault="00A25555" w:rsidP="00DF1EE8">
            <w:pPr>
              <w:rPr>
                <w:rFonts w:eastAsia="Times New Roman"/>
                <w:b/>
                <w:bCs w:val="0"/>
                <w:color w:val="000000"/>
                <w:sz w:val="15"/>
                <w:szCs w:val="15"/>
                <w:lang w:eastAsia="en-GB"/>
              </w:rPr>
            </w:pPr>
            <w:r w:rsidRPr="00A76C59">
              <w:rPr>
                <w:rFonts w:eastAsia="Times New Roman"/>
                <w:bCs w:val="0"/>
                <w:color w:val="000000"/>
                <w:sz w:val="15"/>
                <w:szCs w:val="15"/>
                <w:lang w:eastAsia="en-GB"/>
              </w:rPr>
              <w:t>513</w:t>
            </w:r>
          </w:p>
        </w:tc>
        <w:tc>
          <w:tcPr>
            <w:tcW w:w="540" w:type="pct"/>
            <w:gridSpan w:val="2"/>
            <w:tcBorders>
              <w:top w:val="nil"/>
              <w:left w:val="nil"/>
              <w:bottom w:val="single" w:sz="4" w:space="0" w:color="auto"/>
              <w:right w:val="nil"/>
            </w:tcBorders>
            <w:shd w:val="clear" w:color="auto" w:fill="auto"/>
            <w:noWrap/>
            <w:vAlign w:val="center"/>
            <w:hideMark/>
          </w:tcPr>
          <w:p w14:paraId="3ED726CE" w14:textId="304DE9B7" w:rsidR="00A25555" w:rsidRPr="007F798A" w:rsidRDefault="00A25555" w:rsidP="00DF1EE8">
            <w:pPr>
              <w:rPr>
                <w:rFonts w:eastAsia="Times New Roman"/>
                <w:color w:val="000000"/>
                <w:sz w:val="15"/>
                <w:szCs w:val="15"/>
                <w:lang w:eastAsia="en-GB"/>
              </w:rPr>
            </w:pPr>
            <w:r w:rsidRPr="007F798A">
              <w:rPr>
                <w:rFonts w:eastAsia="Times New Roman"/>
                <w:color w:val="000000"/>
                <w:sz w:val="15"/>
                <w:szCs w:val="15"/>
                <w:lang w:eastAsia="en-GB"/>
              </w:rPr>
              <w:fldChar w:fldCharType="begin"/>
            </w:r>
            <w:r w:rsidR="00B27AEA" w:rsidRPr="007F798A">
              <w:rPr>
                <w:rFonts w:eastAsia="Times New Roman"/>
                <w:color w:val="000000"/>
                <w:sz w:val="15"/>
                <w:szCs w:val="15"/>
                <w:lang w:eastAsia="en-GB"/>
              </w:rPr>
              <w:instrText xml:space="preserve"> ADDIN EN.CITE &lt;EndNote&gt;&lt;Cite AuthorYear="1"&gt;&lt;Author&gt;Bergstrom&lt;/Author&gt;&lt;Year&gt;2020&lt;/Year&gt;&lt;RecNum&gt;801&lt;/RecNum&gt;&lt;DisplayText&gt;E Bergstrom, A Ordoñez, M Ho, C Hurd, B Fry and G Diaz-Pulido [25]&lt;/DisplayText&gt;&lt;record&gt;&lt;rec-number&gt;801&lt;/rec-number&gt;&lt;foreign-keys&gt;&lt;key app="EN" db-id="5rdwapt2bfwze6edv59v2dwm2vapa5vptpr0" timestamp="1612151810"&gt;801&lt;/key&gt;&lt;/foreign-keys&gt;&lt;ref-type name="Journal Article"&gt;17&lt;/ref-type&gt;&lt;contributors&gt;&lt;authors&gt;&lt;author&gt;Bergstrom, Ellie&lt;/author&gt;&lt;author&gt;Ordoñez, Alexandra&lt;/author&gt;&lt;author&gt;Ho, Maureen&lt;/author&gt;&lt;author&gt;Hurd, Catriona&lt;/author&gt;&lt;author&gt;Fry, Brian&lt;/author&gt;&lt;author&gt;Diaz-Pulido, Guillermo&lt;/author&gt;&lt;/authors&gt;&lt;/contributors&gt;&lt;titles&gt;&lt;title&gt;Inorganic carbon uptake strategies in coralline algae: Plasticity across evolutionary lineages under ocean acidification and warming&lt;/title&gt;&lt;secondary-title&gt;Marine Environmental Research&lt;/secondary-title&gt;&lt;/titles&gt;&lt;pages&gt;105107&lt;/pages&gt;&lt;volume&gt;161&lt;/volume&gt;&lt;keywords&gt;&lt;keyword&gt;Algae&lt;/keyword&gt;&lt;keyword&gt;Crustose coralline algae&lt;/keyword&gt;&lt;keyword&gt;Dissolved inorganic carbon&lt;/keyword&gt;&lt;keyword&gt;Fractionation&lt;/keyword&gt;&lt;keyword&gt;Inorganic carbon uptake&lt;/keyword&gt;&lt;keyword&gt;Isotopes&lt;/keyword&gt;&lt;keyword&gt;Ocean acidification&lt;/keyword&gt;&lt;keyword&gt;Ocean warming&lt;/keyword&gt;&lt;keyword&gt;C/C&lt;/keyword&gt;&lt;/keywords&gt;&lt;dates&gt;&lt;year&gt;2020&lt;/year&gt;&lt;pub-dates&gt;&lt;date&gt;2020/10/01/&lt;/date&gt;&lt;/pub-dates&gt;&lt;/dates&gt;&lt;isbn&gt;0141-1136&lt;/isbn&gt;&lt;urls&gt;&lt;related-urls&gt;&lt;url&gt;http://www.sciencedirect.com/science/article/pii/S0141113620303421&lt;/url&gt;&lt;/related-urls&gt;&lt;/urls&gt;&lt;electronic-resource-num&gt;10.1016/j.marenvres.2020.105107&lt;/electronic-resource-num&gt;&lt;/record&gt;&lt;/Cite&gt;&lt;/EndNote&gt;</w:instrText>
            </w:r>
            <w:r w:rsidRPr="007F798A">
              <w:rPr>
                <w:rFonts w:eastAsia="Times New Roman"/>
                <w:color w:val="000000"/>
                <w:sz w:val="15"/>
                <w:szCs w:val="15"/>
                <w:lang w:eastAsia="en-GB"/>
              </w:rPr>
              <w:fldChar w:fldCharType="separate"/>
            </w:r>
            <w:r w:rsidR="00B27AEA" w:rsidRPr="007F798A">
              <w:rPr>
                <w:rFonts w:eastAsia="Times New Roman"/>
                <w:noProof/>
                <w:color w:val="000000"/>
                <w:sz w:val="15"/>
                <w:szCs w:val="15"/>
                <w:lang w:eastAsia="en-GB"/>
              </w:rPr>
              <w:t>E Bergstrom, A Ordoñez, M Ho, C Hurd, B Fry and G Diaz-Pulido [25]</w:t>
            </w:r>
            <w:r w:rsidRPr="007F798A">
              <w:rPr>
                <w:rFonts w:eastAsia="Times New Roman"/>
                <w:color w:val="000000"/>
                <w:sz w:val="15"/>
                <w:szCs w:val="15"/>
                <w:lang w:eastAsia="en-GB"/>
              </w:rPr>
              <w:fldChar w:fldCharType="end"/>
            </w:r>
          </w:p>
        </w:tc>
      </w:tr>
    </w:tbl>
    <w:p w14:paraId="31820820" w14:textId="77777777" w:rsidR="0097098C" w:rsidRDefault="0097098C" w:rsidP="00DF1EE8">
      <w:pPr>
        <w:rPr>
          <w:sz w:val="20"/>
          <w:szCs w:val="20"/>
        </w:rPr>
      </w:pPr>
    </w:p>
    <w:p w14:paraId="5700F82F" w14:textId="61519977" w:rsidR="000263C8" w:rsidRPr="00E03B4E" w:rsidRDefault="00C103F9" w:rsidP="00A62BA6">
      <w:pPr>
        <w:spacing w:line="276" w:lineRule="auto"/>
        <w:rPr>
          <w:b/>
          <w:bCs w:val="0"/>
          <w:color w:val="000000" w:themeColor="text1"/>
          <w:sz w:val="20"/>
          <w:szCs w:val="20"/>
        </w:rPr>
      </w:pPr>
      <w:r w:rsidRPr="00FC0540">
        <w:lastRenderedPageBreak/>
        <w:t xml:space="preserve">Table </w:t>
      </w:r>
      <w:r w:rsidR="006868AD" w:rsidRPr="00FC0540">
        <w:t>S</w:t>
      </w:r>
      <w:r w:rsidRPr="00FC0540">
        <w:t>2</w:t>
      </w:r>
      <w:r w:rsidR="00CC67FF" w:rsidRPr="00FC0540">
        <w:rPr>
          <w:color w:val="000000" w:themeColor="text1"/>
        </w:rPr>
        <w:t>.</w:t>
      </w:r>
      <w:r w:rsidR="00141875" w:rsidRPr="00FC0540">
        <w:rPr>
          <w:color w:val="000000" w:themeColor="text1"/>
        </w:rPr>
        <w:t xml:space="preserve"> </w:t>
      </w:r>
      <w:r w:rsidR="00141875" w:rsidRPr="00FC0540">
        <w:rPr>
          <w:bCs w:val="0"/>
          <w:color w:val="000000" w:themeColor="text1"/>
        </w:rPr>
        <w:t>Results of two-way analysis of variance (ANOVA) for the effects of temperature and pH (</w:t>
      </w:r>
      <w:r w:rsidR="00141875" w:rsidRPr="00FC0540">
        <w:rPr>
          <w:bCs w:val="0"/>
          <w:i/>
          <w:iCs/>
          <w:color w:val="000000" w:themeColor="text1"/>
        </w:rPr>
        <w:t>p</w:t>
      </w:r>
      <w:r w:rsidR="00141875" w:rsidRPr="00FC0540">
        <w:rPr>
          <w:bCs w:val="0"/>
          <w:color w:val="000000" w:themeColor="text1"/>
        </w:rPr>
        <w:t>CO</w:t>
      </w:r>
      <w:r w:rsidR="00141875" w:rsidRPr="00FC0540">
        <w:rPr>
          <w:bCs w:val="0"/>
          <w:color w:val="000000" w:themeColor="text1"/>
          <w:vertAlign w:val="subscript"/>
        </w:rPr>
        <w:t>2</w:t>
      </w:r>
      <w:r w:rsidR="00141875" w:rsidRPr="00FC0540">
        <w:rPr>
          <w:bCs w:val="0"/>
          <w:color w:val="000000" w:themeColor="text1"/>
        </w:rPr>
        <w:t xml:space="preserve">) on the metabolic rates of </w:t>
      </w:r>
      <w:r w:rsidR="00141875" w:rsidRPr="00FC0540">
        <w:rPr>
          <w:bCs w:val="0"/>
          <w:i/>
          <w:iCs/>
          <w:color w:val="000000" w:themeColor="text1"/>
        </w:rPr>
        <w:t>Porolithon</w:t>
      </w:r>
      <w:r w:rsidR="00141875" w:rsidRPr="00FC0540">
        <w:rPr>
          <w:bCs w:val="0"/>
          <w:color w:val="000000" w:themeColor="text1"/>
        </w:rPr>
        <w:t xml:space="preserve"> cf. </w:t>
      </w:r>
      <w:r w:rsidR="00141875" w:rsidRPr="00FC0540">
        <w:rPr>
          <w:bCs w:val="0"/>
          <w:i/>
          <w:iCs/>
          <w:color w:val="000000" w:themeColor="text1"/>
        </w:rPr>
        <w:t xml:space="preserve">onkodes </w:t>
      </w:r>
      <w:r w:rsidR="00141875" w:rsidRPr="00FC0540">
        <w:rPr>
          <w:bCs w:val="0"/>
          <w:iCs/>
          <w:color w:val="000000" w:themeColor="text1"/>
        </w:rPr>
        <w:t>(</w:t>
      </w:r>
      <w:r w:rsidR="00141875" w:rsidRPr="00FC0540">
        <w:rPr>
          <w:bCs w:val="0"/>
          <w:color w:val="000000" w:themeColor="text1"/>
        </w:rPr>
        <w:t xml:space="preserve">from the current experiment) and </w:t>
      </w:r>
      <w:r w:rsidR="00141875" w:rsidRPr="00FC0540">
        <w:rPr>
          <w:bCs w:val="0"/>
          <w:i/>
          <w:iCs/>
          <w:color w:val="000000" w:themeColor="text1"/>
        </w:rPr>
        <w:t xml:space="preserve">Sporolithon </w:t>
      </w:r>
      <w:r w:rsidR="00141875" w:rsidRPr="00FC0540">
        <w:rPr>
          <w:bCs w:val="0"/>
          <w:color w:val="000000" w:themeColor="text1"/>
        </w:rPr>
        <w:t xml:space="preserve">cf. </w:t>
      </w:r>
      <w:r w:rsidR="00141875" w:rsidRPr="00FC0540">
        <w:rPr>
          <w:bCs w:val="0"/>
          <w:i/>
          <w:iCs/>
          <w:color w:val="000000" w:themeColor="text1"/>
        </w:rPr>
        <w:t>durum</w:t>
      </w:r>
      <w:r w:rsidR="00141875" w:rsidRPr="00FC0540">
        <w:rPr>
          <w:bCs w:val="0"/>
          <w:color w:val="000000" w:themeColor="text1"/>
        </w:rPr>
        <w:t xml:space="preserve"> (data acquired from Page &amp; Diaz-Pulido, 2020). </w:t>
      </w:r>
    </w:p>
    <w:tbl>
      <w:tblPr>
        <w:tblW w:w="4927" w:type="pct"/>
        <w:tblLayout w:type="fixed"/>
        <w:tblLook w:val="04A0" w:firstRow="1" w:lastRow="0" w:firstColumn="1" w:lastColumn="0" w:noHBand="0" w:noVBand="1"/>
      </w:tblPr>
      <w:tblGrid>
        <w:gridCol w:w="1182"/>
        <w:gridCol w:w="2090"/>
        <w:gridCol w:w="445"/>
        <w:gridCol w:w="682"/>
        <w:gridCol w:w="682"/>
        <w:gridCol w:w="700"/>
        <w:gridCol w:w="1091"/>
        <w:gridCol w:w="1088"/>
        <w:gridCol w:w="972"/>
      </w:tblGrid>
      <w:tr w:rsidR="0073112E" w:rsidRPr="00E03B4E" w14:paraId="70342CD6" w14:textId="77777777" w:rsidTr="00E03B4E">
        <w:trPr>
          <w:trHeight w:val="227"/>
        </w:trPr>
        <w:tc>
          <w:tcPr>
            <w:tcW w:w="661" w:type="pct"/>
            <w:tcBorders>
              <w:top w:val="single" w:sz="4" w:space="0" w:color="auto"/>
              <w:left w:val="nil"/>
              <w:bottom w:val="single" w:sz="4" w:space="0" w:color="auto"/>
              <w:right w:val="nil"/>
            </w:tcBorders>
            <w:shd w:val="clear" w:color="auto" w:fill="auto"/>
            <w:noWrap/>
            <w:vAlign w:val="bottom"/>
            <w:hideMark/>
          </w:tcPr>
          <w:p w14:paraId="14D29AC8"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2575" w:type="pct"/>
            <w:gridSpan w:val="5"/>
            <w:tcBorders>
              <w:top w:val="single" w:sz="4" w:space="0" w:color="auto"/>
              <w:left w:val="nil"/>
              <w:bottom w:val="single" w:sz="4" w:space="0" w:color="auto"/>
              <w:right w:val="nil"/>
            </w:tcBorders>
            <w:shd w:val="clear" w:color="auto" w:fill="auto"/>
            <w:noWrap/>
            <w:vAlign w:val="center"/>
            <w:hideMark/>
          </w:tcPr>
          <w:p w14:paraId="6E889523" w14:textId="77777777" w:rsidR="00141875" w:rsidRPr="00E03B4E" w:rsidRDefault="00141875" w:rsidP="00DF1EE8">
            <w:pPr>
              <w:jc w:val="center"/>
              <w:rPr>
                <w:rFonts w:eastAsia="Times New Roman"/>
                <w:b/>
                <w:bCs w:val="0"/>
                <w:color w:val="000000"/>
                <w:sz w:val="19"/>
                <w:szCs w:val="19"/>
                <w:lang w:eastAsia="en-GB"/>
              </w:rPr>
            </w:pPr>
            <w:r w:rsidRPr="00E03B4E">
              <w:rPr>
                <w:rFonts w:eastAsia="Times New Roman"/>
                <w:bCs w:val="0"/>
                <w:color w:val="000000"/>
                <w:sz w:val="19"/>
                <w:szCs w:val="19"/>
                <w:lang w:eastAsia="en-GB"/>
              </w:rPr>
              <w:t>Oxygen produced (µmol O</w:t>
            </w:r>
            <w:r w:rsidRPr="00E03B4E">
              <w:rPr>
                <w:rFonts w:eastAsia="Times New Roman"/>
                <w:bCs w:val="0"/>
                <w:color w:val="000000"/>
                <w:sz w:val="19"/>
                <w:szCs w:val="19"/>
                <w:vertAlign w:val="subscript"/>
                <w:lang w:eastAsia="en-GB"/>
              </w:rPr>
              <w:t>2</w:t>
            </w:r>
            <w:r w:rsidRPr="00E03B4E">
              <w:rPr>
                <w:rFonts w:eastAsia="Times New Roman"/>
                <w:bCs w:val="0"/>
                <w:color w:val="000000"/>
                <w:sz w:val="19"/>
                <w:szCs w:val="19"/>
                <w:lang w:eastAsia="en-GB"/>
              </w:rPr>
              <w:t xml:space="preserve"> cm</w:t>
            </w:r>
            <w:r w:rsidRPr="00E03B4E">
              <w:rPr>
                <w:rFonts w:eastAsia="Times New Roman"/>
                <w:bCs w:val="0"/>
                <w:color w:val="000000"/>
                <w:sz w:val="19"/>
                <w:szCs w:val="19"/>
                <w:vertAlign w:val="superscript"/>
                <w:lang w:eastAsia="en-GB"/>
              </w:rPr>
              <w:t>-2</w:t>
            </w:r>
            <w:r w:rsidRPr="00E03B4E">
              <w:rPr>
                <w:rFonts w:eastAsia="Times New Roman"/>
                <w:bCs w:val="0"/>
                <w:color w:val="000000"/>
                <w:sz w:val="19"/>
                <w:szCs w:val="19"/>
                <w:lang w:eastAsia="en-GB"/>
              </w:rPr>
              <w:t xml:space="preserve"> h</w:t>
            </w:r>
            <w:r w:rsidRPr="00E03B4E">
              <w:rPr>
                <w:rFonts w:eastAsia="Times New Roman"/>
                <w:bCs w:val="0"/>
                <w:color w:val="000000"/>
                <w:sz w:val="19"/>
                <w:szCs w:val="19"/>
                <w:vertAlign w:val="superscript"/>
                <w:lang w:eastAsia="en-GB"/>
              </w:rPr>
              <w:t>-1</w:t>
            </w:r>
            <w:r w:rsidRPr="00E03B4E">
              <w:rPr>
                <w:rFonts w:eastAsia="Times New Roman"/>
                <w:bCs w:val="0"/>
                <w:color w:val="000000"/>
                <w:sz w:val="19"/>
                <w:szCs w:val="19"/>
                <w:lang w:eastAsia="en-GB"/>
              </w:rPr>
              <w:t>)</w:t>
            </w:r>
          </w:p>
        </w:tc>
        <w:tc>
          <w:tcPr>
            <w:tcW w:w="1764" w:type="pct"/>
            <w:gridSpan w:val="3"/>
            <w:tcBorders>
              <w:top w:val="single" w:sz="4" w:space="0" w:color="auto"/>
              <w:left w:val="nil"/>
              <w:bottom w:val="single" w:sz="4" w:space="0" w:color="auto"/>
              <w:right w:val="nil"/>
            </w:tcBorders>
            <w:shd w:val="clear" w:color="auto" w:fill="auto"/>
            <w:noWrap/>
            <w:vAlign w:val="center"/>
            <w:hideMark/>
          </w:tcPr>
          <w:p w14:paraId="08CE5F8C" w14:textId="77777777" w:rsidR="00141875" w:rsidRPr="00E03B4E" w:rsidRDefault="00141875" w:rsidP="00DF1EE8">
            <w:pPr>
              <w:jc w:val="center"/>
              <w:rPr>
                <w:rFonts w:eastAsia="Times New Roman"/>
                <w:b/>
                <w:bCs w:val="0"/>
                <w:color w:val="000000"/>
                <w:sz w:val="19"/>
                <w:szCs w:val="19"/>
                <w:lang w:eastAsia="en-GB"/>
              </w:rPr>
            </w:pPr>
            <w:r w:rsidRPr="00E03B4E">
              <w:rPr>
                <w:rFonts w:eastAsia="Times New Roman"/>
                <w:bCs w:val="0"/>
                <w:color w:val="000000"/>
                <w:sz w:val="19"/>
                <w:szCs w:val="19"/>
                <w:lang w:eastAsia="en-GB"/>
              </w:rPr>
              <w:t>Oxygen consumed (µmol O</w:t>
            </w:r>
            <w:r w:rsidRPr="00E03B4E">
              <w:rPr>
                <w:rFonts w:eastAsia="Times New Roman"/>
                <w:bCs w:val="0"/>
                <w:color w:val="000000"/>
                <w:sz w:val="19"/>
                <w:szCs w:val="19"/>
                <w:vertAlign w:val="subscript"/>
                <w:lang w:eastAsia="en-GB"/>
              </w:rPr>
              <w:t>2</w:t>
            </w:r>
            <w:r w:rsidRPr="00E03B4E">
              <w:rPr>
                <w:rFonts w:eastAsia="Times New Roman"/>
                <w:bCs w:val="0"/>
                <w:color w:val="000000"/>
                <w:sz w:val="19"/>
                <w:szCs w:val="19"/>
                <w:lang w:eastAsia="en-GB"/>
              </w:rPr>
              <w:t xml:space="preserve"> cm</w:t>
            </w:r>
            <w:r w:rsidRPr="00E03B4E">
              <w:rPr>
                <w:rFonts w:eastAsia="Times New Roman"/>
                <w:bCs w:val="0"/>
                <w:color w:val="000000"/>
                <w:sz w:val="19"/>
                <w:szCs w:val="19"/>
                <w:vertAlign w:val="superscript"/>
                <w:lang w:eastAsia="en-GB"/>
              </w:rPr>
              <w:t>-2</w:t>
            </w:r>
            <w:r w:rsidRPr="00E03B4E">
              <w:rPr>
                <w:rFonts w:eastAsia="Times New Roman"/>
                <w:bCs w:val="0"/>
                <w:color w:val="000000"/>
                <w:sz w:val="19"/>
                <w:szCs w:val="19"/>
                <w:lang w:eastAsia="en-GB"/>
              </w:rPr>
              <w:t xml:space="preserve"> h</w:t>
            </w:r>
            <w:r w:rsidRPr="00E03B4E">
              <w:rPr>
                <w:rFonts w:eastAsia="Times New Roman"/>
                <w:bCs w:val="0"/>
                <w:color w:val="000000"/>
                <w:sz w:val="19"/>
                <w:szCs w:val="19"/>
                <w:vertAlign w:val="superscript"/>
                <w:lang w:eastAsia="en-GB"/>
              </w:rPr>
              <w:t>-1</w:t>
            </w:r>
            <w:r w:rsidRPr="00E03B4E">
              <w:rPr>
                <w:rFonts w:eastAsia="Times New Roman"/>
                <w:bCs w:val="0"/>
                <w:color w:val="000000"/>
                <w:sz w:val="19"/>
                <w:szCs w:val="19"/>
                <w:lang w:eastAsia="en-GB"/>
              </w:rPr>
              <w:t>)</w:t>
            </w:r>
          </w:p>
        </w:tc>
      </w:tr>
      <w:tr w:rsidR="0073112E" w:rsidRPr="00E03B4E" w14:paraId="35ED688A" w14:textId="77777777" w:rsidTr="00E03B4E">
        <w:trPr>
          <w:trHeight w:val="227"/>
        </w:trPr>
        <w:tc>
          <w:tcPr>
            <w:tcW w:w="661" w:type="pct"/>
            <w:vMerge w:val="restart"/>
            <w:tcBorders>
              <w:top w:val="nil"/>
              <w:left w:val="nil"/>
              <w:bottom w:val="single" w:sz="4" w:space="0" w:color="000000"/>
              <w:right w:val="nil"/>
            </w:tcBorders>
            <w:shd w:val="clear" w:color="auto" w:fill="auto"/>
            <w:vAlign w:val="center"/>
            <w:hideMark/>
          </w:tcPr>
          <w:p w14:paraId="1CA909AD"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 xml:space="preserve">Porolithon </w:t>
            </w:r>
            <w:r w:rsidRPr="00E03B4E">
              <w:rPr>
                <w:rFonts w:eastAsia="Times New Roman"/>
                <w:bCs w:val="0"/>
                <w:color w:val="000000"/>
                <w:sz w:val="19"/>
                <w:szCs w:val="19"/>
                <w:lang w:eastAsia="en-GB"/>
              </w:rPr>
              <w:t xml:space="preserve">cf. </w:t>
            </w:r>
            <w:r w:rsidRPr="00E03B4E">
              <w:rPr>
                <w:rFonts w:eastAsia="Times New Roman"/>
                <w:bCs w:val="0"/>
                <w:i/>
                <w:iCs/>
                <w:color w:val="000000"/>
                <w:sz w:val="19"/>
                <w:szCs w:val="19"/>
                <w:lang w:eastAsia="en-GB"/>
              </w:rPr>
              <w:t>onkodes</w:t>
            </w:r>
          </w:p>
        </w:tc>
        <w:tc>
          <w:tcPr>
            <w:tcW w:w="1170" w:type="pct"/>
            <w:tcBorders>
              <w:top w:val="nil"/>
              <w:left w:val="nil"/>
              <w:bottom w:val="nil"/>
              <w:right w:val="nil"/>
            </w:tcBorders>
            <w:shd w:val="clear" w:color="auto" w:fill="auto"/>
            <w:noWrap/>
            <w:vAlign w:val="center"/>
            <w:hideMark/>
          </w:tcPr>
          <w:p w14:paraId="1BE4F61C"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Two-way ANOVA</w:t>
            </w:r>
          </w:p>
        </w:tc>
        <w:tc>
          <w:tcPr>
            <w:tcW w:w="249" w:type="pct"/>
            <w:tcBorders>
              <w:top w:val="nil"/>
              <w:left w:val="nil"/>
              <w:bottom w:val="nil"/>
              <w:right w:val="nil"/>
            </w:tcBorders>
            <w:shd w:val="clear" w:color="auto" w:fill="auto"/>
            <w:noWrap/>
            <w:vAlign w:val="center"/>
            <w:hideMark/>
          </w:tcPr>
          <w:p w14:paraId="39C255DB" w14:textId="77777777" w:rsidR="00141875" w:rsidRPr="00E03B4E" w:rsidRDefault="00141875" w:rsidP="00DF1EE8">
            <w:pPr>
              <w:jc w:val="center"/>
              <w:rPr>
                <w:rFonts w:eastAsia="Times New Roman"/>
                <w:b/>
                <w:bCs w:val="0"/>
                <w:color w:val="000000"/>
                <w:sz w:val="19"/>
                <w:szCs w:val="19"/>
                <w:lang w:eastAsia="en-GB"/>
              </w:rPr>
            </w:pPr>
            <w:proofErr w:type="spellStart"/>
            <w:r w:rsidRPr="00E03B4E">
              <w:rPr>
                <w:rFonts w:eastAsia="Times New Roman"/>
                <w:bCs w:val="0"/>
                <w:color w:val="000000"/>
                <w:sz w:val="19"/>
                <w:szCs w:val="19"/>
                <w:lang w:eastAsia="en-GB"/>
              </w:rPr>
              <w:t>Df</w:t>
            </w:r>
            <w:proofErr w:type="spellEnd"/>
          </w:p>
        </w:tc>
        <w:tc>
          <w:tcPr>
            <w:tcW w:w="382" w:type="pct"/>
            <w:tcBorders>
              <w:top w:val="nil"/>
              <w:left w:val="nil"/>
              <w:bottom w:val="nil"/>
              <w:right w:val="nil"/>
            </w:tcBorders>
            <w:shd w:val="clear" w:color="auto" w:fill="auto"/>
            <w:noWrap/>
            <w:vAlign w:val="center"/>
            <w:hideMark/>
          </w:tcPr>
          <w:p w14:paraId="6F64898C" w14:textId="77777777" w:rsidR="00141875" w:rsidRPr="00E03B4E" w:rsidRDefault="00141875" w:rsidP="00DF1EE8">
            <w:pPr>
              <w:jc w:val="center"/>
              <w:rPr>
                <w:rFonts w:eastAsia="Times New Roman"/>
                <w:b/>
                <w:bCs w:val="0"/>
                <w:color w:val="000000"/>
                <w:sz w:val="19"/>
                <w:szCs w:val="19"/>
                <w:lang w:eastAsia="en-GB"/>
              </w:rPr>
            </w:pPr>
            <w:r w:rsidRPr="00E03B4E">
              <w:rPr>
                <w:rFonts w:eastAsia="Times New Roman"/>
                <w:bCs w:val="0"/>
                <w:color w:val="000000"/>
                <w:sz w:val="19"/>
                <w:szCs w:val="19"/>
                <w:lang w:eastAsia="en-GB"/>
              </w:rPr>
              <w:t>MS</w:t>
            </w:r>
          </w:p>
        </w:tc>
        <w:tc>
          <w:tcPr>
            <w:tcW w:w="382" w:type="pct"/>
            <w:tcBorders>
              <w:top w:val="nil"/>
              <w:left w:val="nil"/>
              <w:bottom w:val="nil"/>
              <w:right w:val="nil"/>
            </w:tcBorders>
            <w:shd w:val="clear" w:color="auto" w:fill="auto"/>
            <w:noWrap/>
            <w:vAlign w:val="center"/>
            <w:hideMark/>
          </w:tcPr>
          <w:p w14:paraId="7EFDBBA3"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F</w:t>
            </w:r>
          </w:p>
        </w:tc>
        <w:tc>
          <w:tcPr>
            <w:tcW w:w="391" w:type="pct"/>
            <w:tcBorders>
              <w:top w:val="nil"/>
              <w:left w:val="nil"/>
              <w:bottom w:val="nil"/>
              <w:right w:val="nil"/>
            </w:tcBorders>
            <w:shd w:val="clear" w:color="auto" w:fill="auto"/>
            <w:noWrap/>
            <w:vAlign w:val="center"/>
            <w:hideMark/>
          </w:tcPr>
          <w:p w14:paraId="67145F1D"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p</w:t>
            </w:r>
          </w:p>
        </w:tc>
        <w:tc>
          <w:tcPr>
            <w:tcW w:w="611" w:type="pct"/>
            <w:tcBorders>
              <w:top w:val="nil"/>
              <w:left w:val="nil"/>
              <w:bottom w:val="nil"/>
              <w:right w:val="nil"/>
            </w:tcBorders>
            <w:shd w:val="clear" w:color="auto" w:fill="auto"/>
            <w:noWrap/>
            <w:vAlign w:val="center"/>
            <w:hideMark/>
          </w:tcPr>
          <w:p w14:paraId="1391C1F7" w14:textId="77777777" w:rsidR="00141875" w:rsidRPr="00E03B4E" w:rsidRDefault="00141875" w:rsidP="00DF1EE8">
            <w:pPr>
              <w:jc w:val="center"/>
              <w:rPr>
                <w:rFonts w:eastAsia="Times New Roman"/>
                <w:b/>
                <w:bCs w:val="0"/>
                <w:color w:val="000000"/>
                <w:sz w:val="19"/>
                <w:szCs w:val="19"/>
                <w:lang w:eastAsia="en-GB"/>
              </w:rPr>
            </w:pPr>
            <w:r w:rsidRPr="00E03B4E">
              <w:rPr>
                <w:rFonts w:eastAsia="Times New Roman"/>
                <w:bCs w:val="0"/>
                <w:color w:val="000000"/>
                <w:sz w:val="19"/>
                <w:szCs w:val="19"/>
                <w:lang w:eastAsia="en-GB"/>
              </w:rPr>
              <w:t xml:space="preserve">        MS</w:t>
            </w:r>
          </w:p>
        </w:tc>
        <w:tc>
          <w:tcPr>
            <w:tcW w:w="609" w:type="pct"/>
            <w:tcBorders>
              <w:top w:val="nil"/>
              <w:left w:val="nil"/>
              <w:bottom w:val="nil"/>
              <w:right w:val="nil"/>
            </w:tcBorders>
            <w:shd w:val="clear" w:color="auto" w:fill="auto"/>
            <w:noWrap/>
            <w:vAlign w:val="center"/>
            <w:hideMark/>
          </w:tcPr>
          <w:p w14:paraId="59CADFD2"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 xml:space="preserve">        F</w:t>
            </w:r>
          </w:p>
        </w:tc>
        <w:tc>
          <w:tcPr>
            <w:tcW w:w="544" w:type="pct"/>
            <w:tcBorders>
              <w:top w:val="nil"/>
              <w:left w:val="nil"/>
              <w:bottom w:val="nil"/>
              <w:right w:val="nil"/>
            </w:tcBorders>
            <w:shd w:val="clear" w:color="auto" w:fill="auto"/>
            <w:noWrap/>
            <w:vAlign w:val="center"/>
            <w:hideMark/>
          </w:tcPr>
          <w:p w14:paraId="56F952E1"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 xml:space="preserve">        p</w:t>
            </w:r>
          </w:p>
        </w:tc>
      </w:tr>
      <w:tr w:rsidR="0073112E" w:rsidRPr="00E03B4E" w14:paraId="1CDCD4B6" w14:textId="77777777" w:rsidTr="00E03B4E">
        <w:trPr>
          <w:trHeight w:val="227"/>
        </w:trPr>
        <w:tc>
          <w:tcPr>
            <w:tcW w:w="661" w:type="pct"/>
            <w:vMerge/>
            <w:tcBorders>
              <w:top w:val="nil"/>
              <w:left w:val="nil"/>
              <w:bottom w:val="single" w:sz="4" w:space="0" w:color="000000"/>
              <w:right w:val="nil"/>
            </w:tcBorders>
            <w:vAlign w:val="center"/>
            <w:hideMark/>
          </w:tcPr>
          <w:p w14:paraId="6FD05810"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nil"/>
              <w:right w:val="nil"/>
            </w:tcBorders>
            <w:shd w:val="clear" w:color="auto" w:fill="auto"/>
            <w:noWrap/>
            <w:vAlign w:val="bottom"/>
            <w:hideMark/>
          </w:tcPr>
          <w:p w14:paraId="26CF472A"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Temperature</w:t>
            </w:r>
          </w:p>
        </w:tc>
        <w:tc>
          <w:tcPr>
            <w:tcW w:w="249" w:type="pct"/>
            <w:tcBorders>
              <w:top w:val="nil"/>
              <w:left w:val="nil"/>
              <w:bottom w:val="nil"/>
              <w:right w:val="nil"/>
            </w:tcBorders>
            <w:shd w:val="clear" w:color="auto" w:fill="auto"/>
            <w:noWrap/>
            <w:vAlign w:val="bottom"/>
            <w:hideMark/>
          </w:tcPr>
          <w:p w14:paraId="78E9D8B7"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3E2BE91B"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0.073</w:t>
            </w:r>
          </w:p>
        </w:tc>
        <w:tc>
          <w:tcPr>
            <w:tcW w:w="382" w:type="pct"/>
            <w:tcBorders>
              <w:top w:val="nil"/>
              <w:left w:val="nil"/>
              <w:bottom w:val="nil"/>
              <w:right w:val="nil"/>
            </w:tcBorders>
            <w:shd w:val="clear" w:color="auto" w:fill="auto"/>
            <w:noWrap/>
            <w:vAlign w:val="bottom"/>
            <w:hideMark/>
          </w:tcPr>
          <w:p w14:paraId="359A77C4"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4.443</w:t>
            </w:r>
          </w:p>
        </w:tc>
        <w:tc>
          <w:tcPr>
            <w:tcW w:w="391" w:type="pct"/>
            <w:tcBorders>
              <w:top w:val="nil"/>
              <w:left w:val="nil"/>
              <w:bottom w:val="nil"/>
              <w:right w:val="nil"/>
            </w:tcBorders>
            <w:shd w:val="clear" w:color="auto" w:fill="auto"/>
            <w:noWrap/>
            <w:vAlign w:val="bottom"/>
            <w:hideMark/>
          </w:tcPr>
          <w:p w14:paraId="01F17492"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0.054</w:t>
            </w:r>
          </w:p>
        </w:tc>
        <w:tc>
          <w:tcPr>
            <w:tcW w:w="611" w:type="pct"/>
            <w:tcBorders>
              <w:top w:val="nil"/>
              <w:left w:val="nil"/>
              <w:bottom w:val="nil"/>
              <w:right w:val="nil"/>
            </w:tcBorders>
            <w:shd w:val="clear" w:color="auto" w:fill="auto"/>
            <w:noWrap/>
            <w:vAlign w:val="bottom"/>
            <w:hideMark/>
          </w:tcPr>
          <w:p w14:paraId="2711BAC4"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0.015</w:t>
            </w:r>
          </w:p>
        </w:tc>
        <w:tc>
          <w:tcPr>
            <w:tcW w:w="609" w:type="pct"/>
            <w:tcBorders>
              <w:top w:val="nil"/>
              <w:left w:val="nil"/>
              <w:bottom w:val="nil"/>
              <w:right w:val="nil"/>
            </w:tcBorders>
            <w:shd w:val="clear" w:color="auto" w:fill="auto"/>
            <w:noWrap/>
            <w:vAlign w:val="bottom"/>
            <w:hideMark/>
          </w:tcPr>
          <w:p w14:paraId="6E36ADBF"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0.294</w:t>
            </w:r>
          </w:p>
        </w:tc>
        <w:tc>
          <w:tcPr>
            <w:tcW w:w="544" w:type="pct"/>
            <w:tcBorders>
              <w:top w:val="nil"/>
              <w:left w:val="nil"/>
              <w:bottom w:val="nil"/>
              <w:right w:val="nil"/>
            </w:tcBorders>
            <w:shd w:val="clear" w:color="auto" w:fill="auto"/>
            <w:noWrap/>
            <w:vAlign w:val="bottom"/>
            <w:hideMark/>
          </w:tcPr>
          <w:p w14:paraId="42B4603D"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0.595</w:t>
            </w:r>
          </w:p>
        </w:tc>
      </w:tr>
      <w:tr w:rsidR="0073112E" w:rsidRPr="00E03B4E" w14:paraId="2D153C14" w14:textId="77777777" w:rsidTr="00E03B4E">
        <w:trPr>
          <w:trHeight w:val="227"/>
        </w:trPr>
        <w:tc>
          <w:tcPr>
            <w:tcW w:w="661" w:type="pct"/>
            <w:vMerge/>
            <w:tcBorders>
              <w:top w:val="nil"/>
              <w:left w:val="nil"/>
              <w:bottom w:val="single" w:sz="4" w:space="0" w:color="000000"/>
              <w:right w:val="nil"/>
            </w:tcBorders>
            <w:vAlign w:val="center"/>
            <w:hideMark/>
          </w:tcPr>
          <w:p w14:paraId="5ED907B5"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nil"/>
              <w:right w:val="nil"/>
            </w:tcBorders>
            <w:shd w:val="clear" w:color="auto" w:fill="auto"/>
            <w:noWrap/>
            <w:vAlign w:val="bottom"/>
            <w:hideMark/>
          </w:tcPr>
          <w:p w14:paraId="4709906E"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pH</w:t>
            </w:r>
          </w:p>
        </w:tc>
        <w:tc>
          <w:tcPr>
            <w:tcW w:w="249" w:type="pct"/>
            <w:tcBorders>
              <w:top w:val="nil"/>
              <w:left w:val="nil"/>
              <w:bottom w:val="nil"/>
              <w:right w:val="nil"/>
            </w:tcBorders>
            <w:shd w:val="clear" w:color="auto" w:fill="auto"/>
            <w:noWrap/>
            <w:vAlign w:val="bottom"/>
            <w:hideMark/>
          </w:tcPr>
          <w:p w14:paraId="54F6B875"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180F3AF2"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0.000</w:t>
            </w:r>
          </w:p>
        </w:tc>
        <w:tc>
          <w:tcPr>
            <w:tcW w:w="382" w:type="pct"/>
            <w:tcBorders>
              <w:top w:val="nil"/>
              <w:left w:val="nil"/>
              <w:bottom w:val="nil"/>
              <w:right w:val="nil"/>
            </w:tcBorders>
            <w:shd w:val="clear" w:color="auto" w:fill="auto"/>
            <w:noWrap/>
            <w:vAlign w:val="bottom"/>
            <w:hideMark/>
          </w:tcPr>
          <w:p w14:paraId="1B55129C"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0.000</w:t>
            </w:r>
          </w:p>
        </w:tc>
        <w:tc>
          <w:tcPr>
            <w:tcW w:w="391" w:type="pct"/>
            <w:tcBorders>
              <w:top w:val="nil"/>
              <w:left w:val="nil"/>
              <w:bottom w:val="nil"/>
              <w:right w:val="nil"/>
            </w:tcBorders>
            <w:shd w:val="clear" w:color="auto" w:fill="auto"/>
            <w:noWrap/>
            <w:vAlign w:val="bottom"/>
            <w:hideMark/>
          </w:tcPr>
          <w:p w14:paraId="29B7A318"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0.988</w:t>
            </w:r>
          </w:p>
        </w:tc>
        <w:tc>
          <w:tcPr>
            <w:tcW w:w="611" w:type="pct"/>
            <w:tcBorders>
              <w:top w:val="nil"/>
              <w:left w:val="nil"/>
              <w:bottom w:val="nil"/>
              <w:right w:val="nil"/>
            </w:tcBorders>
            <w:shd w:val="clear" w:color="auto" w:fill="auto"/>
            <w:noWrap/>
            <w:vAlign w:val="bottom"/>
            <w:hideMark/>
          </w:tcPr>
          <w:p w14:paraId="04F8A0F2"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0.021</w:t>
            </w:r>
          </w:p>
        </w:tc>
        <w:tc>
          <w:tcPr>
            <w:tcW w:w="609" w:type="pct"/>
            <w:tcBorders>
              <w:top w:val="nil"/>
              <w:left w:val="nil"/>
              <w:bottom w:val="nil"/>
              <w:right w:val="nil"/>
            </w:tcBorders>
            <w:shd w:val="clear" w:color="auto" w:fill="auto"/>
            <w:noWrap/>
            <w:vAlign w:val="bottom"/>
            <w:hideMark/>
          </w:tcPr>
          <w:p w14:paraId="5143137E"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0.405</w:t>
            </w:r>
          </w:p>
        </w:tc>
        <w:tc>
          <w:tcPr>
            <w:tcW w:w="544" w:type="pct"/>
            <w:tcBorders>
              <w:top w:val="nil"/>
              <w:left w:val="nil"/>
              <w:bottom w:val="nil"/>
              <w:right w:val="nil"/>
            </w:tcBorders>
            <w:shd w:val="clear" w:color="auto" w:fill="auto"/>
            <w:noWrap/>
            <w:vAlign w:val="bottom"/>
            <w:hideMark/>
          </w:tcPr>
          <w:p w14:paraId="154FAFBA"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0.534</w:t>
            </w:r>
          </w:p>
        </w:tc>
      </w:tr>
      <w:tr w:rsidR="0073112E" w:rsidRPr="00E03B4E" w14:paraId="6C8C9BD6" w14:textId="77777777" w:rsidTr="00E03B4E">
        <w:trPr>
          <w:trHeight w:val="227"/>
        </w:trPr>
        <w:tc>
          <w:tcPr>
            <w:tcW w:w="661" w:type="pct"/>
            <w:vMerge/>
            <w:tcBorders>
              <w:top w:val="nil"/>
              <w:left w:val="nil"/>
              <w:bottom w:val="single" w:sz="4" w:space="0" w:color="000000"/>
              <w:right w:val="nil"/>
            </w:tcBorders>
            <w:vAlign w:val="center"/>
            <w:hideMark/>
          </w:tcPr>
          <w:p w14:paraId="22AE8603"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nil"/>
              <w:right w:val="nil"/>
            </w:tcBorders>
            <w:shd w:val="clear" w:color="auto" w:fill="auto"/>
            <w:noWrap/>
            <w:vAlign w:val="bottom"/>
            <w:hideMark/>
          </w:tcPr>
          <w:p w14:paraId="1C57E427"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Temperature * pH</w:t>
            </w:r>
          </w:p>
        </w:tc>
        <w:tc>
          <w:tcPr>
            <w:tcW w:w="249" w:type="pct"/>
            <w:tcBorders>
              <w:top w:val="nil"/>
              <w:left w:val="nil"/>
              <w:bottom w:val="nil"/>
              <w:right w:val="nil"/>
            </w:tcBorders>
            <w:shd w:val="clear" w:color="auto" w:fill="auto"/>
            <w:noWrap/>
            <w:vAlign w:val="bottom"/>
            <w:hideMark/>
          </w:tcPr>
          <w:p w14:paraId="72D87572"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751E88FA"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0.078</w:t>
            </w:r>
          </w:p>
        </w:tc>
        <w:tc>
          <w:tcPr>
            <w:tcW w:w="382" w:type="pct"/>
            <w:tcBorders>
              <w:top w:val="nil"/>
              <w:left w:val="nil"/>
              <w:bottom w:val="nil"/>
              <w:right w:val="nil"/>
            </w:tcBorders>
            <w:shd w:val="clear" w:color="auto" w:fill="auto"/>
            <w:noWrap/>
            <w:vAlign w:val="bottom"/>
            <w:hideMark/>
          </w:tcPr>
          <w:p w14:paraId="2F79D4AF"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4.782</w:t>
            </w:r>
          </w:p>
        </w:tc>
        <w:tc>
          <w:tcPr>
            <w:tcW w:w="391" w:type="pct"/>
            <w:tcBorders>
              <w:top w:val="nil"/>
              <w:left w:val="nil"/>
              <w:bottom w:val="nil"/>
              <w:right w:val="nil"/>
            </w:tcBorders>
            <w:shd w:val="clear" w:color="auto" w:fill="auto"/>
            <w:noWrap/>
            <w:vAlign w:val="bottom"/>
            <w:hideMark/>
          </w:tcPr>
          <w:p w14:paraId="6FE10CC5" w14:textId="77777777" w:rsidR="00141875" w:rsidRPr="00E03B4E" w:rsidRDefault="00141875" w:rsidP="00DF1EE8">
            <w:pPr>
              <w:jc w:val="right"/>
              <w:rPr>
                <w:rFonts w:eastAsia="Times New Roman"/>
                <w:color w:val="000000"/>
                <w:sz w:val="19"/>
                <w:szCs w:val="19"/>
                <w:lang w:eastAsia="en-GB"/>
              </w:rPr>
            </w:pPr>
            <w:r w:rsidRPr="00E03B4E">
              <w:rPr>
                <w:rFonts w:eastAsia="Times New Roman"/>
                <w:color w:val="000000"/>
                <w:sz w:val="19"/>
                <w:szCs w:val="19"/>
                <w:lang w:eastAsia="en-GB"/>
              </w:rPr>
              <w:t>0.046</w:t>
            </w:r>
          </w:p>
        </w:tc>
        <w:tc>
          <w:tcPr>
            <w:tcW w:w="611" w:type="pct"/>
            <w:tcBorders>
              <w:top w:val="nil"/>
              <w:left w:val="nil"/>
              <w:bottom w:val="nil"/>
              <w:right w:val="nil"/>
            </w:tcBorders>
            <w:shd w:val="clear" w:color="auto" w:fill="auto"/>
            <w:noWrap/>
            <w:vAlign w:val="bottom"/>
            <w:hideMark/>
          </w:tcPr>
          <w:p w14:paraId="27B3E18C"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0.204</w:t>
            </w:r>
          </w:p>
        </w:tc>
        <w:tc>
          <w:tcPr>
            <w:tcW w:w="609" w:type="pct"/>
            <w:tcBorders>
              <w:top w:val="nil"/>
              <w:left w:val="nil"/>
              <w:bottom w:val="nil"/>
              <w:right w:val="nil"/>
            </w:tcBorders>
            <w:shd w:val="clear" w:color="auto" w:fill="auto"/>
            <w:noWrap/>
            <w:vAlign w:val="bottom"/>
            <w:hideMark/>
          </w:tcPr>
          <w:p w14:paraId="3AE074A0"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3.938</w:t>
            </w:r>
          </w:p>
        </w:tc>
        <w:tc>
          <w:tcPr>
            <w:tcW w:w="544" w:type="pct"/>
            <w:tcBorders>
              <w:top w:val="nil"/>
              <w:left w:val="nil"/>
              <w:bottom w:val="nil"/>
              <w:right w:val="nil"/>
            </w:tcBorders>
            <w:shd w:val="clear" w:color="auto" w:fill="auto"/>
            <w:noWrap/>
            <w:vAlign w:val="bottom"/>
            <w:hideMark/>
          </w:tcPr>
          <w:p w14:paraId="4FE703E1"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0.065</w:t>
            </w:r>
          </w:p>
        </w:tc>
      </w:tr>
      <w:tr w:rsidR="0073112E" w:rsidRPr="00E03B4E" w14:paraId="421FD07F" w14:textId="77777777" w:rsidTr="00E03B4E">
        <w:trPr>
          <w:trHeight w:val="227"/>
        </w:trPr>
        <w:tc>
          <w:tcPr>
            <w:tcW w:w="661" w:type="pct"/>
            <w:vMerge/>
            <w:tcBorders>
              <w:top w:val="nil"/>
              <w:left w:val="nil"/>
              <w:bottom w:val="single" w:sz="4" w:space="0" w:color="000000"/>
              <w:right w:val="nil"/>
            </w:tcBorders>
            <w:vAlign w:val="center"/>
            <w:hideMark/>
          </w:tcPr>
          <w:p w14:paraId="69435D6C"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single" w:sz="4" w:space="0" w:color="auto"/>
              <w:right w:val="nil"/>
            </w:tcBorders>
            <w:shd w:val="clear" w:color="auto" w:fill="auto"/>
            <w:noWrap/>
            <w:vAlign w:val="bottom"/>
            <w:hideMark/>
          </w:tcPr>
          <w:p w14:paraId="5863DBAA"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Residuals</w:t>
            </w:r>
          </w:p>
        </w:tc>
        <w:tc>
          <w:tcPr>
            <w:tcW w:w="249" w:type="pct"/>
            <w:tcBorders>
              <w:top w:val="nil"/>
              <w:left w:val="nil"/>
              <w:bottom w:val="single" w:sz="4" w:space="0" w:color="auto"/>
              <w:right w:val="nil"/>
            </w:tcBorders>
            <w:shd w:val="clear" w:color="auto" w:fill="auto"/>
            <w:noWrap/>
            <w:vAlign w:val="bottom"/>
            <w:hideMark/>
          </w:tcPr>
          <w:p w14:paraId="09EEE40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16</w:t>
            </w:r>
          </w:p>
        </w:tc>
        <w:tc>
          <w:tcPr>
            <w:tcW w:w="382" w:type="pct"/>
            <w:tcBorders>
              <w:top w:val="nil"/>
              <w:left w:val="nil"/>
              <w:bottom w:val="single" w:sz="4" w:space="0" w:color="auto"/>
              <w:right w:val="nil"/>
            </w:tcBorders>
            <w:shd w:val="clear" w:color="auto" w:fill="auto"/>
            <w:noWrap/>
            <w:vAlign w:val="bottom"/>
            <w:hideMark/>
          </w:tcPr>
          <w:p w14:paraId="2CAE76CC"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0.016</w:t>
            </w:r>
          </w:p>
        </w:tc>
        <w:tc>
          <w:tcPr>
            <w:tcW w:w="382" w:type="pct"/>
            <w:tcBorders>
              <w:top w:val="nil"/>
              <w:left w:val="nil"/>
              <w:bottom w:val="single" w:sz="4" w:space="0" w:color="auto"/>
              <w:right w:val="nil"/>
            </w:tcBorders>
            <w:shd w:val="clear" w:color="auto" w:fill="auto"/>
            <w:noWrap/>
            <w:vAlign w:val="bottom"/>
            <w:hideMark/>
          </w:tcPr>
          <w:p w14:paraId="3C1047ED"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391" w:type="pct"/>
            <w:tcBorders>
              <w:top w:val="nil"/>
              <w:left w:val="nil"/>
              <w:bottom w:val="single" w:sz="4" w:space="0" w:color="auto"/>
              <w:right w:val="nil"/>
            </w:tcBorders>
            <w:shd w:val="clear" w:color="auto" w:fill="auto"/>
            <w:noWrap/>
            <w:vAlign w:val="bottom"/>
            <w:hideMark/>
          </w:tcPr>
          <w:p w14:paraId="57A42471"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611" w:type="pct"/>
            <w:tcBorders>
              <w:top w:val="nil"/>
              <w:left w:val="nil"/>
              <w:bottom w:val="single" w:sz="4" w:space="0" w:color="auto"/>
              <w:right w:val="nil"/>
            </w:tcBorders>
            <w:shd w:val="clear" w:color="auto" w:fill="auto"/>
            <w:noWrap/>
            <w:vAlign w:val="bottom"/>
            <w:hideMark/>
          </w:tcPr>
          <w:p w14:paraId="4F16D89E"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0.052</w:t>
            </w:r>
          </w:p>
        </w:tc>
        <w:tc>
          <w:tcPr>
            <w:tcW w:w="609" w:type="pct"/>
            <w:tcBorders>
              <w:top w:val="nil"/>
              <w:left w:val="nil"/>
              <w:bottom w:val="single" w:sz="4" w:space="0" w:color="auto"/>
              <w:right w:val="nil"/>
            </w:tcBorders>
            <w:shd w:val="clear" w:color="auto" w:fill="auto"/>
            <w:noWrap/>
            <w:vAlign w:val="bottom"/>
            <w:hideMark/>
          </w:tcPr>
          <w:p w14:paraId="3A810FDF"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544" w:type="pct"/>
            <w:tcBorders>
              <w:top w:val="nil"/>
              <w:left w:val="nil"/>
              <w:bottom w:val="single" w:sz="4" w:space="0" w:color="auto"/>
              <w:right w:val="nil"/>
            </w:tcBorders>
            <w:shd w:val="clear" w:color="auto" w:fill="auto"/>
            <w:noWrap/>
            <w:vAlign w:val="bottom"/>
            <w:hideMark/>
          </w:tcPr>
          <w:p w14:paraId="044ABC20"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r>
      <w:tr w:rsidR="0073112E" w:rsidRPr="00E03B4E" w14:paraId="60A49F38" w14:textId="77777777" w:rsidTr="00E03B4E">
        <w:trPr>
          <w:trHeight w:val="227"/>
        </w:trPr>
        <w:tc>
          <w:tcPr>
            <w:tcW w:w="661" w:type="pct"/>
            <w:vMerge w:val="restart"/>
            <w:tcBorders>
              <w:top w:val="nil"/>
              <w:left w:val="nil"/>
              <w:bottom w:val="single" w:sz="4" w:space="0" w:color="000000"/>
              <w:right w:val="nil"/>
            </w:tcBorders>
            <w:shd w:val="clear" w:color="auto" w:fill="auto"/>
            <w:vAlign w:val="center"/>
            <w:hideMark/>
          </w:tcPr>
          <w:p w14:paraId="598E6CCE" w14:textId="77777777" w:rsidR="00141875" w:rsidRPr="00E03B4E" w:rsidRDefault="00141875" w:rsidP="00DF1EE8">
            <w:pPr>
              <w:jc w:val="center"/>
              <w:rPr>
                <w:rFonts w:eastAsia="Times New Roman"/>
                <w:b/>
                <w:bCs w:val="0"/>
                <w:i/>
                <w:iCs/>
                <w:color w:val="000000"/>
                <w:sz w:val="19"/>
                <w:szCs w:val="19"/>
                <w:lang w:eastAsia="en-GB"/>
              </w:rPr>
            </w:pPr>
            <w:r w:rsidRPr="00E03B4E">
              <w:rPr>
                <w:rFonts w:eastAsia="Times New Roman"/>
                <w:bCs w:val="0"/>
                <w:i/>
                <w:iCs/>
                <w:color w:val="000000"/>
                <w:sz w:val="19"/>
                <w:szCs w:val="19"/>
                <w:lang w:eastAsia="en-GB"/>
              </w:rPr>
              <w:t xml:space="preserve">Sporolithon </w:t>
            </w:r>
            <w:r w:rsidRPr="00E03B4E">
              <w:rPr>
                <w:rFonts w:eastAsia="Times New Roman"/>
                <w:bCs w:val="0"/>
                <w:color w:val="000000"/>
                <w:sz w:val="19"/>
                <w:szCs w:val="19"/>
                <w:lang w:eastAsia="en-GB"/>
              </w:rPr>
              <w:t xml:space="preserve">cf. </w:t>
            </w:r>
            <w:r w:rsidRPr="00E03B4E">
              <w:rPr>
                <w:rFonts w:eastAsia="Times New Roman"/>
                <w:bCs w:val="0"/>
                <w:i/>
                <w:iCs/>
                <w:color w:val="000000"/>
                <w:sz w:val="19"/>
                <w:szCs w:val="19"/>
                <w:lang w:eastAsia="en-GB"/>
              </w:rPr>
              <w:t>durum</w:t>
            </w:r>
          </w:p>
        </w:tc>
        <w:tc>
          <w:tcPr>
            <w:tcW w:w="1170" w:type="pct"/>
            <w:tcBorders>
              <w:top w:val="nil"/>
              <w:left w:val="nil"/>
              <w:bottom w:val="nil"/>
              <w:right w:val="nil"/>
            </w:tcBorders>
            <w:shd w:val="clear" w:color="auto" w:fill="auto"/>
            <w:noWrap/>
            <w:vAlign w:val="bottom"/>
            <w:hideMark/>
          </w:tcPr>
          <w:p w14:paraId="47F0FE6A"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Temperature</w:t>
            </w:r>
          </w:p>
        </w:tc>
        <w:tc>
          <w:tcPr>
            <w:tcW w:w="249" w:type="pct"/>
            <w:tcBorders>
              <w:top w:val="nil"/>
              <w:left w:val="nil"/>
              <w:bottom w:val="nil"/>
              <w:right w:val="nil"/>
            </w:tcBorders>
            <w:shd w:val="clear" w:color="auto" w:fill="auto"/>
            <w:noWrap/>
            <w:vAlign w:val="bottom"/>
            <w:hideMark/>
          </w:tcPr>
          <w:p w14:paraId="035D11B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247D277E"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0.056</w:t>
            </w:r>
          </w:p>
        </w:tc>
        <w:tc>
          <w:tcPr>
            <w:tcW w:w="382" w:type="pct"/>
            <w:tcBorders>
              <w:top w:val="nil"/>
              <w:left w:val="nil"/>
              <w:bottom w:val="nil"/>
              <w:right w:val="nil"/>
            </w:tcBorders>
            <w:shd w:val="clear" w:color="auto" w:fill="auto"/>
            <w:noWrap/>
            <w:vAlign w:val="bottom"/>
            <w:hideMark/>
          </w:tcPr>
          <w:p w14:paraId="7060E55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0.439</w:t>
            </w:r>
          </w:p>
        </w:tc>
        <w:tc>
          <w:tcPr>
            <w:tcW w:w="391" w:type="pct"/>
            <w:tcBorders>
              <w:top w:val="nil"/>
              <w:left w:val="nil"/>
              <w:bottom w:val="nil"/>
              <w:right w:val="nil"/>
            </w:tcBorders>
            <w:shd w:val="clear" w:color="auto" w:fill="auto"/>
            <w:noWrap/>
            <w:vAlign w:val="bottom"/>
            <w:hideMark/>
          </w:tcPr>
          <w:p w14:paraId="504B08E8"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0.516</w:t>
            </w:r>
          </w:p>
        </w:tc>
        <w:tc>
          <w:tcPr>
            <w:tcW w:w="611" w:type="pct"/>
            <w:tcBorders>
              <w:top w:val="nil"/>
              <w:left w:val="nil"/>
              <w:bottom w:val="nil"/>
              <w:right w:val="nil"/>
            </w:tcBorders>
            <w:shd w:val="clear" w:color="auto" w:fill="auto"/>
            <w:noWrap/>
            <w:vAlign w:val="bottom"/>
            <w:hideMark/>
          </w:tcPr>
          <w:p w14:paraId="69A17F13"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3.026</w:t>
            </w:r>
          </w:p>
        </w:tc>
        <w:tc>
          <w:tcPr>
            <w:tcW w:w="609" w:type="pct"/>
            <w:tcBorders>
              <w:top w:val="nil"/>
              <w:left w:val="nil"/>
              <w:bottom w:val="nil"/>
              <w:right w:val="nil"/>
            </w:tcBorders>
            <w:shd w:val="clear" w:color="auto" w:fill="auto"/>
            <w:noWrap/>
            <w:vAlign w:val="bottom"/>
            <w:hideMark/>
          </w:tcPr>
          <w:p w14:paraId="7394F11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1.830</w:t>
            </w:r>
          </w:p>
        </w:tc>
        <w:tc>
          <w:tcPr>
            <w:tcW w:w="544" w:type="pct"/>
            <w:tcBorders>
              <w:top w:val="nil"/>
              <w:left w:val="nil"/>
              <w:bottom w:val="nil"/>
              <w:right w:val="nil"/>
            </w:tcBorders>
            <w:shd w:val="clear" w:color="auto" w:fill="auto"/>
            <w:noWrap/>
            <w:vAlign w:val="bottom"/>
            <w:hideMark/>
          </w:tcPr>
          <w:p w14:paraId="33F1DC7E"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0.192</w:t>
            </w:r>
          </w:p>
        </w:tc>
      </w:tr>
      <w:tr w:rsidR="0073112E" w:rsidRPr="00E03B4E" w14:paraId="2D6D6373" w14:textId="77777777" w:rsidTr="00E03B4E">
        <w:trPr>
          <w:trHeight w:val="227"/>
        </w:trPr>
        <w:tc>
          <w:tcPr>
            <w:tcW w:w="661" w:type="pct"/>
            <w:vMerge/>
            <w:tcBorders>
              <w:top w:val="nil"/>
              <w:left w:val="nil"/>
              <w:bottom w:val="single" w:sz="4" w:space="0" w:color="000000"/>
              <w:right w:val="nil"/>
            </w:tcBorders>
            <w:vAlign w:val="center"/>
            <w:hideMark/>
          </w:tcPr>
          <w:p w14:paraId="267D1232"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nil"/>
              <w:right w:val="nil"/>
            </w:tcBorders>
            <w:shd w:val="clear" w:color="auto" w:fill="auto"/>
            <w:noWrap/>
            <w:vAlign w:val="bottom"/>
            <w:hideMark/>
          </w:tcPr>
          <w:p w14:paraId="272FBC64"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pH</w:t>
            </w:r>
          </w:p>
        </w:tc>
        <w:tc>
          <w:tcPr>
            <w:tcW w:w="249" w:type="pct"/>
            <w:tcBorders>
              <w:top w:val="nil"/>
              <w:left w:val="nil"/>
              <w:bottom w:val="nil"/>
              <w:right w:val="nil"/>
            </w:tcBorders>
            <w:shd w:val="clear" w:color="auto" w:fill="auto"/>
            <w:noWrap/>
            <w:vAlign w:val="bottom"/>
            <w:hideMark/>
          </w:tcPr>
          <w:p w14:paraId="6D5B12F4"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59F3178B"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1.217</w:t>
            </w:r>
          </w:p>
        </w:tc>
        <w:tc>
          <w:tcPr>
            <w:tcW w:w="382" w:type="pct"/>
            <w:tcBorders>
              <w:top w:val="nil"/>
              <w:left w:val="nil"/>
              <w:bottom w:val="nil"/>
              <w:right w:val="nil"/>
            </w:tcBorders>
            <w:shd w:val="clear" w:color="auto" w:fill="auto"/>
            <w:noWrap/>
            <w:vAlign w:val="bottom"/>
            <w:hideMark/>
          </w:tcPr>
          <w:p w14:paraId="5DDB27E8"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9.560</w:t>
            </w:r>
          </w:p>
        </w:tc>
        <w:tc>
          <w:tcPr>
            <w:tcW w:w="391" w:type="pct"/>
            <w:tcBorders>
              <w:top w:val="nil"/>
              <w:left w:val="nil"/>
              <w:bottom w:val="nil"/>
              <w:right w:val="nil"/>
            </w:tcBorders>
            <w:shd w:val="clear" w:color="auto" w:fill="auto"/>
            <w:noWrap/>
            <w:vAlign w:val="bottom"/>
            <w:hideMark/>
          </w:tcPr>
          <w:p w14:paraId="3B96C526" w14:textId="77777777" w:rsidR="00141875" w:rsidRPr="00E03B4E" w:rsidRDefault="00141875" w:rsidP="00DF1EE8">
            <w:pPr>
              <w:jc w:val="right"/>
              <w:rPr>
                <w:rFonts w:eastAsia="Times New Roman"/>
                <w:color w:val="000000"/>
                <w:sz w:val="19"/>
                <w:szCs w:val="19"/>
                <w:lang w:eastAsia="en-GB"/>
              </w:rPr>
            </w:pPr>
            <w:r w:rsidRPr="00E03B4E">
              <w:rPr>
                <w:rFonts w:eastAsia="Times New Roman"/>
                <w:color w:val="000000"/>
                <w:sz w:val="19"/>
                <w:szCs w:val="19"/>
                <w:lang w:eastAsia="en-GB"/>
              </w:rPr>
              <w:t>0.006</w:t>
            </w:r>
          </w:p>
        </w:tc>
        <w:tc>
          <w:tcPr>
            <w:tcW w:w="611" w:type="pct"/>
            <w:tcBorders>
              <w:top w:val="nil"/>
              <w:left w:val="nil"/>
              <w:bottom w:val="nil"/>
              <w:right w:val="nil"/>
            </w:tcBorders>
            <w:shd w:val="clear" w:color="auto" w:fill="auto"/>
            <w:noWrap/>
            <w:vAlign w:val="bottom"/>
            <w:hideMark/>
          </w:tcPr>
          <w:p w14:paraId="221622CA"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0.495</w:t>
            </w:r>
          </w:p>
        </w:tc>
        <w:tc>
          <w:tcPr>
            <w:tcW w:w="609" w:type="pct"/>
            <w:tcBorders>
              <w:top w:val="nil"/>
              <w:left w:val="nil"/>
              <w:bottom w:val="nil"/>
              <w:right w:val="nil"/>
            </w:tcBorders>
            <w:shd w:val="clear" w:color="auto" w:fill="auto"/>
            <w:noWrap/>
            <w:vAlign w:val="bottom"/>
            <w:hideMark/>
          </w:tcPr>
          <w:p w14:paraId="46416D02"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0.299</w:t>
            </w:r>
          </w:p>
        </w:tc>
        <w:tc>
          <w:tcPr>
            <w:tcW w:w="544" w:type="pct"/>
            <w:tcBorders>
              <w:top w:val="nil"/>
              <w:left w:val="nil"/>
              <w:bottom w:val="nil"/>
              <w:right w:val="nil"/>
            </w:tcBorders>
            <w:shd w:val="clear" w:color="auto" w:fill="auto"/>
            <w:noWrap/>
            <w:vAlign w:val="bottom"/>
            <w:hideMark/>
          </w:tcPr>
          <w:p w14:paraId="56FFC675"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0.591</w:t>
            </w:r>
          </w:p>
        </w:tc>
      </w:tr>
      <w:tr w:rsidR="0073112E" w:rsidRPr="00E03B4E" w14:paraId="6A226F7F" w14:textId="77777777" w:rsidTr="00E03B4E">
        <w:trPr>
          <w:trHeight w:val="227"/>
        </w:trPr>
        <w:tc>
          <w:tcPr>
            <w:tcW w:w="661" w:type="pct"/>
            <w:vMerge/>
            <w:tcBorders>
              <w:top w:val="nil"/>
              <w:left w:val="nil"/>
              <w:bottom w:val="single" w:sz="4" w:space="0" w:color="000000"/>
              <w:right w:val="nil"/>
            </w:tcBorders>
            <w:vAlign w:val="center"/>
            <w:hideMark/>
          </w:tcPr>
          <w:p w14:paraId="588D10A9"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nil"/>
              <w:right w:val="nil"/>
            </w:tcBorders>
            <w:shd w:val="clear" w:color="auto" w:fill="auto"/>
            <w:noWrap/>
            <w:vAlign w:val="bottom"/>
            <w:hideMark/>
          </w:tcPr>
          <w:p w14:paraId="36C51416"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Temperature * pH</w:t>
            </w:r>
          </w:p>
        </w:tc>
        <w:tc>
          <w:tcPr>
            <w:tcW w:w="249" w:type="pct"/>
            <w:tcBorders>
              <w:top w:val="nil"/>
              <w:left w:val="nil"/>
              <w:bottom w:val="nil"/>
              <w:right w:val="nil"/>
            </w:tcBorders>
            <w:shd w:val="clear" w:color="auto" w:fill="auto"/>
            <w:noWrap/>
            <w:vAlign w:val="bottom"/>
            <w:hideMark/>
          </w:tcPr>
          <w:p w14:paraId="41A0710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w:t>
            </w:r>
          </w:p>
        </w:tc>
        <w:tc>
          <w:tcPr>
            <w:tcW w:w="382" w:type="pct"/>
            <w:tcBorders>
              <w:top w:val="nil"/>
              <w:left w:val="nil"/>
              <w:bottom w:val="nil"/>
              <w:right w:val="nil"/>
            </w:tcBorders>
            <w:shd w:val="clear" w:color="auto" w:fill="auto"/>
            <w:noWrap/>
            <w:vAlign w:val="bottom"/>
            <w:hideMark/>
          </w:tcPr>
          <w:p w14:paraId="431CD5A3"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0.085</w:t>
            </w:r>
          </w:p>
        </w:tc>
        <w:tc>
          <w:tcPr>
            <w:tcW w:w="382" w:type="pct"/>
            <w:tcBorders>
              <w:top w:val="nil"/>
              <w:left w:val="nil"/>
              <w:bottom w:val="nil"/>
              <w:right w:val="nil"/>
            </w:tcBorders>
            <w:shd w:val="clear" w:color="auto" w:fill="auto"/>
            <w:noWrap/>
            <w:vAlign w:val="bottom"/>
            <w:hideMark/>
          </w:tcPr>
          <w:p w14:paraId="443C9B9E"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0.671</w:t>
            </w:r>
          </w:p>
        </w:tc>
        <w:tc>
          <w:tcPr>
            <w:tcW w:w="391" w:type="pct"/>
            <w:tcBorders>
              <w:top w:val="nil"/>
              <w:left w:val="nil"/>
              <w:bottom w:val="nil"/>
              <w:right w:val="nil"/>
            </w:tcBorders>
            <w:shd w:val="clear" w:color="auto" w:fill="auto"/>
            <w:noWrap/>
            <w:vAlign w:val="bottom"/>
            <w:hideMark/>
          </w:tcPr>
          <w:p w14:paraId="642AC839"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0.423</w:t>
            </w:r>
          </w:p>
        </w:tc>
        <w:tc>
          <w:tcPr>
            <w:tcW w:w="611" w:type="pct"/>
            <w:tcBorders>
              <w:top w:val="nil"/>
              <w:left w:val="nil"/>
              <w:bottom w:val="nil"/>
              <w:right w:val="nil"/>
            </w:tcBorders>
            <w:shd w:val="clear" w:color="auto" w:fill="auto"/>
            <w:noWrap/>
            <w:vAlign w:val="bottom"/>
            <w:hideMark/>
          </w:tcPr>
          <w:p w14:paraId="58502C04"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0.113</w:t>
            </w:r>
          </w:p>
        </w:tc>
        <w:tc>
          <w:tcPr>
            <w:tcW w:w="609" w:type="pct"/>
            <w:tcBorders>
              <w:top w:val="nil"/>
              <w:left w:val="nil"/>
              <w:bottom w:val="nil"/>
              <w:right w:val="nil"/>
            </w:tcBorders>
            <w:shd w:val="clear" w:color="auto" w:fill="auto"/>
            <w:noWrap/>
            <w:vAlign w:val="bottom"/>
            <w:hideMark/>
          </w:tcPr>
          <w:p w14:paraId="16B57238"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0.068</w:t>
            </w:r>
          </w:p>
        </w:tc>
        <w:tc>
          <w:tcPr>
            <w:tcW w:w="544" w:type="pct"/>
            <w:tcBorders>
              <w:top w:val="nil"/>
              <w:left w:val="nil"/>
              <w:bottom w:val="nil"/>
              <w:right w:val="nil"/>
            </w:tcBorders>
            <w:shd w:val="clear" w:color="auto" w:fill="auto"/>
            <w:noWrap/>
            <w:vAlign w:val="bottom"/>
            <w:hideMark/>
          </w:tcPr>
          <w:p w14:paraId="49EB7CE0"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0.796</w:t>
            </w:r>
          </w:p>
        </w:tc>
      </w:tr>
      <w:tr w:rsidR="0073112E" w:rsidRPr="00E03B4E" w14:paraId="6FEE95C3" w14:textId="77777777" w:rsidTr="00E03B4E">
        <w:trPr>
          <w:trHeight w:val="227"/>
        </w:trPr>
        <w:tc>
          <w:tcPr>
            <w:tcW w:w="661" w:type="pct"/>
            <w:vMerge/>
            <w:tcBorders>
              <w:top w:val="nil"/>
              <w:left w:val="nil"/>
              <w:bottom w:val="single" w:sz="4" w:space="0" w:color="000000"/>
              <w:right w:val="nil"/>
            </w:tcBorders>
            <w:vAlign w:val="center"/>
            <w:hideMark/>
          </w:tcPr>
          <w:p w14:paraId="461C37F9" w14:textId="77777777" w:rsidR="00141875" w:rsidRPr="00E03B4E" w:rsidRDefault="00141875" w:rsidP="00DF1EE8">
            <w:pPr>
              <w:rPr>
                <w:rFonts w:eastAsia="Times New Roman"/>
                <w:b/>
                <w:bCs w:val="0"/>
                <w:i/>
                <w:iCs/>
                <w:color w:val="000000"/>
                <w:sz w:val="19"/>
                <w:szCs w:val="19"/>
                <w:lang w:eastAsia="en-GB"/>
              </w:rPr>
            </w:pPr>
          </w:p>
        </w:tc>
        <w:tc>
          <w:tcPr>
            <w:tcW w:w="1170" w:type="pct"/>
            <w:tcBorders>
              <w:top w:val="nil"/>
              <w:left w:val="nil"/>
              <w:bottom w:val="single" w:sz="4" w:space="0" w:color="auto"/>
              <w:right w:val="nil"/>
            </w:tcBorders>
            <w:shd w:val="clear" w:color="auto" w:fill="auto"/>
            <w:noWrap/>
            <w:vAlign w:val="bottom"/>
            <w:hideMark/>
          </w:tcPr>
          <w:p w14:paraId="439C2752"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Residuals</w:t>
            </w:r>
          </w:p>
        </w:tc>
        <w:tc>
          <w:tcPr>
            <w:tcW w:w="249" w:type="pct"/>
            <w:tcBorders>
              <w:top w:val="nil"/>
              <w:left w:val="nil"/>
              <w:bottom w:val="single" w:sz="4" w:space="0" w:color="auto"/>
              <w:right w:val="nil"/>
            </w:tcBorders>
            <w:shd w:val="clear" w:color="auto" w:fill="auto"/>
            <w:noWrap/>
            <w:vAlign w:val="bottom"/>
            <w:hideMark/>
          </w:tcPr>
          <w:p w14:paraId="589D42CA"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18</w:t>
            </w:r>
          </w:p>
        </w:tc>
        <w:tc>
          <w:tcPr>
            <w:tcW w:w="382" w:type="pct"/>
            <w:tcBorders>
              <w:top w:val="nil"/>
              <w:left w:val="nil"/>
              <w:bottom w:val="single" w:sz="4" w:space="0" w:color="auto"/>
              <w:right w:val="nil"/>
            </w:tcBorders>
            <w:shd w:val="clear" w:color="auto" w:fill="auto"/>
            <w:noWrap/>
            <w:vAlign w:val="bottom"/>
            <w:hideMark/>
          </w:tcPr>
          <w:p w14:paraId="24181C98"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0.127</w:t>
            </w:r>
          </w:p>
        </w:tc>
        <w:tc>
          <w:tcPr>
            <w:tcW w:w="382" w:type="pct"/>
            <w:tcBorders>
              <w:top w:val="nil"/>
              <w:left w:val="nil"/>
              <w:bottom w:val="single" w:sz="4" w:space="0" w:color="auto"/>
              <w:right w:val="nil"/>
            </w:tcBorders>
            <w:shd w:val="clear" w:color="auto" w:fill="auto"/>
            <w:noWrap/>
            <w:vAlign w:val="bottom"/>
            <w:hideMark/>
          </w:tcPr>
          <w:p w14:paraId="4C0DCB8F"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391" w:type="pct"/>
            <w:tcBorders>
              <w:top w:val="nil"/>
              <w:left w:val="nil"/>
              <w:bottom w:val="single" w:sz="4" w:space="0" w:color="auto"/>
              <w:right w:val="nil"/>
            </w:tcBorders>
            <w:shd w:val="clear" w:color="auto" w:fill="auto"/>
            <w:noWrap/>
            <w:vAlign w:val="bottom"/>
            <w:hideMark/>
          </w:tcPr>
          <w:p w14:paraId="48470CB5"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611" w:type="pct"/>
            <w:tcBorders>
              <w:top w:val="nil"/>
              <w:left w:val="nil"/>
              <w:bottom w:val="single" w:sz="4" w:space="0" w:color="auto"/>
              <w:right w:val="nil"/>
            </w:tcBorders>
            <w:shd w:val="clear" w:color="auto" w:fill="auto"/>
            <w:noWrap/>
            <w:vAlign w:val="bottom"/>
            <w:hideMark/>
          </w:tcPr>
          <w:p w14:paraId="68BF5AD6" w14:textId="77777777" w:rsidR="00141875" w:rsidRPr="00E03B4E" w:rsidRDefault="00141875" w:rsidP="00DF1EE8">
            <w:pPr>
              <w:jc w:val="right"/>
              <w:rPr>
                <w:rFonts w:eastAsia="Times New Roman"/>
                <w:b/>
                <w:bCs w:val="0"/>
                <w:color w:val="000000"/>
                <w:sz w:val="19"/>
                <w:szCs w:val="19"/>
                <w:lang w:eastAsia="en-GB"/>
              </w:rPr>
            </w:pPr>
            <w:r w:rsidRPr="00E03B4E">
              <w:rPr>
                <w:rFonts w:eastAsia="Times New Roman"/>
                <w:bCs w:val="0"/>
                <w:color w:val="000000"/>
                <w:sz w:val="19"/>
                <w:szCs w:val="19"/>
                <w:lang w:eastAsia="en-GB"/>
              </w:rPr>
              <w:t>1.654</w:t>
            </w:r>
          </w:p>
        </w:tc>
        <w:tc>
          <w:tcPr>
            <w:tcW w:w="609" w:type="pct"/>
            <w:tcBorders>
              <w:top w:val="nil"/>
              <w:left w:val="nil"/>
              <w:bottom w:val="single" w:sz="4" w:space="0" w:color="auto"/>
              <w:right w:val="nil"/>
            </w:tcBorders>
            <w:shd w:val="clear" w:color="auto" w:fill="auto"/>
            <w:noWrap/>
            <w:vAlign w:val="bottom"/>
            <w:hideMark/>
          </w:tcPr>
          <w:p w14:paraId="100CB0D7"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c>
          <w:tcPr>
            <w:tcW w:w="544" w:type="pct"/>
            <w:tcBorders>
              <w:top w:val="nil"/>
              <w:left w:val="nil"/>
              <w:bottom w:val="single" w:sz="4" w:space="0" w:color="auto"/>
              <w:right w:val="nil"/>
            </w:tcBorders>
            <w:shd w:val="clear" w:color="auto" w:fill="auto"/>
            <w:noWrap/>
            <w:vAlign w:val="bottom"/>
            <w:hideMark/>
          </w:tcPr>
          <w:p w14:paraId="51E8ED90" w14:textId="77777777" w:rsidR="00141875" w:rsidRPr="00E03B4E" w:rsidRDefault="00141875"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 </w:t>
            </w:r>
          </w:p>
        </w:tc>
      </w:tr>
    </w:tbl>
    <w:p w14:paraId="2EF43B9F" w14:textId="3B23A64B" w:rsidR="00141875" w:rsidRPr="00E03B4E" w:rsidRDefault="00141875" w:rsidP="00DF1EE8">
      <w:pPr>
        <w:rPr>
          <w:b/>
          <w:bCs w:val="0"/>
          <w:color w:val="000000" w:themeColor="text1"/>
          <w:sz w:val="20"/>
          <w:szCs w:val="20"/>
        </w:rPr>
      </w:pPr>
      <w:r w:rsidRPr="00E03B4E">
        <w:rPr>
          <w:bCs w:val="0"/>
          <w:color w:val="000000" w:themeColor="text1"/>
          <w:sz w:val="20"/>
          <w:szCs w:val="20"/>
        </w:rPr>
        <w:t>*Oxygen produced or consumed was normalised to surface area (cm</w:t>
      </w:r>
      <w:r w:rsidRPr="00E03B4E">
        <w:rPr>
          <w:bCs w:val="0"/>
          <w:color w:val="000000" w:themeColor="text1"/>
          <w:sz w:val="20"/>
          <w:szCs w:val="20"/>
          <w:vertAlign w:val="superscript"/>
        </w:rPr>
        <w:t>2</w:t>
      </w:r>
      <w:r w:rsidRPr="00E03B4E">
        <w:rPr>
          <w:bCs w:val="0"/>
          <w:color w:val="000000" w:themeColor="text1"/>
          <w:sz w:val="20"/>
          <w:szCs w:val="20"/>
        </w:rPr>
        <w:t xml:space="preserve">) for </w:t>
      </w:r>
      <w:r w:rsidRPr="00E03B4E">
        <w:rPr>
          <w:bCs w:val="0"/>
          <w:i/>
          <w:iCs/>
          <w:color w:val="000000" w:themeColor="text1"/>
          <w:sz w:val="20"/>
          <w:szCs w:val="20"/>
        </w:rPr>
        <w:t>P</w:t>
      </w:r>
      <w:r w:rsidR="0008245C" w:rsidRPr="00E03B4E">
        <w:rPr>
          <w:bCs w:val="0"/>
          <w:i/>
          <w:iCs/>
          <w:color w:val="000000" w:themeColor="text1"/>
          <w:sz w:val="20"/>
          <w:szCs w:val="20"/>
        </w:rPr>
        <w:t>orolithon</w:t>
      </w:r>
      <w:r w:rsidRPr="00E03B4E">
        <w:rPr>
          <w:bCs w:val="0"/>
          <w:color w:val="000000" w:themeColor="text1"/>
          <w:sz w:val="20"/>
          <w:szCs w:val="20"/>
        </w:rPr>
        <w:t xml:space="preserve"> cf. </w:t>
      </w:r>
      <w:r w:rsidRPr="00E03B4E">
        <w:rPr>
          <w:bCs w:val="0"/>
          <w:i/>
          <w:iCs/>
          <w:color w:val="000000" w:themeColor="text1"/>
          <w:sz w:val="20"/>
          <w:szCs w:val="20"/>
        </w:rPr>
        <w:t>onkodes</w:t>
      </w:r>
      <w:r w:rsidRPr="00E03B4E">
        <w:rPr>
          <w:bCs w:val="0"/>
          <w:color w:val="000000" w:themeColor="text1"/>
          <w:sz w:val="20"/>
          <w:szCs w:val="20"/>
        </w:rPr>
        <w:t xml:space="preserve"> and to the ash-free dry weight (g) of individual fragments for </w:t>
      </w:r>
      <w:r w:rsidRPr="00E03B4E">
        <w:rPr>
          <w:bCs w:val="0"/>
          <w:i/>
          <w:iCs/>
          <w:color w:val="000000" w:themeColor="text1"/>
          <w:sz w:val="20"/>
          <w:szCs w:val="20"/>
        </w:rPr>
        <w:t xml:space="preserve">S. </w:t>
      </w:r>
      <w:r w:rsidRPr="00E03B4E">
        <w:rPr>
          <w:bCs w:val="0"/>
          <w:color w:val="000000" w:themeColor="text1"/>
          <w:sz w:val="20"/>
          <w:szCs w:val="20"/>
        </w:rPr>
        <w:t xml:space="preserve">cf. </w:t>
      </w:r>
      <w:r w:rsidRPr="00E03B4E">
        <w:rPr>
          <w:bCs w:val="0"/>
          <w:i/>
          <w:iCs/>
          <w:color w:val="000000" w:themeColor="text1"/>
          <w:sz w:val="20"/>
          <w:szCs w:val="20"/>
        </w:rPr>
        <w:t>durum</w:t>
      </w:r>
      <w:r w:rsidRPr="00E03B4E">
        <w:rPr>
          <w:bCs w:val="0"/>
          <w:color w:val="000000" w:themeColor="text1"/>
          <w:sz w:val="20"/>
          <w:szCs w:val="20"/>
        </w:rPr>
        <w:t xml:space="preserve">. </w:t>
      </w:r>
    </w:p>
    <w:p w14:paraId="300AA3C5" w14:textId="77777777" w:rsidR="003B4F14" w:rsidRPr="00E03B4E" w:rsidRDefault="003B4F14" w:rsidP="00DF1EE8">
      <w:pPr>
        <w:rPr>
          <w:b/>
          <w:bCs w:val="0"/>
          <w:color w:val="000000" w:themeColor="text1"/>
          <w:sz w:val="20"/>
          <w:szCs w:val="20"/>
        </w:rPr>
      </w:pPr>
    </w:p>
    <w:p w14:paraId="3A8CDF76" w14:textId="1279583A" w:rsidR="000263C8" w:rsidRPr="00926D57" w:rsidRDefault="00C103F9" w:rsidP="00A62BA6">
      <w:pPr>
        <w:spacing w:line="276" w:lineRule="auto"/>
      </w:pPr>
      <w:r w:rsidRPr="00FC0540">
        <w:t xml:space="preserve">Table </w:t>
      </w:r>
      <w:r w:rsidR="006868AD" w:rsidRPr="00FC0540">
        <w:t>S</w:t>
      </w:r>
      <w:r w:rsidR="00BF2CAE" w:rsidRPr="00FC0540">
        <w:t>3</w:t>
      </w:r>
      <w:r w:rsidR="00CC67FF" w:rsidRPr="00FC0540">
        <w:t>.</w:t>
      </w:r>
      <w:r w:rsidR="00141875" w:rsidRPr="00FC0540">
        <w:t xml:space="preserve"> </w:t>
      </w:r>
      <w:r w:rsidR="00141875" w:rsidRPr="00FC0540">
        <w:rPr>
          <w:bCs w:val="0"/>
        </w:rPr>
        <w:t xml:space="preserve">Table of all proteins found to belong to terminal node biological processes from functional enrichment analysis. Table contains transcript/protein ID, top BLASTX similarity search result, proposed cell location based on BLASTX similarity search, expression pattern of transcript/protein based on ANOVA-like test in </w:t>
      </w:r>
      <w:proofErr w:type="spellStart"/>
      <w:r w:rsidR="00AE04BF" w:rsidRPr="00FC0540">
        <w:rPr>
          <w:bCs w:val="0"/>
        </w:rPr>
        <w:t>edgeR</w:t>
      </w:r>
      <w:proofErr w:type="spellEnd"/>
      <w:r w:rsidR="00141875" w:rsidRPr="00FC0540">
        <w:rPr>
          <w:bCs w:val="0"/>
        </w:rPr>
        <w:t xml:space="preserve"> comparing all treatment combinations, cluster of heatmap (Fig</w:t>
      </w:r>
      <w:r w:rsidR="002A72D9" w:rsidRPr="00FC0540">
        <w:rPr>
          <w:bCs w:val="0"/>
        </w:rPr>
        <w:t>ure</w:t>
      </w:r>
      <w:r w:rsidR="00141875" w:rsidRPr="00FC0540">
        <w:rPr>
          <w:bCs w:val="0"/>
        </w:rPr>
        <w:t xml:space="preserve"> 3a), description of terminal node biological process obtained through enrichment analysis, and whether or not the transcript/protein was found to be unique to a specific biological process. All BLASTX hits were with red algae unless otherwise specified within table.</w:t>
      </w:r>
    </w:p>
    <w:tbl>
      <w:tblPr>
        <w:tblW w:w="4946" w:type="pct"/>
        <w:tblLayout w:type="fixed"/>
        <w:tblLook w:val="04A0" w:firstRow="1" w:lastRow="0" w:firstColumn="1" w:lastColumn="0" w:noHBand="0" w:noVBand="1"/>
      </w:tblPr>
      <w:tblGrid>
        <w:gridCol w:w="1143"/>
        <w:gridCol w:w="1288"/>
        <w:gridCol w:w="1418"/>
        <w:gridCol w:w="1427"/>
        <w:gridCol w:w="999"/>
        <w:gridCol w:w="1852"/>
        <w:gridCol w:w="839"/>
      </w:tblGrid>
      <w:tr w:rsidR="0073112E" w:rsidRPr="00272DC7" w14:paraId="3029DD14" w14:textId="77777777" w:rsidTr="0073112E">
        <w:trPr>
          <w:trHeight w:val="320"/>
        </w:trPr>
        <w:tc>
          <w:tcPr>
            <w:tcW w:w="637" w:type="pct"/>
            <w:tcBorders>
              <w:top w:val="single" w:sz="4" w:space="0" w:color="auto"/>
              <w:left w:val="nil"/>
              <w:bottom w:val="single" w:sz="4" w:space="0" w:color="auto"/>
              <w:right w:val="nil"/>
            </w:tcBorders>
            <w:shd w:val="clear" w:color="auto" w:fill="auto"/>
            <w:noWrap/>
            <w:vAlign w:val="bottom"/>
            <w:hideMark/>
          </w:tcPr>
          <w:p w14:paraId="42181B4D"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Transcript /protein ID</w:t>
            </w:r>
          </w:p>
        </w:tc>
        <w:tc>
          <w:tcPr>
            <w:tcW w:w="718" w:type="pct"/>
            <w:tcBorders>
              <w:top w:val="single" w:sz="4" w:space="0" w:color="auto"/>
              <w:left w:val="nil"/>
              <w:bottom w:val="single" w:sz="4" w:space="0" w:color="auto"/>
              <w:right w:val="nil"/>
            </w:tcBorders>
            <w:shd w:val="clear" w:color="auto" w:fill="auto"/>
            <w:noWrap/>
            <w:vAlign w:val="bottom"/>
            <w:hideMark/>
          </w:tcPr>
          <w:p w14:paraId="31DC3E34"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BLASTX similarity result</w:t>
            </w:r>
          </w:p>
        </w:tc>
        <w:tc>
          <w:tcPr>
            <w:tcW w:w="791" w:type="pct"/>
            <w:tcBorders>
              <w:top w:val="single" w:sz="4" w:space="0" w:color="auto"/>
              <w:left w:val="nil"/>
              <w:bottom w:val="single" w:sz="4" w:space="0" w:color="auto"/>
              <w:right w:val="nil"/>
            </w:tcBorders>
            <w:shd w:val="clear" w:color="auto" w:fill="auto"/>
            <w:noWrap/>
            <w:vAlign w:val="bottom"/>
            <w:hideMark/>
          </w:tcPr>
          <w:p w14:paraId="694B1393"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Proposed cell location</w:t>
            </w:r>
          </w:p>
        </w:tc>
        <w:tc>
          <w:tcPr>
            <w:tcW w:w="796" w:type="pct"/>
            <w:tcBorders>
              <w:top w:val="single" w:sz="4" w:space="0" w:color="auto"/>
              <w:left w:val="nil"/>
              <w:bottom w:val="single" w:sz="4" w:space="0" w:color="auto"/>
              <w:right w:val="nil"/>
            </w:tcBorders>
            <w:shd w:val="clear" w:color="auto" w:fill="auto"/>
            <w:noWrap/>
            <w:vAlign w:val="bottom"/>
            <w:hideMark/>
          </w:tcPr>
          <w:p w14:paraId="003AE192"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Expression pattern</w:t>
            </w:r>
          </w:p>
        </w:tc>
        <w:tc>
          <w:tcPr>
            <w:tcW w:w="557" w:type="pct"/>
            <w:tcBorders>
              <w:top w:val="single" w:sz="4" w:space="0" w:color="auto"/>
              <w:left w:val="nil"/>
              <w:bottom w:val="single" w:sz="4" w:space="0" w:color="auto"/>
              <w:right w:val="nil"/>
            </w:tcBorders>
            <w:shd w:val="clear" w:color="auto" w:fill="auto"/>
            <w:noWrap/>
            <w:vAlign w:val="bottom"/>
            <w:hideMark/>
          </w:tcPr>
          <w:p w14:paraId="6DEC587B"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Heatmap cluster</w:t>
            </w:r>
          </w:p>
        </w:tc>
        <w:tc>
          <w:tcPr>
            <w:tcW w:w="1033" w:type="pct"/>
            <w:tcBorders>
              <w:top w:val="single" w:sz="4" w:space="0" w:color="auto"/>
              <w:left w:val="nil"/>
              <w:bottom w:val="single" w:sz="4" w:space="0" w:color="auto"/>
              <w:right w:val="nil"/>
            </w:tcBorders>
            <w:shd w:val="clear" w:color="auto" w:fill="auto"/>
            <w:vAlign w:val="bottom"/>
            <w:hideMark/>
          </w:tcPr>
          <w:p w14:paraId="1F0B5A9A"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Description of biological process</w:t>
            </w:r>
          </w:p>
        </w:tc>
        <w:tc>
          <w:tcPr>
            <w:tcW w:w="468" w:type="pct"/>
            <w:tcBorders>
              <w:top w:val="single" w:sz="4" w:space="0" w:color="auto"/>
              <w:left w:val="nil"/>
              <w:bottom w:val="single" w:sz="4" w:space="0" w:color="auto"/>
              <w:right w:val="nil"/>
            </w:tcBorders>
            <w:shd w:val="clear" w:color="auto" w:fill="auto"/>
            <w:noWrap/>
            <w:vAlign w:val="bottom"/>
            <w:hideMark/>
          </w:tcPr>
          <w:p w14:paraId="119F87CF" w14:textId="77777777" w:rsidR="00141875" w:rsidRPr="00604B1D" w:rsidRDefault="00141875" w:rsidP="00DF1EE8">
            <w:pPr>
              <w:rPr>
                <w:rFonts w:eastAsia="Times New Roman"/>
                <w:b/>
                <w:bCs w:val="0"/>
                <w:color w:val="000000"/>
                <w:sz w:val="18"/>
                <w:szCs w:val="18"/>
                <w:lang w:eastAsia="en-GB"/>
              </w:rPr>
            </w:pPr>
            <w:r w:rsidRPr="00604B1D">
              <w:rPr>
                <w:rFonts w:eastAsia="Times New Roman"/>
                <w:bCs w:val="0"/>
                <w:color w:val="000000"/>
                <w:sz w:val="18"/>
                <w:szCs w:val="18"/>
                <w:lang w:eastAsia="en-GB"/>
              </w:rPr>
              <w:t>Unique to process</w:t>
            </w:r>
          </w:p>
        </w:tc>
      </w:tr>
      <w:tr w:rsidR="0073112E" w:rsidRPr="00347C11" w14:paraId="329219B1" w14:textId="77777777" w:rsidTr="0073112E">
        <w:trPr>
          <w:trHeight w:val="232"/>
        </w:trPr>
        <w:tc>
          <w:tcPr>
            <w:tcW w:w="637" w:type="pct"/>
            <w:tcBorders>
              <w:top w:val="nil"/>
              <w:left w:val="nil"/>
              <w:bottom w:val="nil"/>
              <w:right w:val="nil"/>
            </w:tcBorders>
            <w:shd w:val="clear" w:color="auto" w:fill="auto"/>
            <w:noWrap/>
            <w:vAlign w:val="center"/>
            <w:hideMark/>
          </w:tcPr>
          <w:p w14:paraId="511309A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DN72649_c1_g2_i2</w:t>
            </w:r>
          </w:p>
        </w:tc>
        <w:tc>
          <w:tcPr>
            <w:tcW w:w="718" w:type="pct"/>
            <w:tcBorders>
              <w:top w:val="nil"/>
              <w:left w:val="nil"/>
              <w:bottom w:val="nil"/>
              <w:right w:val="nil"/>
            </w:tcBorders>
            <w:shd w:val="clear" w:color="auto" w:fill="auto"/>
            <w:vAlign w:val="center"/>
            <w:hideMark/>
          </w:tcPr>
          <w:p w14:paraId="626721A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ribulokinase</w:t>
            </w:r>
            <w:proofErr w:type="spellEnd"/>
          </w:p>
        </w:tc>
        <w:tc>
          <w:tcPr>
            <w:tcW w:w="791" w:type="pct"/>
            <w:tcBorders>
              <w:top w:val="nil"/>
              <w:left w:val="nil"/>
              <w:bottom w:val="nil"/>
              <w:right w:val="nil"/>
            </w:tcBorders>
            <w:shd w:val="clear" w:color="auto" w:fill="auto"/>
            <w:noWrap/>
            <w:vAlign w:val="center"/>
            <w:hideMark/>
          </w:tcPr>
          <w:p w14:paraId="29826AB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0B44DC0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6BB9C17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503F288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detection of biotic stimulus, heterocycle biosynthetic process, reductive pentose-phosphate cycle, photosystem II assembly, chloroplast organisation, shoot system morphogenesis, regulation of hydrogen peroxide </w:t>
            </w:r>
            <w:r w:rsidRPr="00347C11">
              <w:rPr>
                <w:rFonts w:eastAsia="Times New Roman"/>
                <w:bCs w:val="0"/>
                <w:color w:val="000000"/>
                <w:sz w:val="19"/>
                <w:szCs w:val="19"/>
                <w:lang w:eastAsia="en-GB"/>
              </w:rPr>
              <w:lastRenderedPageBreak/>
              <w:t>metabolism, regulation of protein dephosphorylation, regulation of plant-type hypersensitive response, response to chitin</w:t>
            </w:r>
          </w:p>
        </w:tc>
        <w:tc>
          <w:tcPr>
            <w:tcW w:w="468" w:type="pct"/>
            <w:tcBorders>
              <w:top w:val="nil"/>
              <w:left w:val="nil"/>
              <w:bottom w:val="nil"/>
              <w:right w:val="nil"/>
            </w:tcBorders>
            <w:shd w:val="clear" w:color="auto" w:fill="auto"/>
            <w:noWrap/>
            <w:vAlign w:val="center"/>
            <w:hideMark/>
          </w:tcPr>
          <w:p w14:paraId="22019A8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N</w:t>
            </w:r>
          </w:p>
        </w:tc>
      </w:tr>
      <w:tr w:rsidR="0073112E" w:rsidRPr="00347C11" w14:paraId="175717D1" w14:textId="77777777" w:rsidTr="0073112E">
        <w:trPr>
          <w:trHeight w:val="232"/>
        </w:trPr>
        <w:tc>
          <w:tcPr>
            <w:tcW w:w="637" w:type="pct"/>
            <w:tcBorders>
              <w:top w:val="nil"/>
              <w:left w:val="nil"/>
              <w:bottom w:val="nil"/>
              <w:right w:val="nil"/>
            </w:tcBorders>
            <w:shd w:val="clear" w:color="auto" w:fill="auto"/>
            <w:noWrap/>
            <w:vAlign w:val="center"/>
            <w:hideMark/>
          </w:tcPr>
          <w:p w14:paraId="29F05D5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DN74711_c1_g3_i1</w:t>
            </w:r>
          </w:p>
        </w:tc>
        <w:tc>
          <w:tcPr>
            <w:tcW w:w="718" w:type="pct"/>
            <w:tcBorders>
              <w:top w:val="nil"/>
              <w:left w:val="nil"/>
              <w:bottom w:val="nil"/>
              <w:right w:val="nil"/>
            </w:tcBorders>
            <w:shd w:val="clear" w:color="auto" w:fill="auto"/>
            <w:vAlign w:val="center"/>
            <w:hideMark/>
          </w:tcPr>
          <w:p w14:paraId="0538A0E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green alg</w:t>
            </w:r>
            <w:r>
              <w:rPr>
                <w:rFonts w:eastAsia="Times New Roman"/>
                <w:bCs w:val="0"/>
                <w:color w:val="000000"/>
                <w:sz w:val="19"/>
                <w:szCs w:val="19"/>
                <w:lang w:eastAsia="en-GB"/>
              </w:rPr>
              <w:t>ae hit</w:t>
            </w:r>
            <w:r w:rsidRPr="00347C11">
              <w:rPr>
                <w:rFonts w:eastAsia="Times New Roman"/>
                <w:bCs w:val="0"/>
                <w:color w:val="000000"/>
                <w:sz w:val="19"/>
                <w:szCs w:val="19"/>
                <w:lang w:eastAsia="en-GB"/>
              </w:rPr>
              <w:t xml:space="preserve">, </w:t>
            </w:r>
            <w:proofErr w:type="spellStart"/>
            <w:r w:rsidRPr="00347C11">
              <w:rPr>
                <w:rFonts w:eastAsia="Times New Roman"/>
                <w:bCs w:val="0"/>
                <w:color w:val="000000"/>
                <w:sz w:val="19"/>
                <w:szCs w:val="19"/>
                <w:lang w:eastAsia="en-GB"/>
              </w:rPr>
              <w:t>Trebouxia</w:t>
            </w:r>
            <w:proofErr w:type="spellEnd"/>
            <w:r w:rsidRPr="00347C11">
              <w:rPr>
                <w:rFonts w:eastAsia="Times New Roman"/>
                <w:bCs w:val="0"/>
                <w:color w:val="000000"/>
                <w:sz w:val="19"/>
                <w:szCs w:val="19"/>
                <w:lang w:eastAsia="en-GB"/>
              </w:rPr>
              <w:t xml:space="preserve"> 2Fe-2S ferredoxin-like</w:t>
            </w:r>
          </w:p>
        </w:tc>
        <w:tc>
          <w:tcPr>
            <w:tcW w:w="791" w:type="pct"/>
            <w:tcBorders>
              <w:top w:val="nil"/>
              <w:left w:val="nil"/>
              <w:bottom w:val="nil"/>
              <w:right w:val="nil"/>
            </w:tcBorders>
            <w:shd w:val="clear" w:color="auto" w:fill="auto"/>
            <w:noWrap/>
            <w:vAlign w:val="center"/>
            <w:hideMark/>
          </w:tcPr>
          <w:p w14:paraId="688090E8"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274404D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779E5B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1A6FBB1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reductive pentose-phosphate cycle</w:t>
            </w:r>
          </w:p>
        </w:tc>
        <w:tc>
          <w:tcPr>
            <w:tcW w:w="468" w:type="pct"/>
            <w:tcBorders>
              <w:top w:val="nil"/>
              <w:left w:val="nil"/>
              <w:bottom w:val="nil"/>
              <w:right w:val="nil"/>
            </w:tcBorders>
            <w:shd w:val="clear" w:color="auto" w:fill="auto"/>
            <w:noWrap/>
            <w:vAlign w:val="center"/>
            <w:hideMark/>
          </w:tcPr>
          <w:p w14:paraId="4B6907A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2278AB4B" w14:textId="77777777" w:rsidTr="0073112E">
        <w:trPr>
          <w:trHeight w:val="232"/>
        </w:trPr>
        <w:tc>
          <w:tcPr>
            <w:tcW w:w="637" w:type="pct"/>
            <w:tcBorders>
              <w:top w:val="nil"/>
              <w:left w:val="nil"/>
              <w:bottom w:val="nil"/>
              <w:right w:val="nil"/>
            </w:tcBorders>
            <w:shd w:val="clear" w:color="auto" w:fill="auto"/>
            <w:noWrap/>
            <w:vAlign w:val="center"/>
            <w:hideMark/>
          </w:tcPr>
          <w:p w14:paraId="03395C5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DN70344_c0_g1_i2</w:t>
            </w:r>
          </w:p>
        </w:tc>
        <w:tc>
          <w:tcPr>
            <w:tcW w:w="718" w:type="pct"/>
            <w:tcBorders>
              <w:top w:val="nil"/>
              <w:left w:val="nil"/>
              <w:bottom w:val="nil"/>
              <w:right w:val="nil"/>
            </w:tcBorders>
            <w:shd w:val="clear" w:color="auto" w:fill="auto"/>
            <w:vAlign w:val="center"/>
            <w:hideMark/>
          </w:tcPr>
          <w:p w14:paraId="4A98E81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6-phosphogluconate dehydro</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genase</w:t>
            </w:r>
            <w:proofErr w:type="spellEnd"/>
            <w:r w:rsidRPr="00347C11">
              <w:rPr>
                <w:rFonts w:eastAsia="Times New Roman"/>
                <w:bCs w:val="0"/>
                <w:color w:val="000000"/>
                <w:sz w:val="19"/>
                <w:szCs w:val="19"/>
                <w:lang w:eastAsia="en-GB"/>
              </w:rPr>
              <w:t xml:space="preserve"> NAD-binding domain-containing protein</w:t>
            </w:r>
          </w:p>
        </w:tc>
        <w:tc>
          <w:tcPr>
            <w:tcW w:w="791" w:type="pct"/>
            <w:tcBorders>
              <w:top w:val="nil"/>
              <w:left w:val="nil"/>
              <w:bottom w:val="nil"/>
              <w:right w:val="nil"/>
            </w:tcBorders>
            <w:shd w:val="clear" w:color="auto" w:fill="auto"/>
            <w:noWrap/>
            <w:vAlign w:val="center"/>
            <w:hideMark/>
          </w:tcPr>
          <w:p w14:paraId="670BF2A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cytosol</w:t>
            </w:r>
          </w:p>
        </w:tc>
        <w:tc>
          <w:tcPr>
            <w:tcW w:w="796" w:type="pct"/>
            <w:tcBorders>
              <w:top w:val="nil"/>
              <w:left w:val="nil"/>
              <w:bottom w:val="nil"/>
              <w:right w:val="nil"/>
            </w:tcBorders>
            <w:shd w:val="clear" w:color="auto" w:fill="auto"/>
            <w:noWrap/>
            <w:vAlign w:val="center"/>
            <w:hideMark/>
          </w:tcPr>
          <w:p w14:paraId="5068C1A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5DDA7E2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226B7D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valine catabolic process</w:t>
            </w:r>
          </w:p>
        </w:tc>
        <w:tc>
          <w:tcPr>
            <w:tcW w:w="468" w:type="pct"/>
            <w:tcBorders>
              <w:top w:val="nil"/>
              <w:left w:val="nil"/>
              <w:bottom w:val="nil"/>
              <w:right w:val="nil"/>
            </w:tcBorders>
            <w:shd w:val="clear" w:color="auto" w:fill="auto"/>
            <w:noWrap/>
            <w:vAlign w:val="center"/>
            <w:hideMark/>
          </w:tcPr>
          <w:p w14:paraId="4267C83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0868A2E5" w14:textId="77777777" w:rsidTr="0073112E">
        <w:trPr>
          <w:trHeight w:val="232"/>
        </w:trPr>
        <w:tc>
          <w:tcPr>
            <w:tcW w:w="637" w:type="pct"/>
            <w:tcBorders>
              <w:top w:val="nil"/>
              <w:left w:val="nil"/>
              <w:bottom w:val="nil"/>
              <w:right w:val="nil"/>
            </w:tcBorders>
            <w:shd w:val="clear" w:color="auto" w:fill="auto"/>
            <w:noWrap/>
            <w:vAlign w:val="center"/>
            <w:hideMark/>
          </w:tcPr>
          <w:p w14:paraId="0A50106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DN74502_c6_g1_i1</w:t>
            </w:r>
          </w:p>
        </w:tc>
        <w:tc>
          <w:tcPr>
            <w:tcW w:w="718" w:type="pct"/>
            <w:tcBorders>
              <w:top w:val="nil"/>
              <w:left w:val="nil"/>
              <w:bottom w:val="nil"/>
              <w:right w:val="nil"/>
            </w:tcBorders>
            <w:shd w:val="clear" w:color="auto" w:fill="auto"/>
            <w:vAlign w:val="center"/>
            <w:hideMark/>
          </w:tcPr>
          <w:p w14:paraId="3C91DCB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serine-pyruvate amino</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w:t>
            </w:r>
          </w:p>
        </w:tc>
        <w:tc>
          <w:tcPr>
            <w:tcW w:w="791" w:type="pct"/>
            <w:tcBorders>
              <w:top w:val="nil"/>
              <w:left w:val="nil"/>
              <w:bottom w:val="nil"/>
              <w:right w:val="nil"/>
            </w:tcBorders>
            <w:shd w:val="clear" w:color="auto" w:fill="auto"/>
            <w:noWrap/>
            <w:vAlign w:val="center"/>
            <w:hideMark/>
          </w:tcPr>
          <w:p w14:paraId="42CD3325"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52FE40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94C260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695CB96E"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glycine metabolic process</w:t>
            </w:r>
          </w:p>
        </w:tc>
        <w:tc>
          <w:tcPr>
            <w:tcW w:w="468" w:type="pct"/>
            <w:tcBorders>
              <w:top w:val="nil"/>
              <w:left w:val="nil"/>
              <w:bottom w:val="nil"/>
              <w:right w:val="nil"/>
            </w:tcBorders>
            <w:shd w:val="clear" w:color="auto" w:fill="auto"/>
            <w:noWrap/>
            <w:vAlign w:val="center"/>
            <w:hideMark/>
          </w:tcPr>
          <w:p w14:paraId="2542A2B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46789E6E" w14:textId="77777777" w:rsidTr="0073112E">
        <w:trPr>
          <w:trHeight w:val="232"/>
        </w:trPr>
        <w:tc>
          <w:tcPr>
            <w:tcW w:w="637" w:type="pct"/>
            <w:tcBorders>
              <w:top w:val="nil"/>
              <w:left w:val="nil"/>
              <w:bottom w:val="nil"/>
              <w:right w:val="nil"/>
            </w:tcBorders>
            <w:shd w:val="clear" w:color="auto" w:fill="auto"/>
            <w:noWrap/>
            <w:vAlign w:val="center"/>
            <w:hideMark/>
          </w:tcPr>
          <w:p w14:paraId="313DD3F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DN74877_c1_g1_i1</w:t>
            </w:r>
          </w:p>
        </w:tc>
        <w:tc>
          <w:tcPr>
            <w:tcW w:w="718" w:type="pct"/>
            <w:tcBorders>
              <w:top w:val="nil"/>
              <w:left w:val="nil"/>
              <w:bottom w:val="nil"/>
              <w:right w:val="nil"/>
            </w:tcBorders>
            <w:shd w:val="clear" w:color="auto" w:fill="auto"/>
            <w:vAlign w:val="center"/>
            <w:hideMark/>
          </w:tcPr>
          <w:p w14:paraId="2BF90A4A"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glyceralde-</w:t>
            </w:r>
            <w:r w:rsidRPr="00347C11">
              <w:rPr>
                <w:rFonts w:eastAsia="Times New Roman"/>
                <w:bCs w:val="0"/>
                <w:color w:val="000000"/>
                <w:sz w:val="19"/>
                <w:szCs w:val="19"/>
                <w:lang w:eastAsia="en-GB"/>
              </w:rPr>
              <w:t>hyde-3-phosphate dehydro</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genase</w:t>
            </w:r>
            <w:proofErr w:type="spellEnd"/>
          </w:p>
        </w:tc>
        <w:tc>
          <w:tcPr>
            <w:tcW w:w="791" w:type="pct"/>
            <w:tcBorders>
              <w:top w:val="nil"/>
              <w:left w:val="nil"/>
              <w:bottom w:val="nil"/>
              <w:right w:val="nil"/>
            </w:tcBorders>
            <w:shd w:val="clear" w:color="auto" w:fill="auto"/>
            <w:noWrap/>
            <w:vAlign w:val="center"/>
            <w:hideMark/>
          </w:tcPr>
          <w:p w14:paraId="0C0C79C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55A85FF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3775978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5434DB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reductive pentose-phosphate cycle, negative regulation of telomere maintenance, nucleotide-excision repair, DNA incision,3’-to lesion</w:t>
            </w:r>
          </w:p>
        </w:tc>
        <w:tc>
          <w:tcPr>
            <w:tcW w:w="468" w:type="pct"/>
            <w:tcBorders>
              <w:top w:val="nil"/>
              <w:left w:val="nil"/>
              <w:bottom w:val="nil"/>
              <w:right w:val="nil"/>
            </w:tcBorders>
            <w:shd w:val="clear" w:color="auto" w:fill="auto"/>
            <w:noWrap/>
            <w:vAlign w:val="center"/>
            <w:hideMark/>
          </w:tcPr>
          <w:p w14:paraId="720860DB"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N</w:t>
            </w:r>
          </w:p>
        </w:tc>
      </w:tr>
      <w:tr w:rsidR="0073112E" w:rsidRPr="00347C11" w14:paraId="2B709709" w14:textId="77777777" w:rsidTr="0073112E">
        <w:trPr>
          <w:trHeight w:val="232"/>
        </w:trPr>
        <w:tc>
          <w:tcPr>
            <w:tcW w:w="637" w:type="pct"/>
            <w:tcBorders>
              <w:top w:val="nil"/>
              <w:left w:val="nil"/>
              <w:bottom w:val="nil"/>
              <w:right w:val="nil"/>
            </w:tcBorders>
            <w:shd w:val="clear" w:color="auto" w:fill="auto"/>
            <w:noWrap/>
            <w:vAlign w:val="center"/>
            <w:hideMark/>
          </w:tcPr>
          <w:p w14:paraId="1C62B8F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DN76886_c0_g1_i1</w:t>
            </w:r>
          </w:p>
        </w:tc>
        <w:tc>
          <w:tcPr>
            <w:tcW w:w="718" w:type="pct"/>
            <w:tcBorders>
              <w:top w:val="nil"/>
              <w:left w:val="nil"/>
              <w:bottom w:val="nil"/>
              <w:right w:val="nil"/>
            </w:tcBorders>
            <w:shd w:val="clear" w:color="auto" w:fill="auto"/>
            <w:vAlign w:val="center"/>
            <w:hideMark/>
          </w:tcPr>
          <w:p w14:paraId="125E3E1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soybean hit, putative </w:t>
            </w:r>
            <w:proofErr w:type="spellStart"/>
            <w:r w:rsidRPr="00347C11">
              <w:rPr>
                <w:rFonts w:eastAsia="Times New Roman"/>
                <w:bCs w:val="0"/>
                <w:color w:val="000000"/>
                <w:sz w:val="19"/>
                <w:szCs w:val="19"/>
                <w:lang w:eastAsia="en-GB"/>
              </w:rPr>
              <w:t>oxido</w:t>
            </w:r>
            <w:proofErr w:type="spellEnd"/>
            <w:r>
              <w:rPr>
                <w:rFonts w:eastAsia="Times New Roman"/>
                <w:bCs w:val="0"/>
                <w:color w:val="000000"/>
                <w:sz w:val="19"/>
                <w:szCs w:val="19"/>
                <w:lang w:eastAsia="en-GB"/>
              </w:rPr>
              <w:t>-</w:t>
            </w:r>
            <w:r w:rsidRPr="00347C11">
              <w:rPr>
                <w:rFonts w:eastAsia="Times New Roman"/>
                <w:bCs w:val="0"/>
                <w:color w:val="000000"/>
                <w:sz w:val="19"/>
                <w:szCs w:val="19"/>
                <w:lang w:eastAsia="en-GB"/>
              </w:rPr>
              <w:t>reductase</w:t>
            </w:r>
          </w:p>
        </w:tc>
        <w:tc>
          <w:tcPr>
            <w:tcW w:w="791" w:type="pct"/>
            <w:tcBorders>
              <w:top w:val="nil"/>
              <w:left w:val="nil"/>
              <w:bottom w:val="nil"/>
              <w:right w:val="nil"/>
            </w:tcBorders>
            <w:shd w:val="clear" w:color="auto" w:fill="auto"/>
            <w:noWrap/>
            <w:vAlign w:val="center"/>
            <w:hideMark/>
          </w:tcPr>
          <w:p w14:paraId="447FA1FC"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6F7626E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2BF240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19D66F6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valine catabolic process</w:t>
            </w:r>
          </w:p>
        </w:tc>
        <w:tc>
          <w:tcPr>
            <w:tcW w:w="468" w:type="pct"/>
            <w:tcBorders>
              <w:top w:val="nil"/>
              <w:left w:val="nil"/>
              <w:bottom w:val="nil"/>
              <w:right w:val="nil"/>
            </w:tcBorders>
            <w:shd w:val="clear" w:color="auto" w:fill="auto"/>
            <w:noWrap/>
            <w:vAlign w:val="center"/>
            <w:hideMark/>
          </w:tcPr>
          <w:p w14:paraId="527D494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798F169F" w14:textId="77777777" w:rsidTr="0073112E">
        <w:trPr>
          <w:trHeight w:val="232"/>
        </w:trPr>
        <w:tc>
          <w:tcPr>
            <w:tcW w:w="637" w:type="pct"/>
            <w:tcBorders>
              <w:top w:val="nil"/>
              <w:left w:val="nil"/>
              <w:bottom w:val="nil"/>
              <w:right w:val="nil"/>
            </w:tcBorders>
            <w:shd w:val="clear" w:color="auto" w:fill="auto"/>
            <w:noWrap/>
            <w:vAlign w:val="center"/>
            <w:hideMark/>
          </w:tcPr>
          <w:p w14:paraId="195F0C3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DN70418_c0_g2_i2</w:t>
            </w:r>
          </w:p>
        </w:tc>
        <w:tc>
          <w:tcPr>
            <w:tcW w:w="718" w:type="pct"/>
            <w:tcBorders>
              <w:top w:val="nil"/>
              <w:left w:val="nil"/>
              <w:bottom w:val="nil"/>
              <w:right w:val="nil"/>
            </w:tcBorders>
            <w:shd w:val="clear" w:color="auto" w:fill="auto"/>
            <w:vAlign w:val="center"/>
            <w:hideMark/>
          </w:tcPr>
          <w:p w14:paraId="6E653D13"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PsbB</w:t>
            </w:r>
            <w:proofErr w:type="spellEnd"/>
            <w:r w:rsidRPr="00347C11">
              <w:rPr>
                <w:rFonts w:eastAsia="Times New Roman"/>
                <w:bCs w:val="0"/>
                <w:color w:val="000000"/>
                <w:sz w:val="19"/>
                <w:szCs w:val="19"/>
                <w:lang w:eastAsia="en-GB"/>
              </w:rPr>
              <w:t xml:space="preserve"> mRNA maturation factor Mbb1</w:t>
            </w:r>
          </w:p>
        </w:tc>
        <w:tc>
          <w:tcPr>
            <w:tcW w:w="791" w:type="pct"/>
            <w:tcBorders>
              <w:top w:val="nil"/>
              <w:left w:val="nil"/>
              <w:bottom w:val="nil"/>
              <w:right w:val="nil"/>
            </w:tcBorders>
            <w:shd w:val="clear" w:color="auto" w:fill="auto"/>
            <w:noWrap/>
            <w:vAlign w:val="center"/>
            <w:hideMark/>
          </w:tcPr>
          <w:p w14:paraId="3CE4F59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36AE8D1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61670F5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49C40C4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photosystem II assembly, chloroplast assembly, shoot system morphogenesis, regulation of protein dephosphorylation</w:t>
            </w:r>
          </w:p>
        </w:tc>
        <w:tc>
          <w:tcPr>
            <w:tcW w:w="468" w:type="pct"/>
            <w:tcBorders>
              <w:top w:val="nil"/>
              <w:left w:val="nil"/>
              <w:bottom w:val="nil"/>
              <w:right w:val="nil"/>
            </w:tcBorders>
            <w:shd w:val="clear" w:color="auto" w:fill="auto"/>
            <w:noWrap/>
            <w:vAlign w:val="center"/>
            <w:hideMark/>
          </w:tcPr>
          <w:p w14:paraId="0117651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3C93E820" w14:textId="77777777" w:rsidTr="0073112E">
        <w:trPr>
          <w:trHeight w:val="232"/>
        </w:trPr>
        <w:tc>
          <w:tcPr>
            <w:tcW w:w="637" w:type="pct"/>
            <w:tcBorders>
              <w:top w:val="nil"/>
              <w:left w:val="nil"/>
              <w:bottom w:val="nil"/>
              <w:right w:val="nil"/>
            </w:tcBorders>
            <w:shd w:val="clear" w:color="auto" w:fill="auto"/>
            <w:noWrap/>
            <w:vAlign w:val="center"/>
            <w:hideMark/>
          </w:tcPr>
          <w:p w14:paraId="0163D31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DN75582_c0_g4_i1</w:t>
            </w:r>
          </w:p>
        </w:tc>
        <w:tc>
          <w:tcPr>
            <w:tcW w:w="718" w:type="pct"/>
            <w:tcBorders>
              <w:top w:val="nil"/>
              <w:left w:val="nil"/>
              <w:bottom w:val="nil"/>
              <w:right w:val="nil"/>
            </w:tcBorders>
            <w:shd w:val="clear" w:color="auto" w:fill="auto"/>
            <w:vAlign w:val="center"/>
            <w:hideMark/>
          </w:tcPr>
          <w:p w14:paraId="6DA5EC0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fructose-bisphosphate aldolase</w:t>
            </w:r>
          </w:p>
        </w:tc>
        <w:tc>
          <w:tcPr>
            <w:tcW w:w="791" w:type="pct"/>
            <w:tcBorders>
              <w:top w:val="nil"/>
              <w:left w:val="nil"/>
              <w:bottom w:val="nil"/>
              <w:right w:val="nil"/>
            </w:tcBorders>
            <w:shd w:val="clear" w:color="auto" w:fill="auto"/>
            <w:noWrap/>
            <w:vAlign w:val="center"/>
            <w:hideMark/>
          </w:tcPr>
          <w:p w14:paraId="115BA341"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392BF2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FBCA43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2F3E84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glycolytic process</w:t>
            </w:r>
          </w:p>
        </w:tc>
        <w:tc>
          <w:tcPr>
            <w:tcW w:w="468" w:type="pct"/>
            <w:tcBorders>
              <w:top w:val="nil"/>
              <w:left w:val="nil"/>
              <w:bottom w:val="nil"/>
              <w:right w:val="nil"/>
            </w:tcBorders>
            <w:shd w:val="clear" w:color="auto" w:fill="auto"/>
            <w:noWrap/>
            <w:vAlign w:val="center"/>
            <w:hideMark/>
          </w:tcPr>
          <w:p w14:paraId="1221FA8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2CD7622F" w14:textId="77777777" w:rsidTr="0073112E">
        <w:trPr>
          <w:trHeight w:val="232"/>
        </w:trPr>
        <w:tc>
          <w:tcPr>
            <w:tcW w:w="637" w:type="pct"/>
            <w:tcBorders>
              <w:top w:val="nil"/>
              <w:left w:val="nil"/>
              <w:bottom w:val="nil"/>
              <w:right w:val="nil"/>
            </w:tcBorders>
            <w:shd w:val="clear" w:color="auto" w:fill="auto"/>
            <w:noWrap/>
            <w:vAlign w:val="center"/>
            <w:hideMark/>
          </w:tcPr>
          <w:p w14:paraId="113CF57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DN75582_c0_g4_i2</w:t>
            </w:r>
          </w:p>
        </w:tc>
        <w:tc>
          <w:tcPr>
            <w:tcW w:w="718" w:type="pct"/>
            <w:tcBorders>
              <w:top w:val="nil"/>
              <w:left w:val="nil"/>
              <w:bottom w:val="nil"/>
              <w:right w:val="nil"/>
            </w:tcBorders>
            <w:shd w:val="clear" w:color="auto" w:fill="auto"/>
            <w:vAlign w:val="center"/>
            <w:hideMark/>
          </w:tcPr>
          <w:p w14:paraId="6AA2521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fructose-bisphosphate aldolase</w:t>
            </w:r>
          </w:p>
        </w:tc>
        <w:tc>
          <w:tcPr>
            <w:tcW w:w="791" w:type="pct"/>
            <w:tcBorders>
              <w:top w:val="nil"/>
              <w:left w:val="nil"/>
              <w:bottom w:val="nil"/>
              <w:right w:val="nil"/>
            </w:tcBorders>
            <w:shd w:val="clear" w:color="auto" w:fill="auto"/>
            <w:noWrap/>
            <w:vAlign w:val="center"/>
            <w:hideMark/>
          </w:tcPr>
          <w:p w14:paraId="70331C9B"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73DD5C9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E37126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1CA071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glycolytic process</w:t>
            </w:r>
          </w:p>
        </w:tc>
        <w:tc>
          <w:tcPr>
            <w:tcW w:w="468" w:type="pct"/>
            <w:tcBorders>
              <w:top w:val="nil"/>
              <w:left w:val="nil"/>
              <w:bottom w:val="nil"/>
              <w:right w:val="nil"/>
            </w:tcBorders>
            <w:shd w:val="clear" w:color="auto" w:fill="auto"/>
            <w:noWrap/>
            <w:vAlign w:val="center"/>
            <w:hideMark/>
          </w:tcPr>
          <w:p w14:paraId="6E7F832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2BB8A7AD" w14:textId="77777777" w:rsidTr="0073112E">
        <w:trPr>
          <w:trHeight w:val="232"/>
        </w:trPr>
        <w:tc>
          <w:tcPr>
            <w:tcW w:w="637" w:type="pct"/>
            <w:tcBorders>
              <w:top w:val="nil"/>
              <w:left w:val="nil"/>
              <w:bottom w:val="nil"/>
              <w:right w:val="nil"/>
            </w:tcBorders>
            <w:shd w:val="clear" w:color="auto" w:fill="auto"/>
            <w:noWrap/>
            <w:vAlign w:val="center"/>
            <w:hideMark/>
          </w:tcPr>
          <w:p w14:paraId="5DDE780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DN74152_c0_g1_i4</w:t>
            </w:r>
          </w:p>
        </w:tc>
        <w:tc>
          <w:tcPr>
            <w:tcW w:w="718" w:type="pct"/>
            <w:tcBorders>
              <w:top w:val="nil"/>
              <w:left w:val="nil"/>
              <w:bottom w:val="nil"/>
              <w:right w:val="nil"/>
            </w:tcBorders>
            <w:shd w:val="clear" w:color="auto" w:fill="auto"/>
            <w:vAlign w:val="center"/>
            <w:hideMark/>
          </w:tcPr>
          <w:p w14:paraId="3AAF349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zinc finger protein 771, C2H2-type</w:t>
            </w:r>
          </w:p>
        </w:tc>
        <w:tc>
          <w:tcPr>
            <w:tcW w:w="791" w:type="pct"/>
            <w:tcBorders>
              <w:top w:val="nil"/>
              <w:left w:val="nil"/>
              <w:bottom w:val="nil"/>
              <w:right w:val="nil"/>
            </w:tcBorders>
            <w:shd w:val="clear" w:color="auto" w:fill="auto"/>
            <w:noWrap/>
            <w:vAlign w:val="center"/>
            <w:hideMark/>
          </w:tcPr>
          <w:p w14:paraId="6E80E6A8"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621DB38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87CABC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51D7403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49C87EE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17DF25C1" w14:textId="77777777" w:rsidTr="0073112E">
        <w:trPr>
          <w:trHeight w:val="232"/>
        </w:trPr>
        <w:tc>
          <w:tcPr>
            <w:tcW w:w="637" w:type="pct"/>
            <w:tcBorders>
              <w:top w:val="nil"/>
              <w:left w:val="nil"/>
              <w:bottom w:val="nil"/>
              <w:right w:val="nil"/>
            </w:tcBorders>
            <w:shd w:val="clear" w:color="auto" w:fill="auto"/>
            <w:noWrap/>
            <w:vAlign w:val="center"/>
            <w:hideMark/>
          </w:tcPr>
          <w:p w14:paraId="6605703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DN71318_c0_g5_i1</w:t>
            </w:r>
          </w:p>
        </w:tc>
        <w:tc>
          <w:tcPr>
            <w:tcW w:w="718" w:type="pct"/>
            <w:tcBorders>
              <w:top w:val="nil"/>
              <w:left w:val="nil"/>
              <w:bottom w:val="nil"/>
              <w:right w:val="nil"/>
            </w:tcBorders>
            <w:shd w:val="clear" w:color="auto" w:fill="auto"/>
            <w:vAlign w:val="center"/>
            <w:hideMark/>
          </w:tcPr>
          <w:p w14:paraId="79ADC131"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hyper-</w:t>
            </w:r>
            <w:r w:rsidRPr="00347C11">
              <w:rPr>
                <w:rFonts w:eastAsia="Times New Roman"/>
                <w:bCs w:val="0"/>
                <w:color w:val="000000"/>
                <w:sz w:val="19"/>
                <w:szCs w:val="19"/>
                <w:lang w:eastAsia="en-GB"/>
              </w:rPr>
              <w:t>polarisation-activated voltage-gated potassium channel</w:t>
            </w:r>
          </w:p>
        </w:tc>
        <w:tc>
          <w:tcPr>
            <w:tcW w:w="791" w:type="pct"/>
            <w:tcBorders>
              <w:top w:val="nil"/>
              <w:left w:val="nil"/>
              <w:bottom w:val="nil"/>
              <w:right w:val="nil"/>
            </w:tcBorders>
            <w:shd w:val="clear" w:color="auto" w:fill="auto"/>
            <w:noWrap/>
            <w:vAlign w:val="center"/>
            <w:hideMark/>
          </w:tcPr>
          <w:p w14:paraId="19D97A40"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4733B00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4F5FBE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0BCCA4B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regulation of vitamin metabolic process</w:t>
            </w:r>
          </w:p>
        </w:tc>
        <w:tc>
          <w:tcPr>
            <w:tcW w:w="468" w:type="pct"/>
            <w:tcBorders>
              <w:top w:val="nil"/>
              <w:left w:val="nil"/>
              <w:bottom w:val="nil"/>
              <w:right w:val="nil"/>
            </w:tcBorders>
            <w:shd w:val="clear" w:color="auto" w:fill="auto"/>
            <w:noWrap/>
            <w:vAlign w:val="center"/>
            <w:hideMark/>
          </w:tcPr>
          <w:p w14:paraId="44D76F8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3EF9BD75" w14:textId="77777777" w:rsidTr="0073112E">
        <w:trPr>
          <w:trHeight w:val="232"/>
        </w:trPr>
        <w:tc>
          <w:tcPr>
            <w:tcW w:w="637" w:type="pct"/>
            <w:tcBorders>
              <w:top w:val="nil"/>
              <w:left w:val="nil"/>
              <w:bottom w:val="nil"/>
              <w:right w:val="nil"/>
            </w:tcBorders>
            <w:shd w:val="clear" w:color="auto" w:fill="auto"/>
            <w:noWrap/>
            <w:vAlign w:val="center"/>
            <w:hideMark/>
          </w:tcPr>
          <w:p w14:paraId="66B8130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DN71318_c0_g5_i2</w:t>
            </w:r>
          </w:p>
        </w:tc>
        <w:tc>
          <w:tcPr>
            <w:tcW w:w="718" w:type="pct"/>
            <w:tcBorders>
              <w:top w:val="nil"/>
              <w:left w:val="nil"/>
              <w:bottom w:val="nil"/>
              <w:right w:val="nil"/>
            </w:tcBorders>
            <w:shd w:val="clear" w:color="auto" w:fill="auto"/>
            <w:vAlign w:val="center"/>
            <w:hideMark/>
          </w:tcPr>
          <w:p w14:paraId="3EC01E43"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hyper-</w:t>
            </w:r>
            <w:r w:rsidRPr="00347C11">
              <w:rPr>
                <w:rFonts w:eastAsia="Times New Roman"/>
                <w:bCs w:val="0"/>
                <w:color w:val="000000"/>
                <w:sz w:val="19"/>
                <w:szCs w:val="19"/>
                <w:lang w:eastAsia="en-GB"/>
              </w:rPr>
              <w:t>polarisation-activated voltage-gated potassium channel</w:t>
            </w:r>
          </w:p>
        </w:tc>
        <w:tc>
          <w:tcPr>
            <w:tcW w:w="791" w:type="pct"/>
            <w:tcBorders>
              <w:top w:val="nil"/>
              <w:left w:val="nil"/>
              <w:bottom w:val="nil"/>
              <w:right w:val="nil"/>
            </w:tcBorders>
            <w:shd w:val="clear" w:color="auto" w:fill="auto"/>
            <w:noWrap/>
            <w:vAlign w:val="center"/>
            <w:hideMark/>
          </w:tcPr>
          <w:p w14:paraId="6B55B4D2"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206DD3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6C625E3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14C5B49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regulation of vitamin metabolic process</w:t>
            </w:r>
          </w:p>
        </w:tc>
        <w:tc>
          <w:tcPr>
            <w:tcW w:w="468" w:type="pct"/>
            <w:tcBorders>
              <w:top w:val="nil"/>
              <w:left w:val="nil"/>
              <w:bottom w:val="nil"/>
              <w:right w:val="nil"/>
            </w:tcBorders>
            <w:shd w:val="clear" w:color="auto" w:fill="auto"/>
            <w:noWrap/>
            <w:vAlign w:val="center"/>
            <w:hideMark/>
          </w:tcPr>
          <w:p w14:paraId="7FAD85F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2737D271" w14:textId="77777777" w:rsidTr="0073112E">
        <w:trPr>
          <w:trHeight w:val="232"/>
        </w:trPr>
        <w:tc>
          <w:tcPr>
            <w:tcW w:w="637" w:type="pct"/>
            <w:tcBorders>
              <w:top w:val="nil"/>
              <w:left w:val="nil"/>
              <w:bottom w:val="nil"/>
              <w:right w:val="nil"/>
            </w:tcBorders>
            <w:shd w:val="clear" w:color="auto" w:fill="auto"/>
            <w:noWrap/>
            <w:vAlign w:val="center"/>
            <w:hideMark/>
          </w:tcPr>
          <w:p w14:paraId="0DE6123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DN74481_c13_g2_i1</w:t>
            </w:r>
          </w:p>
        </w:tc>
        <w:tc>
          <w:tcPr>
            <w:tcW w:w="718" w:type="pct"/>
            <w:tcBorders>
              <w:top w:val="nil"/>
              <w:left w:val="nil"/>
              <w:bottom w:val="nil"/>
              <w:right w:val="nil"/>
            </w:tcBorders>
            <w:shd w:val="clear" w:color="auto" w:fill="auto"/>
            <w:vAlign w:val="center"/>
            <w:hideMark/>
          </w:tcPr>
          <w:p w14:paraId="4E5674B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putative plastid 1-deoxy-D-xylulose 5-phosphate </w:t>
            </w:r>
            <w:proofErr w:type="spellStart"/>
            <w:r>
              <w:rPr>
                <w:rFonts w:eastAsia="Times New Roman"/>
                <w:bCs w:val="0"/>
                <w:color w:val="000000"/>
                <w:sz w:val="19"/>
                <w:szCs w:val="19"/>
                <w:lang w:eastAsia="en-GB"/>
              </w:rPr>
              <w:t>reducto</w:t>
            </w:r>
            <w:proofErr w:type="spellEnd"/>
            <w:r>
              <w:rPr>
                <w:rFonts w:eastAsia="Times New Roman"/>
                <w:bCs w:val="0"/>
                <w:color w:val="000000"/>
                <w:sz w:val="19"/>
                <w:szCs w:val="19"/>
                <w:lang w:eastAsia="en-GB"/>
              </w:rPr>
              <w:t>-</w:t>
            </w:r>
            <w:r w:rsidRPr="00347C11">
              <w:rPr>
                <w:rFonts w:eastAsia="Times New Roman"/>
                <w:bCs w:val="0"/>
                <w:color w:val="000000"/>
                <w:sz w:val="19"/>
                <w:szCs w:val="19"/>
                <w:lang w:eastAsia="en-GB"/>
              </w:rPr>
              <w:t>isomerase</w:t>
            </w:r>
          </w:p>
        </w:tc>
        <w:tc>
          <w:tcPr>
            <w:tcW w:w="791" w:type="pct"/>
            <w:tcBorders>
              <w:top w:val="nil"/>
              <w:left w:val="nil"/>
              <w:bottom w:val="nil"/>
              <w:right w:val="nil"/>
            </w:tcBorders>
            <w:shd w:val="clear" w:color="auto" w:fill="auto"/>
            <w:noWrap/>
            <w:vAlign w:val="center"/>
            <w:hideMark/>
          </w:tcPr>
          <w:p w14:paraId="65C97AE8"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7D7D06F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40815F7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E3920F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phospholipid biosynthesis, response to cold</w:t>
            </w:r>
          </w:p>
        </w:tc>
        <w:tc>
          <w:tcPr>
            <w:tcW w:w="468" w:type="pct"/>
            <w:tcBorders>
              <w:top w:val="nil"/>
              <w:left w:val="nil"/>
              <w:bottom w:val="nil"/>
              <w:right w:val="nil"/>
            </w:tcBorders>
            <w:shd w:val="clear" w:color="auto" w:fill="auto"/>
            <w:noWrap/>
            <w:vAlign w:val="center"/>
            <w:hideMark/>
          </w:tcPr>
          <w:p w14:paraId="30B191E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0418FA40" w14:textId="77777777" w:rsidTr="0073112E">
        <w:trPr>
          <w:trHeight w:val="232"/>
        </w:trPr>
        <w:tc>
          <w:tcPr>
            <w:tcW w:w="637" w:type="pct"/>
            <w:tcBorders>
              <w:top w:val="nil"/>
              <w:left w:val="nil"/>
              <w:bottom w:val="nil"/>
              <w:right w:val="nil"/>
            </w:tcBorders>
            <w:shd w:val="clear" w:color="auto" w:fill="auto"/>
            <w:noWrap/>
            <w:vAlign w:val="center"/>
            <w:hideMark/>
          </w:tcPr>
          <w:p w14:paraId="23910C6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DN70500_c0_g1_i1</w:t>
            </w:r>
          </w:p>
        </w:tc>
        <w:tc>
          <w:tcPr>
            <w:tcW w:w="718" w:type="pct"/>
            <w:tcBorders>
              <w:top w:val="nil"/>
              <w:left w:val="nil"/>
              <w:bottom w:val="nil"/>
              <w:right w:val="nil"/>
            </w:tcBorders>
            <w:shd w:val="clear" w:color="auto" w:fill="auto"/>
            <w:vAlign w:val="center"/>
            <w:hideMark/>
          </w:tcPr>
          <w:p w14:paraId="0E9471C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transcription factor YY2 </w:t>
            </w:r>
          </w:p>
        </w:tc>
        <w:tc>
          <w:tcPr>
            <w:tcW w:w="791" w:type="pct"/>
            <w:tcBorders>
              <w:top w:val="nil"/>
              <w:left w:val="nil"/>
              <w:bottom w:val="nil"/>
              <w:right w:val="nil"/>
            </w:tcBorders>
            <w:shd w:val="clear" w:color="auto" w:fill="auto"/>
            <w:noWrap/>
            <w:vAlign w:val="center"/>
            <w:hideMark/>
          </w:tcPr>
          <w:p w14:paraId="6FDCB966"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1C1786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63545C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4C4051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1F04540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4D2FC60A" w14:textId="77777777" w:rsidTr="0073112E">
        <w:trPr>
          <w:trHeight w:val="232"/>
        </w:trPr>
        <w:tc>
          <w:tcPr>
            <w:tcW w:w="637" w:type="pct"/>
            <w:tcBorders>
              <w:top w:val="nil"/>
              <w:left w:val="nil"/>
              <w:bottom w:val="nil"/>
              <w:right w:val="nil"/>
            </w:tcBorders>
            <w:shd w:val="clear" w:color="auto" w:fill="auto"/>
            <w:noWrap/>
            <w:vAlign w:val="center"/>
            <w:hideMark/>
          </w:tcPr>
          <w:p w14:paraId="4D450AF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DN74098_c0_g1_i1</w:t>
            </w:r>
          </w:p>
        </w:tc>
        <w:tc>
          <w:tcPr>
            <w:tcW w:w="718" w:type="pct"/>
            <w:tcBorders>
              <w:top w:val="nil"/>
              <w:left w:val="nil"/>
              <w:bottom w:val="nil"/>
              <w:right w:val="nil"/>
            </w:tcBorders>
            <w:shd w:val="clear" w:color="auto" w:fill="auto"/>
            <w:vAlign w:val="center"/>
            <w:hideMark/>
          </w:tcPr>
          <w:p w14:paraId="6CC29BE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fructose-1,6-bisphosphate aldolase</w:t>
            </w:r>
          </w:p>
        </w:tc>
        <w:tc>
          <w:tcPr>
            <w:tcW w:w="791" w:type="pct"/>
            <w:tcBorders>
              <w:top w:val="nil"/>
              <w:left w:val="nil"/>
              <w:bottom w:val="nil"/>
              <w:right w:val="nil"/>
            </w:tcBorders>
            <w:shd w:val="clear" w:color="auto" w:fill="auto"/>
            <w:noWrap/>
            <w:vAlign w:val="center"/>
            <w:hideMark/>
          </w:tcPr>
          <w:p w14:paraId="00E364D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2E9FDB2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45A8361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61303FE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glycolytic process</w:t>
            </w:r>
          </w:p>
        </w:tc>
        <w:tc>
          <w:tcPr>
            <w:tcW w:w="468" w:type="pct"/>
            <w:tcBorders>
              <w:top w:val="nil"/>
              <w:left w:val="nil"/>
              <w:bottom w:val="nil"/>
              <w:right w:val="nil"/>
            </w:tcBorders>
            <w:shd w:val="clear" w:color="auto" w:fill="auto"/>
            <w:noWrap/>
            <w:vAlign w:val="center"/>
            <w:hideMark/>
          </w:tcPr>
          <w:p w14:paraId="130F4DF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6C14A7F9" w14:textId="77777777" w:rsidTr="0073112E">
        <w:trPr>
          <w:trHeight w:val="232"/>
        </w:trPr>
        <w:tc>
          <w:tcPr>
            <w:tcW w:w="637" w:type="pct"/>
            <w:tcBorders>
              <w:top w:val="nil"/>
              <w:left w:val="nil"/>
              <w:bottom w:val="nil"/>
              <w:right w:val="nil"/>
            </w:tcBorders>
            <w:shd w:val="clear" w:color="auto" w:fill="auto"/>
            <w:noWrap/>
            <w:vAlign w:val="center"/>
            <w:hideMark/>
          </w:tcPr>
          <w:p w14:paraId="3CCD536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DN75667_c0_g1_i2</w:t>
            </w:r>
          </w:p>
        </w:tc>
        <w:tc>
          <w:tcPr>
            <w:tcW w:w="718" w:type="pct"/>
            <w:tcBorders>
              <w:top w:val="nil"/>
              <w:left w:val="nil"/>
              <w:bottom w:val="nil"/>
              <w:right w:val="nil"/>
            </w:tcBorders>
            <w:shd w:val="clear" w:color="auto" w:fill="auto"/>
            <w:vAlign w:val="center"/>
            <w:hideMark/>
          </w:tcPr>
          <w:p w14:paraId="2C04CA11"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phospho-</w:t>
            </w:r>
            <w:r w:rsidRPr="00347C11">
              <w:rPr>
                <w:rFonts w:eastAsia="Times New Roman"/>
                <w:bCs w:val="0"/>
                <w:color w:val="000000"/>
                <w:sz w:val="19"/>
                <w:szCs w:val="19"/>
                <w:lang w:eastAsia="en-GB"/>
              </w:rPr>
              <w:t>glycerate kinase</w:t>
            </w:r>
          </w:p>
        </w:tc>
        <w:tc>
          <w:tcPr>
            <w:tcW w:w="791" w:type="pct"/>
            <w:tcBorders>
              <w:top w:val="nil"/>
              <w:left w:val="nil"/>
              <w:bottom w:val="nil"/>
              <w:right w:val="nil"/>
            </w:tcBorders>
            <w:shd w:val="clear" w:color="auto" w:fill="auto"/>
            <w:noWrap/>
            <w:vAlign w:val="center"/>
            <w:hideMark/>
          </w:tcPr>
          <w:p w14:paraId="4EC8C47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0726F93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D331B2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CA58A2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reductive pentose-phosphate cycle, glycolytic process</w:t>
            </w:r>
          </w:p>
        </w:tc>
        <w:tc>
          <w:tcPr>
            <w:tcW w:w="468" w:type="pct"/>
            <w:tcBorders>
              <w:top w:val="nil"/>
              <w:left w:val="nil"/>
              <w:bottom w:val="nil"/>
              <w:right w:val="nil"/>
            </w:tcBorders>
            <w:shd w:val="clear" w:color="auto" w:fill="auto"/>
            <w:noWrap/>
            <w:vAlign w:val="center"/>
            <w:hideMark/>
          </w:tcPr>
          <w:p w14:paraId="65B1ABB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57D85F3D" w14:textId="77777777" w:rsidTr="0073112E">
        <w:trPr>
          <w:trHeight w:val="232"/>
        </w:trPr>
        <w:tc>
          <w:tcPr>
            <w:tcW w:w="637" w:type="pct"/>
            <w:tcBorders>
              <w:top w:val="nil"/>
              <w:left w:val="nil"/>
              <w:bottom w:val="nil"/>
              <w:right w:val="nil"/>
            </w:tcBorders>
            <w:shd w:val="clear" w:color="auto" w:fill="auto"/>
            <w:noWrap/>
            <w:vAlign w:val="center"/>
            <w:hideMark/>
          </w:tcPr>
          <w:p w14:paraId="6F7CF34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DN74365_c0_g1_i1</w:t>
            </w:r>
          </w:p>
        </w:tc>
        <w:tc>
          <w:tcPr>
            <w:tcW w:w="718" w:type="pct"/>
            <w:tcBorders>
              <w:top w:val="nil"/>
              <w:left w:val="nil"/>
              <w:bottom w:val="nil"/>
              <w:right w:val="nil"/>
            </w:tcBorders>
            <w:shd w:val="clear" w:color="auto" w:fill="auto"/>
            <w:vAlign w:val="center"/>
            <w:hideMark/>
          </w:tcPr>
          <w:p w14:paraId="278D62A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pyridoxal kinase</w:t>
            </w:r>
          </w:p>
        </w:tc>
        <w:tc>
          <w:tcPr>
            <w:tcW w:w="791" w:type="pct"/>
            <w:tcBorders>
              <w:top w:val="nil"/>
              <w:left w:val="nil"/>
              <w:bottom w:val="nil"/>
              <w:right w:val="nil"/>
            </w:tcBorders>
            <w:shd w:val="clear" w:color="auto" w:fill="auto"/>
            <w:noWrap/>
            <w:vAlign w:val="center"/>
            <w:hideMark/>
          </w:tcPr>
          <w:p w14:paraId="760D75C1"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7D6B60F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1B73439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FF4AE5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phospholipid biosynthesis</w:t>
            </w:r>
          </w:p>
        </w:tc>
        <w:tc>
          <w:tcPr>
            <w:tcW w:w="468" w:type="pct"/>
            <w:tcBorders>
              <w:top w:val="nil"/>
              <w:left w:val="nil"/>
              <w:bottom w:val="nil"/>
              <w:right w:val="nil"/>
            </w:tcBorders>
            <w:shd w:val="clear" w:color="auto" w:fill="auto"/>
            <w:noWrap/>
            <w:vAlign w:val="center"/>
            <w:hideMark/>
          </w:tcPr>
          <w:p w14:paraId="58D0A86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641D27F2" w14:textId="77777777" w:rsidTr="0073112E">
        <w:trPr>
          <w:trHeight w:val="232"/>
        </w:trPr>
        <w:tc>
          <w:tcPr>
            <w:tcW w:w="637" w:type="pct"/>
            <w:tcBorders>
              <w:top w:val="nil"/>
              <w:left w:val="nil"/>
              <w:bottom w:val="nil"/>
              <w:right w:val="nil"/>
            </w:tcBorders>
            <w:shd w:val="clear" w:color="auto" w:fill="auto"/>
            <w:noWrap/>
            <w:vAlign w:val="center"/>
            <w:hideMark/>
          </w:tcPr>
          <w:p w14:paraId="22CA846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DN74365_c0_g1_i2</w:t>
            </w:r>
          </w:p>
        </w:tc>
        <w:tc>
          <w:tcPr>
            <w:tcW w:w="718" w:type="pct"/>
            <w:tcBorders>
              <w:top w:val="nil"/>
              <w:left w:val="nil"/>
              <w:bottom w:val="nil"/>
              <w:right w:val="nil"/>
            </w:tcBorders>
            <w:shd w:val="clear" w:color="auto" w:fill="auto"/>
            <w:vAlign w:val="center"/>
            <w:hideMark/>
          </w:tcPr>
          <w:p w14:paraId="4E4508D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pyridoxal kinase</w:t>
            </w:r>
          </w:p>
        </w:tc>
        <w:tc>
          <w:tcPr>
            <w:tcW w:w="791" w:type="pct"/>
            <w:tcBorders>
              <w:top w:val="nil"/>
              <w:left w:val="nil"/>
              <w:bottom w:val="nil"/>
              <w:right w:val="nil"/>
            </w:tcBorders>
            <w:shd w:val="clear" w:color="auto" w:fill="auto"/>
            <w:noWrap/>
            <w:vAlign w:val="center"/>
            <w:hideMark/>
          </w:tcPr>
          <w:p w14:paraId="497172F4"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2053D9B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4BD47B4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18B24C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phospholipid biosynthesis</w:t>
            </w:r>
          </w:p>
        </w:tc>
        <w:tc>
          <w:tcPr>
            <w:tcW w:w="468" w:type="pct"/>
            <w:tcBorders>
              <w:top w:val="nil"/>
              <w:left w:val="nil"/>
              <w:bottom w:val="nil"/>
              <w:right w:val="nil"/>
            </w:tcBorders>
            <w:shd w:val="clear" w:color="auto" w:fill="auto"/>
            <w:noWrap/>
            <w:vAlign w:val="center"/>
            <w:hideMark/>
          </w:tcPr>
          <w:p w14:paraId="420F683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466BEA6D" w14:textId="77777777" w:rsidTr="0073112E">
        <w:trPr>
          <w:trHeight w:val="232"/>
        </w:trPr>
        <w:tc>
          <w:tcPr>
            <w:tcW w:w="637" w:type="pct"/>
            <w:tcBorders>
              <w:top w:val="nil"/>
              <w:left w:val="nil"/>
              <w:bottom w:val="nil"/>
              <w:right w:val="nil"/>
            </w:tcBorders>
            <w:shd w:val="clear" w:color="auto" w:fill="auto"/>
            <w:noWrap/>
            <w:vAlign w:val="center"/>
            <w:hideMark/>
          </w:tcPr>
          <w:p w14:paraId="4D924A5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DN74961_c0_g1_i3</w:t>
            </w:r>
          </w:p>
        </w:tc>
        <w:tc>
          <w:tcPr>
            <w:tcW w:w="718" w:type="pct"/>
            <w:tcBorders>
              <w:top w:val="nil"/>
              <w:left w:val="nil"/>
              <w:bottom w:val="nil"/>
              <w:right w:val="nil"/>
            </w:tcBorders>
            <w:shd w:val="clear" w:color="auto" w:fill="auto"/>
            <w:vAlign w:val="center"/>
            <w:hideMark/>
          </w:tcPr>
          <w:p w14:paraId="003A431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glycerate translocator</w:t>
            </w:r>
          </w:p>
        </w:tc>
        <w:tc>
          <w:tcPr>
            <w:tcW w:w="791" w:type="pct"/>
            <w:tcBorders>
              <w:top w:val="nil"/>
              <w:left w:val="nil"/>
              <w:bottom w:val="nil"/>
              <w:right w:val="nil"/>
            </w:tcBorders>
            <w:shd w:val="clear" w:color="auto" w:fill="auto"/>
            <w:noWrap/>
            <w:vAlign w:val="center"/>
            <w:hideMark/>
          </w:tcPr>
          <w:p w14:paraId="562BD91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w:t>
            </w:r>
            <w:r>
              <w:rPr>
                <w:rFonts w:eastAsia="Times New Roman"/>
                <w:bCs w:val="0"/>
                <w:color w:val="000000"/>
                <w:sz w:val="19"/>
                <w:szCs w:val="19"/>
                <w:lang w:eastAsia="en-GB"/>
              </w:rPr>
              <w:t>o</w:t>
            </w:r>
            <w:r w:rsidRPr="00347C11">
              <w:rPr>
                <w:rFonts w:eastAsia="Times New Roman"/>
                <w:bCs w:val="0"/>
                <w:color w:val="000000"/>
                <w:sz w:val="19"/>
                <w:szCs w:val="19"/>
                <w:lang w:eastAsia="en-GB"/>
              </w:rPr>
              <w:t>plast</w:t>
            </w:r>
          </w:p>
        </w:tc>
        <w:tc>
          <w:tcPr>
            <w:tcW w:w="796" w:type="pct"/>
            <w:tcBorders>
              <w:top w:val="nil"/>
              <w:left w:val="nil"/>
              <w:bottom w:val="nil"/>
              <w:right w:val="nil"/>
            </w:tcBorders>
            <w:shd w:val="clear" w:color="auto" w:fill="auto"/>
            <w:noWrap/>
            <w:vAlign w:val="center"/>
            <w:hideMark/>
          </w:tcPr>
          <w:p w14:paraId="6B3503A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6BD9146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01F06FE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photorespiration, glycolate </w:t>
            </w:r>
            <w:proofErr w:type="spellStart"/>
            <w:r w:rsidRPr="00347C11">
              <w:rPr>
                <w:rFonts w:eastAsia="Times New Roman"/>
                <w:bCs w:val="0"/>
                <w:color w:val="000000"/>
                <w:sz w:val="19"/>
                <w:szCs w:val="19"/>
                <w:lang w:eastAsia="en-GB"/>
              </w:rPr>
              <w:t>transmembrance</w:t>
            </w:r>
            <w:proofErr w:type="spellEnd"/>
            <w:r w:rsidRPr="00347C11">
              <w:rPr>
                <w:rFonts w:eastAsia="Times New Roman"/>
                <w:bCs w:val="0"/>
                <w:color w:val="000000"/>
                <w:sz w:val="19"/>
                <w:szCs w:val="19"/>
                <w:lang w:eastAsia="en-GB"/>
              </w:rPr>
              <w:t xml:space="preserve"> transport, chloroplast assembly</w:t>
            </w:r>
          </w:p>
        </w:tc>
        <w:tc>
          <w:tcPr>
            <w:tcW w:w="468" w:type="pct"/>
            <w:tcBorders>
              <w:top w:val="nil"/>
              <w:left w:val="nil"/>
              <w:bottom w:val="nil"/>
              <w:right w:val="nil"/>
            </w:tcBorders>
            <w:shd w:val="clear" w:color="auto" w:fill="auto"/>
            <w:noWrap/>
            <w:vAlign w:val="center"/>
            <w:hideMark/>
          </w:tcPr>
          <w:p w14:paraId="0001216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543EA0F7" w14:textId="77777777" w:rsidTr="0073112E">
        <w:trPr>
          <w:trHeight w:val="232"/>
        </w:trPr>
        <w:tc>
          <w:tcPr>
            <w:tcW w:w="637" w:type="pct"/>
            <w:tcBorders>
              <w:top w:val="nil"/>
              <w:left w:val="nil"/>
              <w:bottom w:val="nil"/>
              <w:right w:val="nil"/>
            </w:tcBorders>
            <w:shd w:val="clear" w:color="auto" w:fill="auto"/>
            <w:noWrap/>
            <w:vAlign w:val="center"/>
            <w:hideMark/>
          </w:tcPr>
          <w:p w14:paraId="350D3F4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DN71927_c0_g4_i1</w:t>
            </w:r>
          </w:p>
        </w:tc>
        <w:tc>
          <w:tcPr>
            <w:tcW w:w="718" w:type="pct"/>
            <w:tcBorders>
              <w:top w:val="nil"/>
              <w:left w:val="nil"/>
              <w:bottom w:val="nil"/>
              <w:right w:val="nil"/>
            </w:tcBorders>
            <w:shd w:val="clear" w:color="auto" w:fill="auto"/>
            <w:vAlign w:val="center"/>
            <w:hideMark/>
          </w:tcPr>
          <w:p w14:paraId="5841F84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stem-loop binding protein of 41 </w:t>
            </w:r>
            <w:proofErr w:type="spellStart"/>
            <w:r w:rsidRPr="00347C11">
              <w:rPr>
                <w:rFonts w:eastAsia="Times New Roman"/>
                <w:bCs w:val="0"/>
                <w:color w:val="000000"/>
                <w:sz w:val="19"/>
                <w:szCs w:val="19"/>
                <w:lang w:eastAsia="en-GB"/>
              </w:rPr>
              <w:t>kDa</w:t>
            </w:r>
            <w:proofErr w:type="spellEnd"/>
            <w:r w:rsidRPr="00347C11">
              <w:rPr>
                <w:rFonts w:eastAsia="Times New Roman"/>
                <w:bCs w:val="0"/>
                <w:color w:val="000000"/>
                <w:sz w:val="19"/>
                <w:szCs w:val="19"/>
                <w:lang w:eastAsia="en-GB"/>
              </w:rPr>
              <w:t xml:space="preserve"> b</w:t>
            </w:r>
          </w:p>
        </w:tc>
        <w:tc>
          <w:tcPr>
            <w:tcW w:w="791" w:type="pct"/>
            <w:tcBorders>
              <w:top w:val="nil"/>
              <w:left w:val="nil"/>
              <w:bottom w:val="nil"/>
              <w:right w:val="nil"/>
            </w:tcBorders>
            <w:shd w:val="clear" w:color="auto" w:fill="auto"/>
            <w:noWrap/>
            <w:vAlign w:val="center"/>
            <w:hideMark/>
          </w:tcPr>
          <w:p w14:paraId="75DEF2C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051438C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3D2C93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87F03A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 organisation, response to cold</w:t>
            </w:r>
          </w:p>
        </w:tc>
        <w:tc>
          <w:tcPr>
            <w:tcW w:w="468" w:type="pct"/>
            <w:tcBorders>
              <w:top w:val="nil"/>
              <w:left w:val="nil"/>
              <w:bottom w:val="nil"/>
              <w:right w:val="nil"/>
            </w:tcBorders>
            <w:shd w:val="clear" w:color="auto" w:fill="auto"/>
            <w:noWrap/>
            <w:vAlign w:val="center"/>
            <w:hideMark/>
          </w:tcPr>
          <w:p w14:paraId="3BBCC78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0CA1D2FA" w14:textId="77777777" w:rsidTr="0073112E">
        <w:trPr>
          <w:trHeight w:val="232"/>
        </w:trPr>
        <w:tc>
          <w:tcPr>
            <w:tcW w:w="637" w:type="pct"/>
            <w:tcBorders>
              <w:top w:val="nil"/>
              <w:left w:val="nil"/>
              <w:bottom w:val="nil"/>
              <w:right w:val="nil"/>
            </w:tcBorders>
            <w:shd w:val="clear" w:color="auto" w:fill="auto"/>
            <w:noWrap/>
            <w:vAlign w:val="center"/>
            <w:hideMark/>
          </w:tcPr>
          <w:p w14:paraId="01B1FC4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DN67734_c4_g1_i1</w:t>
            </w:r>
          </w:p>
        </w:tc>
        <w:tc>
          <w:tcPr>
            <w:tcW w:w="718" w:type="pct"/>
            <w:tcBorders>
              <w:top w:val="nil"/>
              <w:left w:val="nil"/>
              <w:bottom w:val="nil"/>
              <w:right w:val="nil"/>
            </w:tcBorders>
            <w:shd w:val="clear" w:color="auto" w:fill="auto"/>
            <w:vAlign w:val="center"/>
            <w:hideMark/>
          </w:tcPr>
          <w:p w14:paraId="2428BDE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glycine dehydro</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genase</w:t>
            </w:r>
            <w:proofErr w:type="spellEnd"/>
          </w:p>
        </w:tc>
        <w:tc>
          <w:tcPr>
            <w:tcW w:w="791" w:type="pct"/>
            <w:tcBorders>
              <w:top w:val="nil"/>
              <w:left w:val="nil"/>
              <w:bottom w:val="nil"/>
              <w:right w:val="nil"/>
            </w:tcBorders>
            <w:shd w:val="clear" w:color="auto" w:fill="auto"/>
            <w:noWrap/>
            <w:vAlign w:val="center"/>
            <w:hideMark/>
          </w:tcPr>
          <w:p w14:paraId="4A0A665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w:t>
            </w:r>
          </w:p>
        </w:tc>
        <w:tc>
          <w:tcPr>
            <w:tcW w:w="796" w:type="pct"/>
            <w:tcBorders>
              <w:top w:val="nil"/>
              <w:left w:val="nil"/>
              <w:bottom w:val="nil"/>
              <w:right w:val="nil"/>
            </w:tcBorders>
            <w:shd w:val="clear" w:color="auto" w:fill="auto"/>
            <w:noWrap/>
            <w:vAlign w:val="center"/>
            <w:hideMark/>
          </w:tcPr>
          <w:p w14:paraId="0C06030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5DAE3BE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003D7832"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glycine metabolic process</w:t>
            </w:r>
          </w:p>
        </w:tc>
        <w:tc>
          <w:tcPr>
            <w:tcW w:w="468" w:type="pct"/>
            <w:tcBorders>
              <w:top w:val="nil"/>
              <w:left w:val="nil"/>
              <w:bottom w:val="nil"/>
              <w:right w:val="nil"/>
            </w:tcBorders>
            <w:shd w:val="clear" w:color="auto" w:fill="auto"/>
            <w:noWrap/>
            <w:vAlign w:val="center"/>
            <w:hideMark/>
          </w:tcPr>
          <w:p w14:paraId="5138D72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008C77F0" w14:textId="77777777" w:rsidTr="0073112E">
        <w:trPr>
          <w:trHeight w:val="232"/>
        </w:trPr>
        <w:tc>
          <w:tcPr>
            <w:tcW w:w="637" w:type="pct"/>
            <w:tcBorders>
              <w:top w:val="nil"/>
              <w:left w:val="nil"/>
              <w:bottom w:val="nil"/>
              <w:right w:val="nil"/>
            </w:tcBorders>
            <w:shd w:val="clear" w:color="auto" w:fill="auto"/>
            <w:noWrap/>
            <w:vAlign w:val="center"/>
            <w:hideMark/>
          </w:tcPr>
          <w:p w14:paraId="3727755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DN71816_c0_g1_i2</w:t>
            </w:r>
          </w:p>
        </w:tc>
        <w:tc>
          <w:tcPr>
            <w:tcW w:w="718" w:type="pct"/>
            <w:tcBorders>
              <w:top w:val="nil"/>
              <w:left w:val="nil"/>
              <w:bottom w:val="nil"/>
              <w:right w:val="nil"/>
            </w:tcBorders>
            <w:shd w:val="clear" w:color="auto" w:fill="auto"/>
            <w:vAlign w:val="center"/>
            <w:hideMark/>
          </w:tcPr>
          <w:p w14:paraId="7FCD977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bacterial hit, GNAT fam</w:t>
            </w:r>
          </w:p>
        </w:tc>
        <w:tc>
          <w:tcPr>
            <w:tcW w:w="791" w:type="pct"/>
            <w:tcBorders>
              <w:top w:val="nil"/>
              <w:left w:val="nil"/>
              <w:bottom w:val="nil"/>
              <w:right w:val="nil"/>
            </w:tcBorders>
            <w:shd w:val="clear" w:color="auto" w:fill="auto"/>
            <w:noWrap/>
            <w:vAlign w:val="center"/>
            <w:hideMark/>
          </w:tcPr>
          <w:p w14:paraId="0D38C305"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59E43F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33A37BC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1D081F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5715F60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68AA3112" w14:textId="77777777" w:rsidTr="0073112E">
        <w:trPr>
          <w:trHeight w:val="232"/>
        </w:trPr>
        <w:tc>
          <w:tcPr>
            <w:tcW w:w="637" w:type="pct"/>
            <w:tcBorders>
              <w:top w:val="nil"/>
              <w:left w:val="nil"/>
              <w:bottom w:val="nil"/>
              <w:right w:val="nil"/>
            </w:tcBorders>
            <w:shd w:val="clear" w:color="auto" w:fill="auto"/>
            <w:noWrap/>
            <w:vAlign w:val="center"/>
            <w:hideMark/>
          </w:tcPr>
          <w:p w14:paraId="27E1DC4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DN75856_c1_g1_i1</w:t>
            </w:r>
          </w:p>
        </w:tc>
        <w:tc>
          <w:tcPr>
            <w:tcW w:w="718" w:type="pct"/>
            <w:tcBorders>
              <w:top w:val="nil"/>
              <w:left w:val="nil"/>
              <w:bottom w:val="nil"/>
              <w:right w:val="nil"/>
            </w:tcBorders>
            <w:shd w:val="clear" w:color="auto" w:fill="auto"/>
            <w:vAlign w:val="center"/>
            <w:hideMark/>
          </w:tcPr>
          <w:p w14:paraId="1ECD2C99"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t</w:t>
            </w:r>
            <w:r w:rsidRPr="00347C11">
              <w:rPr>
                <w:rFonts w:eastAsia="Times New Roman"/>
                <w:bCs w:val="0"/>
                <w:color w:val="000000"/>
                <w:sz w:val="19"/>
                <w:szCs w:val="19"/>
                <w:lang w:eastAsia="en-GB"/>
              </w:rPr>
              <w:t>riose-phosphate</w:t>
            </w:r>
            <w:r>
              <w:rPr>
                <w:rFonts w:eastAsia="Times New Roman"/>
                <w:bCs w:val="0"/>
                <w:color w:val="000000"/>
                <w:sz w:val="19"/>
                <w:szCs w:val="19"/>
                <w:lang w:eastAsia="en-GB"/>
              </w:rPr>
              <w:t>/ phosphate translocator</w:t>
            </w:r>
          </w:p>
        </w:tc>
        <w:tc>
          <w:tcPr>
            <w:tcW w:w="791" w:type="pct"/>
            <w:tcBorders>
              <w:top w:val="nil"/>
              <w:left w:val="nil"/>
              <w:bottom w:val="nil"/>
              <w:right w:val="nil"/>
            </w:tcBorders>
            <w:shd w:val="clear" w:color="auto" w:fill="auto"/>
            <w:noWrap/>
            <w:vAlign w:val="center"/>
            <w:hideMark/>
          </w:tcPr>
          <w:p w14:paraId="4034B885"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41979AB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017899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5207472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cobalamin metabolism</w:t>
            </w:r>
          </w:p>
        </w:tc>
        <w:tc>
          <w:tcPr>
            <w:tcW w:w="468" w:type="pct"/>
            <w:tcBorders>
              <w:top w:val="nil"/>
              <w:left w:val="nil"/>
              <w:bottom w:val="nil"/>
              <w:right w:val="nil"/>
            </w:tcBorders>
            <w:shd w:val="clear" w:color="auto" w:fill="auto"/>
            <w:noWrap/>
            <w:vAlign w:val="center"/>
            <w:hideMark/>
          </w:tcPr>
          <w:p w14:paraId="7C411AB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0CD562CE" w14:textId="77777777" w:rsidTr="0073112E">
        <w:trPr>
          <w:trHeight w:val="232"/>
        </w:trPr>
        <w:tc>
          <w:tcPr>
            <w:tcW w:w="637" w:type="pct"/>
            <w:tcBorders>
              <w:top w:val="nil"/>
              <w:left w:val="nil"/>
              <w:bottom w:val="nil"/>
              <w:right w:val="nil"/>
            </w:tcBorders>
            <w:shd w:val="clear" w:color="auto" w:fill="auto"/>
            <w:noWrap/>
            <w:vAlign w:val="center"/>
            <w:hideMark/>
          </w:tcPr>
          <w:p w14:paraId="64297D0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DN73854_c3_g3_i2</w:t>
            </w:r>
          </w:p>
        </w:tc>
        <w:tc>
          <w:tcPr>
            <w:tcW w:w="718" w:type="pct"/>
            <w:tcBorders>
              <w:top w:val="nil"/>
              <w:left w:val="nil"/>
              <w:bottom w:val="nil"/>
              <w:right w:val="nil"/>
            </w:tcBorders>
            <w:shd w:val="clear" w:color="auto" w:fill="auto"/>
            <w:vAlign w:val="center"/>
            <w:hideMark/>
          </w:tcPr>
          <w:p w14:paraId="26AEF25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cytochrome b6-f complex iron-</w:t>
            </w:r>
            <w:proofErr w:type="spellStart"/>
            <w:r w:rsidRPr="00347C11">
              <w:rPr>
                <w:rFonts w:eastAsia="Times New Roman"/>
                <w:bCs w:val="0"/>
                <w:color w:val="000000"/>
                <w:sz w:val="19"/>
                <w:szCs w:val="19"/>
                <w:lang w:eastAsia="en-GB"/>
              </w:rPr>
              <w:t>sulfur</w:t>
            </w:r>
            <w:proofErr w:type="spellEnd"/>
            <w:r w:rsidRPr="00347C11">
              <w:rPr>
                <w:rFonts w:eastAsia="Times New Roman"/>
                <w:bCs w:val="0"/>
                <w:color w:val="000000"/>
                <w:sz w:val="19"/>
                <w:szCs w:val="19"/>
                <w:lang w:eastAsia="en-GB"/>
              </w:rPr>
              <w:t xml:space="preserve"> subunit</w:t>
            </w:r>
          </w:p>
        </w:tc>
        <w:tc>
          <w:tcPr>
            <w:tcW w:w="791" w:type="pct"/>
            <w:tcBorders>
              <w:top w:val="nil"/>
              <w:left w:val="nil"/>
              <w:bottom w:val="nil"/>
              <w:right w:val="nil"/>
            </w:tcBorders>
            <w:shd w:val="clear" w:color="auto" w:fill="auto"/>
            <w:noWrap/>
            <w:vAlign w:val="center"/>
            <w:hideMark/>
          </w:tcPr>
          <w:p w14:paraId="20943AF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71A7E30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50BCC18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459575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detection of biotic stimulus, photosystem II assembly, shoot system morphogenesis, regulation of hydrogen peroxide metabolism</w:t>
            </w:r>
          </w:p>
        </w:tc>
        <w:tc>
          <w:tcPr>
            <w:tcW w:w="468" w:type="pct"/>
            <w:tcBorders>
              <w:top w:val="nil"/>
              <w:left w:val="nil"/>
              <w:bottom w:val="nil"/>
              <w:right w:val="nil"/>
            </w:tcBorders>
            <w:shd w:val="clear" w:color="auto" w:fill="auto"/>
            <w:noWrap/>
            <w:vAlign w:val="center"/>
            <w:hideMark/>
          </w:tcPr>
          <w:p w14:paraId="2278BC1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637295FE" w14:textId="77777777" w:rsidTr="0073112E">
        <w:trPr>
          <w:trHeight w:val="232"/>
        </w:trPr>
        <w:tc>
          <w:tcPr>
            <w:tcW w:w="637" w:type="pct"/>
            <w:tcBorders>
              <w:top w:val="nil"/>
              <w:left w:val="nil"/>
              <w:bottom w:val="nil"/>
              <w:right w:val="nil"/>
            </w:tcBorders>
            <w:shd w:val="clear" w:color="auto" w:fill="auto"/>
            <w:noWrap/>
            <w:vAlign w:val="center"/>
            <w:hideMark/>
          </w:tcPr>
          <w:p w14:paraId="713C2A2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DN72323_c1_g3_i1</w:t>
            </w:r>
          </w:p>
        </w:tc>
        <w:tc>
          <w:tcPr>
            <w:tcW w:w="718" w:type="pct"/>
            <w:tcBorders>
              <w:top w:val="nil"/>
              <w:left w:val="nil"/>
              <w:bottom w:val="nil"/>
              <w:right w:val="nil"/>
            </w:tcBorders>
            <w:shd w:val="clear" w:color="auto" w:fill="auto"/>
            <w:vAlign w:val="center"/>
            <w:hideMark/>
          </w:tcPr>
          <w:p w14:paraId="2C296E7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serine hydroxy</w:t>
            </w:r>
            <w:r>
              <w:rPr>
                <w:rFonts w:eastAsia="Times New Roman"/>
                <w:bCs w:val="0"/>
                <w:color w:val="000000"/>
                <w:sz w:val="19"/>
                <w:szCs w:val="19"/>
                <w:lang w:eastAsia="en-GB"/>
              </w:rPr>
              <w:t>-</w:t>
            </w:r>
            <w:r w:rsidRPr="00347C11">
              <w:rPr>
                <w:rFonts w:eastAsia="Times New Roman"/>
                <w:bCs w:val="0"/>
                <w:color w:val="000000"/>
                <w:sz w:val="19"/>
                <w:szCs w:val="19"/>
                <w:lang w:eastAsia="en-GB"/>
              </w:rPr>
              <w:t>methyl</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w:t>
            </w:r>
          </w:p>
        </w:tc>
        <w:tc>
          <w:tcPr>
            <w:tcW w:w="791" w:type="pct"/>
            <w:tcBorders>
              <w:top w:val="nil"/>
              <w:left w:val="nil"/>
              <w:bottom w:val="nil"/>
              <w:right w:val="nil"/>
            </w:tcBorders>
            <w:shd w:val="clear" w:color="auto" w:fill="auto"/>
            <w:noWrap/>
            <w:vAlign w:val="center"/>
            <w:hideMark/>
          </w:tcPr>
          <w:p w14:paraId="4C8068E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 or cytosolic</w:t>
            </w:r>
          </w:p>
        </w:tc>
        <w:tc>
          <w:tcPr>
            <w:tcW w:w="796" w:type="pct"/>
            <w:tcBorders>
              <w:top w:val="nil"/>
              <w:left w:val="nil"/>
              <w:bottom w:val="nil"/>
              <w:right w:val="nil"/>
            </w:tcBorders>
            <w:shd w:val="clear" w:color="auto" w:fill="auto"/>
            <w:noWrap/>
            <w:vAlign w:val="center"/>
            <w:hideMark/>
          </w:tcPr>
          <w:p w14:paraId="7546632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856B03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0B2770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photorespiration, </w:t>
            </w:r>
            <w:r>
              <w:rPr>
                <w:rFonts w:eastAsia="Times New Roman"/>
                <w:bCs w:val="0"/>
                <w:color w:val="000000"/>
                <w:sz w:val="19"/>
                <w:szCs w:val="19"/>
                <w:lang w:eastAsia="en-GB"/>
              </w:rPr>
              <w:t>glycine metabolic process</w:t>
            </w:r>
            <w:r w:rsidRPr="00347C11">
              <w:rPr>
                <w:rFonts w:eastAsia="Times New Roman"/>
                <w:bCs w:val="0"/>
                <w:color w:val="000000"/>
                <w:sz w:val="19"/>
                <w:szCs w:val="19"/>
                <w:lang w:eastAsia="en-GB"/>
              </w:rPr>
              <w:t>, response to cold</w:t>
            </w:r>
          </w:p>
        </w:tc>
        <w:tc>
          <w:tcPr>
            <w:tcW w:w="468" w:type="pct"/>
            <w:tcBorders>
              <w:top w:val="nil"/>
              <w:left w:val="nil"/>
              <w:bottom w:val="nil"/>
              <w:right w:val="nil"/>
            </w:tcBorders>
            <w:shd w:val="clear" w:color="auto" w:fill="auto"/>
            <w:noWrap/>
            <w:vAlign w:val="center"/>
            <w:hideMark/>
          </w:tcPr>
          <w:p w14:paraId="798E4ED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6CB9CB06" w14:textId="77777777" w:rsidTr="0073112E">
        <w:trPr>
          <w:trHeight w:val="232"/>
        </w:trPr>
        <w:tc>
          <w:tcPr>
            <w:tcW w:w="637" w:type="pct"/>
            <w:tcBorders>
              <w:top w:val="nil"/>
              <w:left w:val="nil"/>
              <w:bottom w:val="nil"/>
              <w:right w:val="nil"/>
            </w:tcBorders>
            <w:shd w:val="clear" w:color="auto" w:fill="auto"/>
            <w:noWrap/>
            <w:vAlign w:val="center"/>
            <w:hideMark/>
          </w:tcPr>
          <w:p w14:paraId="3DF12B0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DN70627_c0_g2_i2</w:t>
            </w:r>
          </w:p>
        </w:tc>
        <w:tc>
          <w:tcPr>
            <w:tcW w:w="718" w:type="pct"/>
            <w:tcBorders>
              <w:top w:val="nil"/>
              <w:left w:val="nil"/>
              <w:bottom w:val="nil"/>
              <w:right w:val="nil"/>
            </w:tcBorders>
            <w:shd w:val="clear" w:color="auto" w:fill="auto"/>
            <w:vAlign w:val="center"/>
            <w:hideMark/>
          </w:tcPr>
          <w:p w14:paraId="680CB21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putative trans</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criptional</w:t>
            </w:r>
            <w:proofErr w:type="spellEnd"/>
            <w:r w:rsidRPr="00347C11">
              <w:rPr>
                <w:rFonts w:eastAsia="Times New Roman"/>
                <w:bCs w:val="0"/>
                <w:color w:val="000000"/>
                <w:sz w:val="19"/>
                <w:szCs w:val="19"/>
                <w:lang w:eastAsia="en-GB"/>
              </w:rPr>
              <w:t xml:space="preserve"> regulatory protein</w:t>
            </w:r>
          </w:p>
        </w:tc>
        <w:tc>
          <w:tcPr>
            <w:tcW w:w="791" w:type="pct"/>
            <w:tcBorders>
              <w:top w:val="nil"/>
              <w:left w:val="nil"/>
              <w:bottom w:val="nil"/>
              <w:right w:val="nil"/>
            </w:tcBorders>
            <w:shd w:val="clear" w:color="auto" w:fill="auto"/>
            <w:noWrap/>
            <w:vAlign w:val="center"/>
            <w:hideMark/>
          </w:tcPr>
          <w:p w14:paraId="4A19E511"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E75918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5F5D6F9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1E8DE10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43FD6FE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129B0C9A" w14:textId="77777777" w:rsidTr="0073112E">
        <w:trPr>
          <w:trHeight w:val="232"/>
        </w:trPr>
        <w:tc>
          <w:tcPr>
            <w:tcW w:w="637" w:type="pct"/>
            <w:tcBorders>
              <w:top w:val="nil"/>
              <w:left w:val="nil"/>
              <w:bottom w:val="nil"/>
              <w:right w:val="nil"/>
            </w:tcBorders>
            <w:shd w:val="clear" w:color="auto" w:fill="auto"/>
            <w:noWrap/>
            <w:vAlign w:val="center"/>
            <w:hideMark/>
          </w:tcPr>
          <w:p w14:paraId="2EAE9F8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DN70900_c0_g2_i1</w:t>
            </w:r>
          </w:p>
        </w:tc>
        <w:tc>
          <w:tcPr>
            <w:tcW w:w="718" w:type="pct"/>
            <w:tcBorders>
              <w:top w:val="nil"/>
              <w:left w:val="nil"/>
              <w:bottom w:val="nil"/>
              <w:right w:val="nil"/>
            </w:tcBorders>
            <w:shd w:val="clear" w:color="auto" w:fill="auto"/>
            <w:vAlign w:val="center"/>
            <w:hideMark/>
          </w:tcPr>
          <w:p w14:paraId="7C2B3C6F" w14:textId="77777777" w:rsidR="00141875" w:rsidRPr="00347C11" w:rsidRDefault="00141875" w:rsidP="00DF1EE8">
            <w:pPr>
              <w:rPr>
                <w:rFonts w:eastAsia="Times New Roman"/>
                <w:b/>
                <w:bCs w:val="0"/>
                <w:color w:val="000000"/>
                <w:sz w:val="19"/>
                <w:szCs w:val="19"/>
                <w:lang w:eastAsia="en-GB"/>
              </w:rPr>
            </w:pPr>
            <w:proofErr w:type="spellStart"/>
            <w:r>
              <w:rPr>
                <w:rFonts w:eastAsia="Times New Roman"/>
                <w:bCs w:val="0"/>
                <w:color w:val="000000"/>
                <w:sz w:val="19"/>
                <w:szCs w:val="19"/>
                <w:lang w:eastAsia="en-GB"/>
              </w:rPr>
              <w:t>l</w:t>
            </w:r>
            <w:r w:rsidRPr="00347C11">
              <w:rPr>
                <w:rFonts w:eastAsia="Times New Roman"/>
                <w:bCs w:val="0"/>
                <w:color w:val="000000"/>
                <w:sz w:val="19"/>
                <w:szCs w:val="19"/>
                <w:lang w:eastAsia="en-GB"/>
              </w:rPr>
              <w:t>ysophospho</w:t>
            </w:r>
            <w:proofErr w:type="spellEnd"/>
            <w:r>
              <w:rPr>
                <w:rFonts w:eastAsia="Times New Roman"/>
                <w:bCs w:val="0"/>
                <w:color w:val="000000"/>
                <w:sz w:val="19"/>
                <w:szCs w:val="19"/>
                <w:lang w:eastAsia="en-GB"/>
              </w:rPr>
              <w:t>-</w:t>
            </w:r>
            <w:r w:rsidRPr="00347C11">
              <w:rPr>
                <w:rFonts w:eastAsia="Times New Roman"/>
                <w:bCs w:val="0"/>
                <w:color w:val="000000"/>
                <w:sz w:val="19"/>
                <w:szCs w:val="19"/>
                <w:lang w:eastAsia="en-GB"/>
              </w:rPr>
              <w:t>lipid acyl</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w:t>
            </w:r>
          </w:p>
        </w:tc>
        <w:tc>
          <w:tcPr>
            <w:tcW w:w="791" w:type="pct"/>
            <w:tcBorders>
              <w:top w:val="nil"/>
              <w:left w:val="nil"/>
              <w:bottom w:val="nil"/>
              <w:right w:val="nil"/>
            </w:tcBorders>
            <w:shd w:val="clear" w:color="auto" w:fill="auto"/>
            <w:noWrap/>
            <w:vAlign w:val="center"/>
            <w:hideMark/>
          </w:tcPr>
          <w:p w14:paraId="21BA5D38"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597009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CFE732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18937D6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phospholipid biosynthesis</w:t>
            </w:r>
          </w:p>
        </w:tc>
        <w:tc>
          <w:tcPr>
            <w:tcW w:w="468" w:type="pct"/>
            <w:tcBorders>
              <w:top w:val="nil"/>
              <w:left w:val="nil"/>
              <w:bottom w:val="nil"/>
              <w:right w:val="nil"/>
            </w:tcBorders>
            <w:shd w:val="clear" w:color="auto" w:fill="auto"/>
            <w:noWrap/>
            <w:vAlign w:val="center"/>
            <w:hideMark/>
          </w:tcPr>
          <w:p w14:paraId="6D3E85A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3F21BCB3" w14:textId="77777777" w:rsidTr="0073112E">
        <w:trPr>
          <w:trHeight w:val="232"/>
        </w:trPr>
        <w:tc>
          <w:tcPr>
            <w:tcW w:w="637" w:type="pct"/>
            <w:tcBorders>
              <w:top w:val="nil"/>
              <w:left w:val="nil"/>
              <w:bottom w:val="nil"/>
              <w:right w:val="nil"/>
            </w:tcBorders>
            <w:shd w:val="clear" w:color="auto" w:fill="auto"/>
            <w:noWrap/>
            <w:vAlign w:val="center"/>
            <w:hideMark/>
          </w:tcPr>
          <w:p w14:paraId="613F1FD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DN73638_c0_g1_i4</w:t>
            </w:r>
          </w:p>
        </w:tc>
        <w:tc>
          <w:tcPr>
            <w:tcW w:w="718" w:type="pct"/>
            <w:tcBorders>
              <w:top w:val="nil"/>
              <w:left w:val="nil"/>
              <w:bottom w:val="nil"/>
              <w:right w:val="nil"/>
            </w:tcBorders>
            <w:shd w:val="clear" w:color="auto" w:fill="auto"/>
            <w:vAlign w:val="center"/>
            <w:hideMark/>
          </w:tcPr>
          <w:p w14:paraId="4DB4BE1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ABC transporter B family member 5</w:t>
            </w:r>
          </w:p>
        </w:tc>
        <w:tc>
          <w:tcPr>
            <w:tcW w:w="791" w:type="pct"/>
            <w:tcBorders>
              <w:top w:val="nil"/>
              <w:left w:val="nil"/>
              <w:bottom w:val="nil"/>
              <w:right w:val="nil"/>
            </w:tcBorders>
            <w:shd w:val="clear" w:color="auto" w:fill="auto"/>
            <w:noWrap/>
            <w:vAlign w:val="center"/>
            <w:hideMark/>
          </w:tcPr>
          <w:p w14:paraId="29EE3DEC"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33CA42F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1784C2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F0E847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regulation of protein dephosphorylation</w:t>
            </w:r>
          </w:p>
        </w:tc>
        <w:tc>
          <w:tcPr>
            <w:tcW w:w="468" w:type="pct"/>
            <w:tcBorders>
              <w:top w:val="nil"/>
              <w:left w:val="nil"/>
              <w:bottom w:val="nil"/>
              <w:right w:val="nil"/>
            </w:tcBorders>
            <w:shd w:val="clear" w:color="auto" w:fill="auto"/>
            <w:noWrap/>
            <w:vAlign w:val="center"/>
            <w:hideMark/>
          </w:tcPr>
          <w:p w14:paraId="5AFD368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17468C13" w14:textId="77777777" w:rsidTr="0073112E">
        <w:trPr>
          <w:trHeight w:val="232"/>
        </w:trPr>
        <w:tc>
          <w:tcPr>
            <w:tcW w:w="637" w:type="pct"/>
            <w:tcBorders>
              <w:top w:val="nil"/>
              <w:left w:val="nil"/>
              <w:bottom w:val="nil"/>
              <w:right w:val="nil"/>
            </w:tcBorders>
            <w:shd w:val="clear" w:color="auto" w:fill="auto"/>
            <w:noWrap/>
            <w:vAlign w:val="center"/>
            <w:hideMark/>
          </w:tcPr>
          <w:p w14:paraId="0C50E8D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DN73611_c0_g3_i1</w:t>
            </w:r>
          </w:p>
        </w:tc>
        <w:tc>
          <w:tcPr>
            <w:tcW w:w="718" w:type="pct"/>
            <w:tcBorders>
              <w:top w:val="nil"/>
              <w:left w:val="nil"/>
              <w:bottom w:val="nil"/>
              <w:right w:val="nil"/>
            </w:tcBorders>
            <w:shd w:val="clear" w:color="auto" w:fill="auto"/>
            <w:vAlign w:val="center"/>
            <w:hideMark/>
          </w:tcPr>
          <w:p w14:paraId="17010A0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PGR5-like protein 1B</w:t>
            </w:r>
          </w:p>
        </w:tc>
        <w:tc>
          <w:tcPr>
            <w:tcW w:w="791" w:type="pct"/>
            <w:tcBorders>
              <w:top w:val="nil"/>
              <w:left w:val="nil"/>
              <w:bottom w:val="nil"/>
              <w:right w:val="nil"/>
            </w:tcBorders>
            <w:shd w:val="clear" w:color="auto" w:fill="auto"/>
            <w:noWrap/>
            <w:vAlign w:val="center"/>
            <w:hideMark/>
          </w:tcPr>
          <w:p w14:paraId="1DE9549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w:t>
            </w:r>
            <w:r>
              <w:rPr>
                <w:rFonts w:eastAsia="Times New Roman"/>
                <w:bCs w:val="0"/>
                <w:color w:val="000000"/>
                <w:sz w:val="19"/>
                <w:szCs w:val="19"/>
                <w:lang w:eastAsia="en-GB"/>
              </w:rPr>
              <w:t>o</w:t>
            </w:r>
            <w:r w:rsidRPr="00347C11">
              <w:rPr>
                <w:rFonts w:eastAsia="Times New Roman"/>
                <w:bCs w:val="0"/>
                <w:color w:val="000000"/>
                <w:sz w:val="19"/>
                <w:szCs w:val="19"/>
                <w:lang w:eastAsia="en-GB"/>
              </w:rPr>
              <w:t>plast</w:t>
            </w:r>
          </w:p>
        </w:tc>
        <w:tc>
          <w:tcPr>
            <w:tcW w:w="796" w:type="pct"/>
            <w:tcBorders>
              <w:top w:val="nil"/>
              <w:left w:val="nil"/>
              <w:bottom w:val="nil"/>
              <w:right w:val="nil"/>
            </w:tcBorders>
            <w:shd w:val="clear" w:color="auto" w:fill="auto"/>
            <w:noWrap/>
            <w:vAlign w:val="center"/>
            <w:hideMark/>
          </w:tcPr>
          <w:p w14:paraId="1B5E7C8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12DCC4F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A7D748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79ED14D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3C62B8AE" w14:textId="77777777" w:rsidTr="0073112E">
        <w:trPr>
          <w:trHeight w:val="232"/>
        </w:trPr>
        <w:tc>
          <w:tcPr>
            <w:tcW w:w="637" w:type="pct"/>
            <w:tcBorders>
              <w:top w:val="nil"/>
              <w:left w:val="nil"/>
              <w:bottom w:val="nil"/>
              <w:right w:val="nil"/>
            </w:tcBorders>
            <w:shd w:val="clear" w:color="auto" w:fill="auto"/>
            <w:noWrap/>
            <w:vAlign w:val="center"/>
            <w:hideMark/>
          </w:tcPr>
          <w:p w14:paraId="08787F7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DN76651_c3_g2_i3</w:t>
            </w:r>
          </w:p>
        </w:tc>
        <w:tc>
          <w:tcPr>
            <w:tcW w:w="718" w:type="pct"/>
            <w:tcBorders>
              <w:top w:val="nil"/>
              <w:left w:val="nil"/>
              <w:bottom w:val="nil"/>
              <w:right w:val="nil"/>
            </w:tcBorders>
            <w:shd w:val="clear" w:color="auto" w:fill="auto"/>
            <w:vAlign w:val="center"/>
            <w:hideMark/>
          </w:tcPr>
          <w:p w14:paraId="11BE7B1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green alga</w:t>
            </w:r>
            <w:r>
              <w:rPr>
                <w:rFonts w:eastAsia="Times New Roman"/>
                <w:bCs w:val="0"/>
                <w:color w:val="000000"/>
                <w:sz w:val="19"/>
                <w:szCs w:val="19"/>
                <w:lang w:eastAsia="en-GB"/>
              </w:rPr>
              <w:t>e hit,</w:t>
            </w:r>
            <w:r w:rsidRPr="00347C11">
              <w:rPr>
                <w:rFonts w:eastAsia="Times New Roman"/>
                <w:bCs w:val="0"/>
                <w:color w:val="000000"/>
                <w:sz w:val="19"/>
                <w:szCs w:val="19"/>
                <w:lang w:eastAsia="en-GB"/>
              </w:rPr>
              <w:t xml:space="preserve"> glyceralde</w:t>
            </w:r>
            <w:r>
              <w:rPr>
                <w:rFonts w:eastAsia="Times New Roman"/>
                <w:bCs w:val="0"/>
                <w:color w:val="000000"/>
                <w:sz w:val="19"/>
                <w:szCs w:val="19"/>
                <w:lang w:eastAsia="en-GB"/>
              </w:rPr>
              <w:t>-</w:t>
            </w:r>
            <w:r w:rsidRPr="00347C11">
              <w:rPr>
                <w:rFonts w:eastAsia="Times New Roman"/>
                <w:bCs w:val="0"/>
                <w:color w:val="000000"/>
                <w:sz w:val="19"/>
                <w:szCs w:val="19"/>
                <w:lang w:eastAsia="en-GB"/>
              </w:rPr>
              <w:t>hyde-3-phosphate dehydro</w:t>
            </w:r>
            <w:r>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genase</w:t>
            </w:r>
            <w:proofErr w:type="spellEnd"/>
          </w:p>
        </w:tc>
        <w:tc>
          <w:tcPr>
            <w:tcW w:w="791" w:type="pct"/>
            <w:tcBorders>
              <w:top w:val="nil"/>
              <w:left w:val="nil"/>
              <w:bottom w:val="nil"/>
              <w:right w:val="nil"/>
            </w:tcBorders>
            <w:shd w:val="clear" w:color="auto" w:fill="auto"/>
            <w:noWrap/>
            <w:vAlign w:val="center"/>
            <w:hideMark/>
          </w:tcPr>
          <w:p w14:paraId="5384845B"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1DD68BF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4AC3AA8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4F7251F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reductive pentose-phosphate cycle, glycolytic process, negative regulation of telomere maintenance, nucleotide-excision repair, DNA incision,3’-to lesion, cellular response to UV</w:t>
            </w:r>
          </w:p>
        </w:tc>
        <w:tc>
          <w:tcPr>
            <w:tcW w:w="468" w:type="pct"/>
            <w:tcBorders>
              <w:top w:val="nil"/>
              <w:left w:val="nil"/>
              <w:bottom w:val="nil"/>
              <w:right w:val="nil"/>
            </w:tcBorders>
            <w:shd w:val="clear" w:color="auto" w:fill="auto"/>
            <w:noWrap/>
            <w:vAlign w:val="center"/>
            <w:hideMark/>
          </w:tcPr>
          <w:p w14:paraId="6FC0394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3C0930A0" w14:textId="77777777" w:rsidTr="0073112E">
        <w:trPr>
          <w:trHeight w:val="232"/>
        </w:trPr>
        <w:tc>
          <w:tcPr>
            <w:tcW w:w="637" w:type="pct"/>
            <w:tcBorders>
              <w:top w:val="nil"/>
              <w:left w:val="nil"/>
              <w:bottom w:val="nil"/>
              <w:right w:val="nil"/>
            </w:tcBorders>
            <w:shd w:val="clear" w:color="auto" w:fill="auto"/>
            <w:noWrap/>
            <w:vAlign w:val="center"/>
            <w:hideMark/>
          </w:tcPr>
          <w:p w14:paraId="3253BB2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DN76706_c0_g2_i2</w:t>
            </w:r>
          </w:p>
        </w:tc>
        <w:tc>
          <w:tcPr>
            <w:tcW w:w="718" w:type="pct"/>
            <w:tcBorders>
              <w:top w:val="nil"/>
              <w:left w:val="nil"/>
              <w:bottom w:val="nil"/>
              <w:right w:val="nil"/>
            </w:tcBorders>
            <w:shd w:val="clear" w:color="auto" w:fill="auto"/>
            <w:vAlign w:val="center"/>
            <w:hideMark/>
          </w:tcPr>
          <w:p w14:paraId="513FE677"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c</w:t>
            </w:r>
            <w:r w:rsidRPr="00347C11">
              <w:rPr>
                <w:rFonts w:eastAsia="Times New Roman"/>
                <w:bCs w:val="0"/>
                <w:color w:val="000000"/>
                <w:sz w:val="19"/>
                <w:szCs w:val="19"/>
                <w:lang w:eastAsia="en-GB"/>
              </w:rPr>
              <w:t>ob(</w:t>
            </w:r>
            <w:r>
              <w:rPr>
                <w:rFonts w:eastAsia="Times New Roman"/>
                <w:bCs w:val="0"/>
                <w:color w:val="000000"/>
                <w:sz w:val="19"/>
                <w:szCs w:val="19"/>
                <w:lang w:eastAsia="en-GB"/>
              </w:rPr>
              <w:t>I</w:t>
            </w:r>
            <w:r w:rsidRPr="00347C11">
              <w:rPr>
                <w:rFonts w:eastAsia="Times New Roman"/>
                <w:bCs w:val="0"/>
                <w:color w:val="000000"/>
                <w:sz w:val="19"/>
                <w:szCs w:val="19"/>
                <w:lang w:eastAsia="en-GB"/>
              </w:rPr>
              <w:t>)</w:t>
            </w:r>
            <w:proofErr w:type="spellStart"/>
            <w:r w:rsidRPr="00347C11">
              <w:rPr>
                <w:rFonts w:eastAsia="Times New Roman"/>
                <w:bCs w:val="0"/>
                <w:color w:val="000000"/>
                <w:sz w:val="19"/>
                <w:szCs w:val="19"/>
                <w:lang w:eastAsia="en-GB"/>
              </w:rPr>
              <w:t>yrinic</w:t>
            </w:r>
            <w:proofErr w:type="spellEnd"/>
            <w:r w:rsidRPr="00347C11">
              <w:rPr>
                <w:rFonts w:eastAsia="Times New Roman"/>
                <w:bCs w:val="0"/>
                <w:color w:val="000000"/>
                <w:sz w:val="19"/>
                <w:szCs w:val="19"/>
                <w:lang w:eastAsia="en-GB"/>
              </w:rPr>
              <w:t xml:space="preserve"> acid </w:t>
            </w:r>
            <w:proofErr w:type="spellStart"/>
            <w:r w:rsidRPr="00347C11">
              <w:rPr>
                <w:rFonts w:eastAsia="Times New Roman"/>
                <w:bCs w:val="0"/>
                <w:color w:val="000000"/>
                <w:sz w:val="19"/>
                <w:szCs w:val="19"/>
                <w:lang w:eastAsia="en-GB"/>
              </w:rPr>
              <w:t>a,c</w:t>
            </w:r>
            <w:proofErr w:type="spellEnd"/>
            <w:r w:rsidRPr="00347C11">
              <w:rPr>
                <w:rFonts w:eastAsia="Times New Roman"/>
                <w:bCs w:val="0"/>
                <w:color w:val="000000"/>
                <w:sz w:val="19"/>
                <w:szCs w:val="19"/>
                <w:lang w:eastAsia="en-GB"/>
              </w:rPr>
              <w:t>-diamide adenosyl</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w:t>
            </w:r>
          </w:p>
        </w:tc>
        <w:tc>
          <w:tcPr>
            <w:tcW w:w="791" w:type="pct"/>
            <w:tcBorders>
              <w:top w:val="nil"/>
              <w:left w:val="nil"/>
              <w:bottom w:val="nil"/>
              <w:right w:val="nil"/>
            </w:tcBorders>
            <w:shd w:val="clear" w:color="auto" w:fill="auto"/>
            <w:noWrap/>
            <w:vAlign w:val="center"/>
            <w:hideMark/>
          </w:tcPr>
          <w:p w14:paraId="1B794384"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161FE21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60315C9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60BA6E6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cobalamin metabolism</w:t>
            </w:r>
          </w:p>
        </w:tc>
        <w:tc>
          <w:tcPr>
            <w:tcW w:w="468" w:type="pct"/>
            <w:tcBorders>
              <w:top w:val="nil"/>
              <w:left w:val="nil"/>
              <w:bottom w:val="nil"/>
              <w:right w:val="nil"/>
            </w:tcBorders>
            <w:shd w:val="clear" w:color="auto" w:fill="auto"/>
            <w:noWrap/>
            <w:vAlign w:val="center"/>
            <w:hideMark/>
          </w:tcPr>
          <w:p w14:paraId="6B29C22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06CC9CF9" w14:textId="77777777" w:rsidTr="0073112E">
        <w:trPr>
          <w:trHeight w:val="232"/>
        </w:trPr>
        <w:tc>
          <w:tcPr>
            <w:tcW w:w="637" w:type="pct"/>
            <w:tcBorders>
              <w:top w:val="nil"/>
              <w:left w:val="nil"/>
              <w:bottom w:val="nil"/>
              <w:right w:val="nil"/>
            </w:tcBorders>
            <w:shd w:val="clear" w:color="auto" w:fill="auto"/>
            <w:noWrap/>
            <w:vAlign w:val="center"/>
            <w:hideMark/>
          </w:tcPr>
          <w:p w14:paraId="479B2C4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DN75126_c0_g1_i3</w:t>
            </w:r>
          </w:p>
        </w:tc>
        <w:tc>
          <w:tcPr>
            <w:tcW w:w="718" w:type="pct"/>
            <w:tcBorders>
              <w:top w:val="nil"/>
              <w:left w:val="nil"/>
              <w:bottom w:val="nil"/>
              <w:right w:val="nil"/>
            </w:tcBorders>
            <w:shd w:val="clear" w:color="auto" w:fill="auto"/>
            <w:vAlign w:val="center"/>
            <w:hideMark/>
          </w:tcPr>
          <w:p w14:paraId="26FED54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coral hit, 7,8 dihydro-8-oxoguanine tri</w:t>
            </w:r>
            <w:r>
              <w:rPr>
                <w:rFonts w:eastAsia="Times New Roman"/>
                <w:bCs w:val="0"/>
                <w:color w:val="000000"/>
                <w:sz w:val="19"/>
                <w:szCs w:val="19"/>
                <w:lang w:eastAsia="en-GB"/>
              </w:rPr>
              <w:t>-</w:t>
            </w:r>
            <w:r w:rsidRPr="00347C11">
              <w:rPr>
                <w:rFonts w:eastAsia="Times New Roman"/>
                <w:bCs w:val="0"/>
                <w:color w:val="000000"/>
                <w:sz w:val="19"/>
                <w:szCs w:val="19"/>
                <w:lang w:eastAsia="en-GB"/>
              </w:rPr>
              <w:t>phosphatase-like</w:t>
            </w:r>
          </w:p>
        </w:tc>
        <w:tc>
          <w:tcPr>
            <w:tcW w:w="791" w:type="pct"/>
            <w:tcBorders>
              <w:top w:val="nil"/>
              <w:left w:val="nil"/>
              <w:bottom w:val="nil"/>
              <w:right w:val="nil"/>
            </w:tcBorders>
            <w:shd w:val="clear" w:color="auto" w:fill="auto"/>
            <w:noWrap/>
            <w:vAlign w:val="center"/>
            <w:hideMark/>
          </w:tcPr>
          <w:p w14:paraId="19488F5C"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FB0875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24553C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8AAAE3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06EB2A9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4B75EB9D" w14:textId="77777777" w:rsidTr="0073112E">
        <w:trPr>
          <w:trHeight w:val="232"/>
        </w:trPr>
        <w:tc>
          <w:tcPr>
            <w:tcW w:w="637" w:type="pct"/>
            <w:tcBorders>
              <w:top w:val="nil"/>
              <w:left w:val="nil"/>
              <w:bottom w:val="nil"/>
              <w:right w:val="nil"/>
            </w:tcBorders>
            <w:shd w:val="clear" w:color="auto" w:fill="auto"/>
            <w:noWrap/>
            <w:vAlign w:val="center"/>
            <w:hideMark/>
          </w:tcPr>
          <w:p w14:paraId="72AEBAF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DN76392_c0_g1_i2</w:t>
            </w:r>
          </w:p>
        </w:tc>
        <w:tc>
          <w:tcPr>
            <w:tcW w:w="718" w:type="pct"/>
            <w:tcBorders>
              <w:top w:val="nil"/>
              <w:left w:val="nil"/>
              <w:bottom w:val="nil"/>
              <w:right w:val="nil"/>
            </w:tcBorders>
            <w:shd w:val="clear" w:color="auto" w:fill="auto"/>
            <w:vAlign w:val="center"/>
            <w:hideMark/>
          </w:tcPr>
          <w:p w14:paraId="3446C27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probable phospho</w:t>
            </w:r>
            <w:r>
              <w:rPr>
                <w:rFonts w:eastAsia="Times New Roman"/>
                <w:bCs w:val="0"/>
                <w:color w:val="000000"/>
                <w:sz w:val="19"/>
                <w:szCs w:val="19"/>
                <w:lang w:eastAsia="en-GB"/>
              </w:rPr>
              <w:t>-</w:t>
            </w:r>
            <w:r w:rsidRPr="00347C11">
              <w:rPr>
                <w:rFonts w:eastAsia="Times New Roman"/>
                <w:bCs w:val="0"/>
                <w:color w:val="000000"/>
                <w:sz w:val="19"/>
                <w:szCs w:val="19"/>
                <w:lang w:eastAsia="en-GB"/>
              </w:rPr>
              <w:t>lipase D</w:t>
            </w:r>
          </w:p>
        </w:tc>
        <w:tc>
          <w:tcPr>
            <w:tcW w:w="791" w:type="pct"/>
            <w:tcBorders>
              <w:top w:val="nil"/>
              <w:left w:val="nil"/>
              <w:bottom w:val="nil"/>
              <w:right w:val="nil"/>
            </w:tcBorders>
            <w:shd w:val="clear" w:color="auto" w:fill="auto"/>
            <w:noWrap/>
            <w:vAlign w:val="center"/>
            <w:hideMark/>
          </w:tcPr>
          <w:p w14:paraId="199FF088"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27DB50F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3BD2EF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BBF14B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photorespiration</w:t>
            </w:r>
          </w:p>
        </w:tc>
        <w:tc>
          <w:tcPr>
            <w:tcW w:w="468" w:type="pct"/>
            <w:tcBorders>
              <w:top w:val="nil"/>
              <w:left w:val="nil"/>
              <w:bottom w:val="nil"/>
              <w:right w:val="nil"/>
            </w:tcBorders>
            <w:shd w:val="clear" w:color="auto" w:fill="auto"/>
            <w:noWrap/>
            <w:vAlign w:val="center"/>
            <w:hideMark/>
          </w:tcPr>
          <w:p w14:paraId="5C8A94A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59EAF692" w14:textId="77777777" w:rsidTr="0073112E">
        <w:trPr>
          <w:trHeight w:val="232"/>
        </w:trPr>
        <w:tc>
          <w:tcPr>
            <w:tcW w:w="637" w:type="pct"/>
            <w:tcBorders>
              <w:top w:val="nil"/>
              <w:left w:val="nil"/>
              <w:bottom w:val="nil"/>
              <w:right w:val="nil"/>
            </w:tcBorders>
            <w:shd w:val="clear" w:color="auto" w:fill="auto"/>
            <w:noWrap/>
            <w:vAlign w:val="center"/>
            <w:hideMark/>
          </w:tcPr>
          <w:p w14:paraId="05DCC62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DN72560_c0_g2_i1</w:t>
            </w:r>
          </w:p>
        </w:tc>
        <w:tc>
          <w:tcPr>
            <w:tcW w:w="718" w:type="pct"/>
            <w:tcBorders>
              <w:top w:val="nil"/>
              <w:left w:val="nil"/>
              <w:bottom w:val="nil"/>
              <w:right w:val="nil"/>
            </w:tcBorders>
            <w:shd w:val="clear" w:color="auto" w:fill="auto"/>
            <w:vAlign w:val="center"/>
            <w:hideMark/>
          </w:tcPr>
          <w:p w14:paraId="01AB3B30"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m</w:t>
            </w:r>
            <w:r w:rsidRPr="00347C11">
              <w:rPr>
                <w:rFonts w:eastAsia="Times New Roman"/>
                <w:bCs w:val="0"/>
                <w:color w:val="000000"/>
                <w:sz w:val="19"/>
                <w:szCs w:val="19"/>
                <w:lang w:eastAsia="en-GB"/>
              </w:rPr>
              <w:t xml:space="preserve">agnesium-chelatase subunit </w:t>
            </w:r>
            <w:proofErr w:type="spellStart"/>
            <w:r w:rsidRPr="00347C11">
              <w:rPr>
                <w:rFonts w:eastAsia="Times New Roman"/>
                <w:bCs w:val="0"/>
                <w:color w:val="000000"/>
                <w:sz w:val="19"/>
                <w:szCs w:val="19"/>
                <w:lang w:eastAsia="en-GB"/>
              </w:rPr>
              <w:t>ChID</w:t>
            </w:r>
            <w:proofErr w:type="spellEnd"/>
          </w:p>
        </w:tc>
        <w:tc>
          <w:tcPr>
            <w:tcW w:w="791" w:type="pct"/>
            <w:tcBorders>
              <w:top w:val="nil"/>
              <w:left w:val="nil"/>
              <w:bottom w:val="nil"/>
              <w:right w:val="nil"/>
            </w:tcBorders>
            <w:shd w:val="clear" w:color="auto" w:fill="auto"/>
            <w:noWrap/>
            <w:vAlign w:val="center"/>
            <w:hideMark/>
          </w:tcPr>
          <w:p w14:paraId="210A529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240E4C0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5386D69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6E283D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6AE7CE8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16CCB4FE" w14:textId="77777777" w:rsidTr="0073112E">
        <w:trPr>
          <w:trHeight w:val="232"/>
        </w:trPr>
        <w:tc>
          <w:tcPr>
            <w:tcW w:w="637" w:type="pct"/>
            <w:tcBorders>
              <w:top w:val="nil"/>
              <w:left w:val="nil"/>
              <w:bottom w:val="nil"/>
              <w:right w:val="nil"/>
            </w:tcBorders>
            <w:shd w:val="clear" w:color="auto" w:fill="auto"/>
            <w:noWrap/>
            <w:vAlign w:val="center"/>
            <w:hideMark/>
          </w:tcPr>
          <w:p w14:paraId="26021DA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DN77029_c1_g1_i1</w:t>
            </w:r>
          </w:p>
        </w:tc>
        <w:tc>
          <w:tcPr>
            <w:tcW w:w="718" w:type="pct"/>
            <w:tcBorders>
              <w:top w:val="nil"/>
              <w:left w:val="nil"/>
              <w:bottom w:val="nil"/>
              <w:right w:val="nil"/>
            </w:tcBorders>
            <w:shd w:val="clear" w:color="auto" w:fill="auto"/>
            <w:vAlign w:val="center"/>
            <w:hideMark/>
          </w:tcPr>
          <w:p w14:paraId="3A39392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glycine de</w:t>
            </w:r>
            <w:r>
              <w:rPr>
                <w:rFonts w:eastAsia="Times New Roman"/>
                <w:bCs w:val="0"/>
                <w:color w:val="000000"/>
                <w:sz w:val="19"/>
                <w:szCs w:val="19"/>
                <w:lang w:eastAsia="en-GB"/>
              </w:rPr>
              <w:t>-</w:t>
            </w:r>
            <w:r w:rsidRPr="00347C11">
              <w:rPr>
                <w:rFonts w:eastAsia="Times New Roman"/>
                <w:bCs w:val="0"/>
                <w:color w:val="000000"/>
                <w:sz w:val="19"/>
                <w:szCs w:val="19"/>
                <w:lang w:eastAsia="en-GB"/>
              </w:rPr>
              <w:t>carboxylase</w:t>
            </w:r>
          </w:p>
        </w:tc>
        <w:tc>
          <w:tcPr>
            <w:tcW w:w="791" w:type="pct"/>
            <w:tcBorders>
              <w:top w:val="nil"/>
              <w:left w:val="nil"/>
              <w:bottom w:val="nil"/>
              <w:right w:val="nil"/>
            </w:tcBorders>
            <w:shd w:val="clear" w:color="auto" w:fill="auto"/>
            <w:noWrap/>
            <w:vAlign w:val="center"/>
            <w:hideMark/>
          </w:tcPr>
          <w:p w14:paraId="4051AB8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w:t>
            </w:r>
          </w:p>
        </w:tc>
        <w:tc>
          <w:tcPr>
            <w:tcW w:w="796" w:type="pct"/>
            <w:tcBorders>
              <w:top w:val="nil"/>
              <w:left w:val="nil"/>
              <w:bottom w:val="nil"/>
              <w:right w:val="nil"/>
            </w:tcBorders>
            <w:shd w:val="clear" w:color="auto" w:fill="auto"/>
            <w:noWrap/>
            <w:vAlign w:val="center"/>
            <w:hideMark/>
          </w:tcPr>
          <w:p w14:paraId="182E8CF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4CE2FD0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3B10F351" w14:textId="77777777" w:rsidR="00141875" w:rsidRPr="004F101E" w:rsidRDefault="00141875" w:rsidP="00DF1EE8">
            <w:pPr>
              <w:rPr>
                <w:b/>
                <w:bCs w:val="0"/>
                <w:color w:val="000000"/>
                <w:sz w:val="19"/>
                <w:szCs w:val="19"/>
              </w:rPr>
            </w:pPr>
            <w:r w:rsidRPr="004F101E">
              <w:rPr>
                <w:bCs w:val="0"/>
                <w:color w:val="000000"/>
                <w:sz w:val="19"/>
                <w:szCs w:val="19"/>
              </w:rPr>
              <w:t>glycine metabolic process</w:t>
            </w:r>
          </w:p>
          <w:p w14:paraId="1453501B" w14:textId="77777777" w:rsidR="00141875" w:rsidRPr="004F101E" w:rsidRDefault="00141875" w:rsidP="00DF1EE8">
            <w:pPr>
              <w:rPr>
                <w:rFonts w:eastAsia="Times New Roman"/>
                <w:b/>
                <w:bCs w:val="0"/>
                <w:color w:val="000000"/>
                <w:sz w:val="19"/>
                <w:szCs w:val="19"/>
                <w:lang w:eastAsia="en-GB"/>
              </w:rPr>
            </w:pPr>
          </w:p>
        </w:tc>
        <w:tc>
          <w:tcPr>
            <w:tcW w:w="468" w:type="pct"/>
            <w:tcBorders>
              <w:top w:val="nil"/>
              <w:left w:val="nil"/>
              <w:bottom w:val="nil"/>
              <w:right w:val="nil"/>
            </w:tcBorders>
            <w:shd w:val="clear" w:color="auto" w:fill="auto"/>
            <w:noWrap/>
            <w:vAlign w:val="center"/>
            <w:hideMark/>
          </w:tcPr>
          <w:p w14:paraId="5B34E1F1" w14:textId="77777777" w:rsidR="00141875" w:rsidRPr="00347C11" w:rsidRDefault="00141875" w:rsidP="00DF1EE8">
            <w:pPr>
              <w:rPr>
                <w:rFonts w:eastAsia="Times New Roman"/>
                <w:b/>
                <w:bCs w:val="0"/>
                <w:sz w:val="19"/>
                <w:szCs w:val="19"/>
                <w:lang w:eastAsia="en-GB"/>
              </w:rPr>
            </w:pPr>
            <w:r>
              <w:rPr>
                <w:rFonts w:eastAsia="Times New Roman"/>
                <w:bCs w:val="0"/>
                <w:sz w:val="19"/>
                <w:szCs w:val="19"/>
                <w:lang w:eastAsia="en-GB"/>
              </w:rPr>
              <w:t>Y</w:t>
            </w:r>
          </w:p>
        </w:tc>
      </w:tr>
      <w:tr w:rsidR="0073112E" w:rsidRPr="00347C11" w14:paraId="6F3499A0" w14:textId="77777777" w:rsidTr="0073112E">
        <w:trPr>
          <w:trHeight w:val="232"/>
        </w:trPr>
        <w:tc>
          <w:tcPr>
            <w:tcW w:w="637" w:type="pct"/>
            <w:tcBorders>
              <w:top w:val="nil"/>
              <w:left w:val="nil"/>
              <w:bottom w:val="nil"/>
              <w:right w:val="nil"/>
            </w:tcBorders>
            <w:shd w:val="clear" w:color="auto" w:fill="auto"/>
            <w:noWrap/>
            <w:vAlign w:val="center"/>
            <w:hideMark/>
          </w:tcPr>
          <w:p w14:paraId="464830F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DN75024_c0_g4_i1</w:t>
            </w:r>
          </w:p>
        </w:tc>
        <w:tc>
          <w:tcPr>
            <w:tcW w:w="718" w:type="pct"/>
            <w:tcBorders>
              <w:top w:val="nil"/>
              <w:left w:val="nil"/>
              <w:bottom w:val="nil"/>
              <w:right w:val="nil"/>
            </w:tcBorders>
            <w:shd w:val="clear" w:color="auto" w:fill="auto"/>
            <w:vAlign w:val="center"/>
            <w:hideMark/>
          </w:tcPr>
          <w:p w14:paraId="5A8B5283"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PsbP</w:t>
            </w:r>
            <w:proofErr w:type="spellEnd"/>
            <w:r w:rsidRPr="00347C11">
              <w:rPr>
                <w:rFonts w:eastAsia="Times New Roman"/>
                <w:bCs w:val="0"/>
                <w:color w:val="000000"/>
                <w:sz w:val="19"/>
                <w:szCs w:val="19"/>
                <w:lang w:eastAsia="en-GB"/>
              </w:rPr>
              <w:t xml:space="preserve">-like protein </w:t>
            </w:r>
          </w:p>
        </w:tc>
        <w:tc>
          <w:tcPr>
            <w:tcW w:w="791" w:type="pct"/>
            <w:tcBorders>
              <w:top w:val="nil"/>
              <w:left w:val="nil"/>
              <w:bottom w:val="nil"/>
              <w:right w:val="nil"/>
            </w:tcBorders>
            <w:shd w:val="clear" w:color="auto" w:fill="auto"/>
            <w:noWrap/>
            <w:vAlign w:val="center"/>
            <w:hideMark/>
          </w:tcPr>
          <w:p w14:paraId="2DE9632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6D8E8B4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10827CD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8FBE76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negative regulation of long-day photoperiodism, flowering</w:t>
            </w:r>
          </w:p>
        </w:tc>
        <w:tc>
          <w:tcPr>
            <w:tcW w:w="468" w:type="pct"/>
            <w:tcBorders>
              <w:top w:val="nil"/>
              <w:left w:val="nil"/>
              <w:bottom w:val="nil"/>
              <w:right w:val="nil"/>
            </w:tcBorders>
            <w:shd w:val="clear" w:color="auto" w:fill="auto"/>
            <w:noWrap/>
            <w:vAlign w:val="center"/>
            <w:hideMark/>
          </w:tcPr>
          <w:p w14:paraId="72E8FCB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0F04453F" w14:textId="77777777" w:rsidTr="0073112E">
        <w:trPr>
          <w:trHeight w:val="232"/>
        </w:trPr>
        <w:tc>
          <w:tcPr>
            <w:tcW w:w="637" w:type="pct"/>
            <w:tcBorders>
              <w:top w:val="nil"/>
              <w:left w:val="nil"/>
              <w:bottom w:val="nil"/>
              <w:right w:val="nil"/>
            </w:tcBorders>
            <w:shd w:val="clear" w:color="auto" w:fill="auto"/>
            <w:noWrap/>
            <w:vAlign w:val="center"/>
            <w:hideMark/>
          </w:tcPr>
          <w:p w14:paraId="4FF68D8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DN74340_c0_g2_i1</w:t>
            </w:r>
          </w:p>
        </w:tc>
        <w:tc>
          <w:tcPr>
            <w:tcW w:w="718" w:type="pct"/>
            <w:tcBorders>
              <w:top w:val="nil"/>
              <w:left w:val="nil"/>
              <w:bottom w:val="nil"/>
              <w:right w:val="nil"/>
            </w:tcBorders>
            <w:shd w:val="clear" w:color="auto" w:fill="auto"/>
            <w:vAlign w:val="center"/>
            <w:hideMark/>
          </w:tcPr>
          <w:p w14:paraId="40A05E5E"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phospho-</w:t>
            </w:r>
            <w:r w:rsidRPr="00347C11">
              <w:rPr>
                <w:rFonts w:eastAsia="Times New Roman"/>
                <w:bCs w:val="0"/>
                <w:color w:val="000000"/>
                <w:sz w:val="19"/>
                <w:szCs w:val="19"/>
                <w:lang w:eastAsia="en-GB"/>
              </w:rPr>
              <w:t>glycolate phosphatase 1B</w:t>
            </w:r>
          </w:p>
        </w:tc>
        <w:tc>
          <w:tcPr>
            <w:tcW w:w="791" w:type="pct"/>
            <w:tcBorders>
              <w:top w:val="nil"/>
              <w:left w:val="nil"/>
              <w:bottom w:val="nil"/>
              <w:right w:val="nil"/>
            </w:tcBorders>
            <w:shd w:val="clear" w:color="auto" w:fill="auto"/>
            <w:noWrap/>
            <w:vAlign w:val="center"/>
            <w:hideMark/>
          </w:tcPr>
          <w:p w14:paraId="63510C5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37528D4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5023D9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202E76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photorespiration</w:t>
            </w:r>
          </w:p>
        </w:tc>
        <w:tc>
          <w:tcPr>
            <w:tcW w:w="468" w:type="pct"/>
            <w:tcBorders>
              <w:top w:val="nil"/>
              <w:left w:val="nil"/>
              <w:bottom w:val="nil"/>
              <w:right w:val="nil"/>
            </w:tcBorders>
            <w:shd w:val="clear" w:color="auto" w:fill="auto"/>
            <w:noWrap/>
            <w:vAlign w:val="center"/>
            <w:hideMark/>
          </w:tcPr>
          <w:p w14:paraId="747386B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2727D594" w14:textId="77777777" w:rsidTr="0073112E">
        <w:trPr>
          <w:trHeight w:val="232"/>
        </w:trPr>
        <w:tc>
          <w:tcPr>
            <w:tcW w:w="637" w:type="pct"/>
            <w:tcBorders>
              <w:top w:val="nil"/>
              <w:left w:val="nil"/>
              <w:bottom w:val="nil"/>
              <w:right w:val="nil"/>
            </w:tcBorders>
            <w:shd w:val="clear" w:color="auto" w:fill="auto"/>
            <w:noWrap/>
            <w:vAlign w:val="center"/>
            <w:hideMark/>
          </w:tcPr>
          <w:p w14:paraId="31E133D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DN72364_c0_g1_i2</w:t>
            </w:r>
          </w:p>
        </w:tc>
        <w:tc>
          <w:tcPr>
            <w:tcW w:w="718" w:type="pct"/>
            <w:tcBorders>
              <w:top w:val="nil"/>
              <w:left w:val="nil"/>
              <w:bottom w:val="nil"/>
              <w:right w:val="nil"/>
            </w:tcBorders>
            <w:shd w:val="clear" w:color="auto" w:fill="auto"/>
            <w:vAlign w:val="center"/>
            <w:hideMark/>
          </w:tcPr>
          <w:p w14:paraId="278F850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glycerol-3-phosphate acyl</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w:t>
            </w:r>
          </w:p>
        </w:tc>
        <w:tc>
          <w:tcPr>
            <w:tcW w:w="791" w:type="pct"/>
            <w:tcBorders>
              <w:top w:val="nil"/>
              <w:left w:val="nil"/>
              <w:bottom w:val="nil"/>
              <w:right w:val="nil"/>
            </w:tcBorders>
            <w:shd w:val="clear" w:color="auto" w:fill="auto"/>
            <w:noWrap/>
            <w:vAlign w:val="center"/>
            <w:hideMark/>
          </w:tcPr>
          <w:p w14:paraId="47EFD61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56F4AA5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338773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8436DF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phospholipid biosynthesis</w:t>
            </w:r>
          </w:p>
        </w:tc>
        <w:tc>
          <w:tcPr>
            <w:tcW w:w="468" w:type="pct"/>
            <w:tcBorders>
              <w:top w:val="nil"/>
              <w:left w:val="nil"/>
              <w:bottom w:val="nil"/>
              <w:right w:val="nil"/>
            </w:tcBorders>
            <w:shd w:val="clear" w:color="auto" w:fill="auto"/>
            <w:noWrap/>
            <w:vAlign w:val="center"/>
            <w:hideMark/>
          </w:tcPr>
          <w:p w14:paraId="3DDECB3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01870F1E" w14:textId="77777777" w:rsidTr="0073112E">
        <w:trPr>
          <w:trHeight w:val="232"/>
        </w:trPr>
        <w:tc>
          <w:tcPr>
            <w:tcW w:w="637" w:type="pct"/>
            <w:tcBorders>
              <w:top w:val="nil"/>
              <w:left w:val="nil"/>
              <w:bottom w:val="nil"/>
              <w:right w:val="nil"/>
            </w:tcBorders>
            <w:shd w:val="clear" w:color="auto" w:fill="auto"/>
            <w:noWrap/>
            <w:vAlign w:val="center"/>
            <w:hideMark/>
          </w:tcPr>
          <w:p w14:paraId="3E39504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DN73854_c3_g3_i3</w:t>
            </w:r>
          </w:p>
        </w:tc>
        <w:tc>
          <w:tcPr>
            <w:tcW w:w="718" w:type="pct"/>
            <w:tcBorders>
              <w:top w:val="nil"/>
              <w:left w:val="nil"/>
              <w:bottom w:val="nil"/>
              <w:right w:val="nil"/>
            </w:tcBorders>
            <w:shd w:val="clear" w:color="auto" w:fill="auto"/>
            <w:vAlign w:val="center"/>
            <w:hideMark/>
          </w:tcPr>
          <w:p w14:paraId="37C89E03" w14:textId="77777777" w:rsidR="00141875" w:rsidRPr="00347C11" w:rsidRDefault="00141875" w:rsidP="00DF1EE8">
            <w:pPr>
              <w:rPr>
                <w:rFonts w:eastAsia="Times New Roman"/>
                <w:b/>
                <w:bCs w:val="0"/>
                <w:color w:val="000000"/>
                <w:sz w:val="19"/>
                <w:szCs w:val="19"/>
                <w:lang w:eastAsia="en-GB"/>
              </w:rPr>
            </w:pPr>
            <w:r>
              <w:rPr>
                <w:rFonts w:eastAsia="Times New Roman"/>
                <w:bCs w:val="0"/>
                <w:color w:val="000000"/>
                <w:sz w:val="19"/>
                <w:szCs w:val="19"/>
                <w:lang w:eastAsia="en-GB"/>
              </w:rPr>
              <w:t>phospho-</w:t>
            </w:r>
            <w:proofErr w:type="spellStart"/>
            <w:r w:rsidRPr="00347C11">
              <w:rPr>
                <w:rFonts w:eastAsia="Times New Roman"/>
                <w:bCs w:val="0"/>
                <w:color w:val="000000"/>
                <w:sz w:val="19"/>
                <w:szCs w:val="19"/>
                <w:lang w:eastAsia="en-GB"/>
              </w:rPr>
              <w:t>ribulokinase</w:t>
            </w:r>
            <w:proofErr w:type="spellEnd"/>
          </w:p>
        </w:tc>
        <w:tc>
          <w:tcPr>
            <w:tcW w:w="791" w:type="pct"/>
            <w:tcBorders>
              <w:top w:val="nil"/>
              <w:left w:val="nil"/>
              <w:bottom w:val="nil"/>
              <w:right w:val="nil"/>
            </w:tcBorders>
            <w:shd w:val="clear" w:color="auto" w:fill="auto"/>
            <w:noWrap/>
            <w:vAlign w:val="center"/>
            <w:hideMark/>
          </w:tcPr>
          <w:p w14:paraId="2662AF1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32E48CB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4F7A75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2BDAAFE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detection of biotic stimulus, regulation of plant-type hypersensitive response, response to cold, response to chitin</w:t>
            </w:r>
          </w:p>
        </w:tc>
        <w:tc>
          <w:tcPr>
            <w:tcW w:w="468" w:type="pct"/>
            <w:tcBorders>
              <w:top w:val="nil"/>
              <w:left w:val="nil"/>
              <w:bottom w:val="nil"/>
              <w:right w:val="nil"/>
            </w:tcBorders>
            <w:shd w:val="clear" w:color="auto" w:fill="auto"/>
            <w:noWrap/>
            <w:vAlign w:val="center"/>
            <w:hideMark/>
          </w:tcPr>
          <w:p w14:paraId="7F9B3D2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7FE75021" w14:textId="77777777" w:rsidTr="0073112E">
        <w:trPr>
          <w:trHeight w:val="232"/>
        </w:trPr>
        <w:tc>
          <w:tcPr>
            <w:tcW w:w="637" w:type="pct"/>
            <w:tcBorders>
              <w:top w:val="nil"/>
              <w:left w:val="nil"/>
              <w:bottom w:val="nil"/>
              <w:right w:val="nil"/>
            </w:tcBorders>
            <w:shd w:val="clear" w:color="auto" w:fill="auto"/>
            <w:noWrap/>
            <w:vAlign w:val="center"/>
            <w:hideMark/>
          </w:tcPr>
          <w:p w14:paraId="355B99B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DN76673_c2_g5_i1</w:t>
            </w:r>
          </w:p>
        </w:tc>
        <w:tc>
          <w:tcPr>
            <w:tcW w:w="718" w:type="pct"/>
            <w:tcBorders>
              <w:top w:val="nil"/>
              <w:left w:val="nil"/>
              <w:bottom w:val="nil"/>
              <w:right w:val="nil"/>
            </w:tcBorders>
            <w:shd w:val="clear" w:color="auto" w:fill="auto"/>
            <w:vAlign w:val="center"/>
            <w:hideMark/>
          </w:tcPr>
          <w:p w14:paraId="1623B9B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putative transporter</w:t>
            </w:r>
          </w:p>
        </w:tc>
        <w:tc>
          <w:tcPr>
            <w:tcW w:w="791" w:type="pct"/>
            <w:tcBorders>
              <w:top w:val="nil"/>
              <w:left w:val="nil"/>
              <w:bottom w:val="nil"/>
              <w:right w:val="nil"/>
            </w:tcBorders>
            <w:shd w:val="clear" w:color="auto" w:fill="auto"/>
            <w:noWrap/>
            <w:vAlign w:val="center"/>
            <w:hideMark/>
          </w:tcPr>
          <w:p w14:paraId="7398C9CE"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4782D2F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00E532C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73D9508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heterocycle biosynthetic process, </w:t>
            </w:r>
            <w:r>
              <w:rPr>
                <w:rFonts w:eastAsia="Times New Roman"/>
                <w:bCs w:val="0"/>
                <w:color w:val="000000"/>
                <w:sz w:val="19"/>
                <w:szCs w:val="19"/>
                <w:lang w:eastAsia="en-GB"/>
              </w:rPr>
              <w:t>cellular</w:t>
            </w:r>
            <w:r w:rsidRPr="00347C11">
              <w:rPr>
                <w:rFonts w:eastAsia="Times New Roman"/>
                <w:bCs w:val="0"/>
                <w:color w:val="000000"/>
                <w:sz w:val="19"/>
                <w:szCs w:val="19"/>
                <w:lang w:eastAsia="en-GB"/>
              </w:rPr>
              <w:t xml:space="preserve"> response to UV</w:t>
            </w:r>
          </w:p>
        </w:tc>
        <w:tc>
          <w:tcPr>
            <w:tcW w:w="468" w:type="pct"/>
            <w:tcBorders>
              <w:top w:val="nil"/>
              <w:left w:val="nil"/>
              <w:bottom w:val="nil"/>
              <w:right w:val="nil"/>
            </w:tcBorders>
            <w:shd w:val="clear" w:color="auto" w:fill="auto"/>
            <w:noWrap/>
            <w:vAlign w:val="center"/>
            <w:hideMark/>
          </w:tcPr>
          <w:p w14:paraId="72F36E9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1C7D5AC7" w14:textId="77777777" w:rsidTr="0073112E">
        <w:trPr>
          <w:trHeight w:val="232"/>
        </w:trPr>
        <w:tc>
          <w:tcPr>
            <w:tcW w:w="637" w:type="pct"/>
            <w:tcBorders>
              <w:top w:val="nil"/>
              <w:left w:val="nil"/>
              <w:bottom w:val="nil"/>
              <w:right w:val="nil"/>
            </w:tcBorders>
            <w:shd w:val="clear" w:color="auto" w:fill="auto"/>
            <w:noWrap/>
            <w:vAlign w:val="center"/>
            <w:hideMark/>
          </w:tcPr>
          <w:p w14:paraId="67F9ECC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DN74460_c0_g1_i1</w:t>
            </w:r>
          </w:p>
        </w:tc>
        <w:tc>
          <w:tcPr>
            <w:tcW w:w="718" w:type="pct"/>
            <w:tcBorders>
              <w:top w:val="nil"/>
              <w:left w:val="nil"/>
              <w:bottom w:val="nil"/>
              <w:right w:val="nil"/>
            </w:tcBorders>
            <w:shd w:val="clear" w:color="auto" w:fill="auto"/>
            <w:vAlign w:val="center"/>
            <w:hideMark/>
          </w:tcPr>
          <w:p w14:paraId="79FCC88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ATP phospho</w:t>
            </w:r>
            <w:r>
              <w:rPr>
                <w:rFonts w:eastAsia="Times New Roman"/>
                <w:bCs w:val="0"/>
                <w:color w:val="000000"/>
                <w:sz w:val="19"/>
                <w:szCs w:val="19"/>
                <w:lang w:eastAsia="en-GB"/>
              </w:rPr>
              <w:t>-</w:t>
            </w:r>
            <w:r w:rsidRPr="00347C11">
              <w:rPr>
                <w:rFonts w:eastAsia="Times New Roman"/>
                <w:bCs w:val="0"/>
                <w:color w:val="000000"/>
                <w:sz w:val="19"/>
                <w:szCs w:val="19"/>
                <w:lang w:eastAsia="en-GB"/>
              </w:rPr>
              <w:t>ribosyl</w:t>
            </w:r>
            <w:r>
              <w:rPr>
                <w:rFonts w:eastAsia="Times New Roman"/>
                <w:bCs w:val="0"/>
                <w:color w:val="000000"/>
                <w:sz w:val="19"/>
                <w:szCs w:val="19"/>
                <w:lang w:eastAsia="en-GB"/>
              </w:rPr>
              <w:t>-</w:t>
            </w:r>
            <w:r w:rsidRPr="00347C11">
              <w:rPr>
                <w:rFonts w:eastAsia="Times New Roman"/>
                <w:bCs w:val="0"/>
                <w:color w:val="000000"/>
                <w:sz w:val="19"/>
                <w:szCs w:val="19"/>
                <w:lang w:eastAsia="en-GB"/>
              </w:rPr>
              <w:t>transferase 2</w:t>
            </w:r>
          </w:p>
        </w:tc>
        <w:tc>
          <w:tcPr>
            <w:tcW w:w="791" w:type="pct"/>
            <w:tcBorders>
              <w:top w:val="nil"/>
              <w:left w:val="nil"/>
              <w:bottom w:val="nil"/>
              <w:right w:val="nil"/>
            </w:tcBorders>
            <w:shd w:val="clear" w:color="auto" w:fill="auto"/>
            <w:noWrap/>
            <w:vAlign w:val="center"/>
            <w:hideMark/>
          </w:tcPr>
          <w:p w14:paraId="71A6057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092D5E7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2C8D847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4C1EF05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w:t>
            </w:r>
          </w:p>
        </w:tc>
        <w:tc>
          <w:tcPr>
            <w:tcW w:w="468" w:type="pct"/>
            <w:tcBorders>
              <w:top w:val="nil"/>
              <w:left w:val="nil"/>
              <w:bottom w:val="nil"/>
              <w:right w:val="nil"/>
            </w:tcBorders>
            <w:shd w:val="clear" w:color="auto" w:fill="auto"/>
            <w:noWrap/>
            <w:vAlign w:val="center"/>
            <w:hideMark/>
          </w:tcPr>
          <w:p w14:paraId="59F80FA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18BCCB51" w14:textId="77777777" w:rsidTr="0073112E">
        <w:trPr>
          <w:trHeight w:val="232"/>
        </w:trPr>
        <w:tc>
          <w:tcPr>
            <w:tcW w:w="637" w:type="pct"/>
            <w:tcBorders>
              <w:top w:val="nil"/>
              <w:left w:val="nil"/>
              <w:bottom w:val="nil"/>
              <w:right w:val="nil"/>
            </w:tcBorders>
            <w:shd w:val="clear" w:color="auto" w:fill="auto"/>
            <w:noWrap/>
            <w:vAlign w:val="center"/>
            <w:hideMark/>
          </w:tcPr>
          <w:p w14:paraId="1010475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DN76376_c1_g1_i3</w:t>
            </w:r>
          </w:p>
        </w:tc>
        <w:tc>
          <w:tcPr>
            <w:tcW w:w="718" w:type="pct"/>
            <w:tcBorders>
              <w:top w:val="nil"/>
              <w:left w:val="nil"/>
              <w:bottom w:val="nil"/>
              <w:right w:val="nil"/>
            </w:tcBorders>
            <w:shd w:val="clear" w:color="auto" w:fill="auto"/>
            <w:vAlign w:val="center"/>
            <w:hideMark/>
          </w:tcPr>
          <w:p w14:paraId="5B8E375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cyclin-F</w:t>
            </w:r>
          </w:p>
        </w:tc>
        <w:tc>
          <w:tcPr>
            <w:tcW w:w="791" w:type="pct"/>
            <w:tcBorders>
              <w:top w:val="nil"/>
              <w:left w:val="nil"/>
              <w:bottom w:val="nil"/>
              <w:right w:val="nil"/>
            </w:tcBorders>
            <w:shd w:val="clear" w:color="auto" w:fill="auto"/>
            <w:noWrap/>
            <w:vAlign w:val="center"/>
            <w:hideMark/>
          </w:tcPr>
          <w:p w14:paraId="79EDD0CE"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337064A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upregulated</w:t>
            </w:r>
          </w:p>
        </w:tc>
        <w:tc>
          <w:tcPr>
            <w:tcW w:w="557" w:type="pct"/>
            <w:tcBorders>
              <w:top w:val="nil"/>
              <w:left w:val="nil"/>
              <w:bottom w:val="nil"/>
              <w:right w:val="nil"/>
            </w:tcBorders>
            <w:shd w:val="clear" w:color="auto" w:fill="auto"/>
            <w:noWrap/>
            <w:vAlign w:val="center"/>
            <w:hideMark/>
          </w:tcPr>
          <w:p w14:paraId="79D1164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1</w:t>
            </w:r>
          </w:p>
        </w:tc>
        <w:tc>
          <w:tcPr>
            <w:tcW w:w="1033" w:type="pct"/>
            <w:tcBorders>
              <w:top w:val="nil"/>
              <w:left w:val="nil"/>
              <w:bottom w:val="nil"/>
              <w:right w:val="nil"/>
            </w:tcBorders>
            <w:shd w:val="clear" w:color="auto" w:fill="auto"/>
            <w:vAlign w:val="center"/>
            <w:hideMark/>
          </w:tcPr>
          <w:p w14:paraId="65509EE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heterocycle biosynthetic process, regulation of vitamin metabolic process</w:t>
            </w:r>
          </w:p>
        </w:tc>
        <w:tc>
          <w:tcPr>
            <w:tcW w:w="468" w:type="pct"/>
            <w:tcBorders>
              <w:top w:val="nil"/>
              <w:left w:val="nil"/>
              <w:bottom w:val="nil"/>
              <w:right w:val="nil"/>
            </w:tcBorders>
            <w:shd w:val="clear" w:color="auto" w:fill="auto"/>
            <w:noWrap/>
            <w:vAlign w:val="center"/>
            <w:hideMark/>
          </w:tcPr>
          <w:p w14:paraId="60EDAAC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6D61211F" w14:textId="77777777" w:rsidTr="0073112E">
        <w:trPr>
          <w:trHeight w:val="232"/>
        </w:trPr>
        <w:tc>
          <w:tcPr>
            <w:tcW w:w="637" w:type="pct"/>
            <w:tcBorders>
              <w:top w:val="nil"/>
              <w:left w:val="nil"/>
              <w:bottom w:val="nil"/>
              <w:right w:val="nil"/>
            </w:tcBorders>
            <w:shd w:val="clear" w:color="auto" w:fill="auto"/>
            <w:noWrap/>
            <w:vAlign w:val="center"/>
            <w:hideMark/>
          </w:tcPr>
          <w:p w14:paraId="1DD0990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DN74914_c0_g2_i1</w:t>
            </w:r>
          </w:p>
        </w:tc>
        <w:tc>
          <w:tcPr>
            <w:tcW w:w="718" w:type="pct"/>
            <w:tcBorders>
              <w:top w:val="nil"/>
              <w:left w:val="nil"/>
              <w:bottom w:val="nil"/>
              <w:right w:val="nil"/>
            </w:tcBorders>
            <w:shd w:val="clear" w:color="auto" w:fill="auto"/>
            <w:vAlign w:val="center"/>
            <w:hideMark/>
          </w:tcPr>
          <w:p w14:paraId="668C4B2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unnamed</w:t>
            </w:r>
          </w:p>
        </w:tc>
        <w:tc>
          <w:tcPr>
            <w:tcW w:w="791" w:type="pct"/>
            <w:tcBorders>
              <w:top w:val="nil"/>
              <w:left w:val="nil"/>
              <w:bottom w:val="nil"/>
              <w:right w:val="nil"/>
            </w:tcBorders>
            <w:shd w:val="clear" w:color="auto" w:fill="auto"/>
            <w:noWrap/>
            <w:vAlign w:val="center"/>
            <w:hideMark/>
          </w:tcPr>
          <w:p w14:paraId="2F2C29A7"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4C46C9A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52B1F6C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105559E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stress-induced mitochondrial fusion,  </w:t>
            </w:r>
            <w:r w:rsidRPr="00347C11">
              <w:rPr>
                <w:rFonts w:eastAsia="Times New Roman"/>
                <w:bCs w:val="0"/>
                <w:color w:val="000000"/>
                <w:sz w:val="19"/>
                <w:szCs w:val="19"/>
                <w:lang w:eastAsia="en-GB"/>
              </w:rPr>
              <w:lastRenderedPageBreak/>
              <w:t>mitochondrial calcium ion transmembrane transport,  positive regulation of mitochondrial membrane potential,  positive regulation of mitochondrial DNA replication,  mitochondrial protein processing,  positive regulation of cardiolipin metabolic process,  interleukin-2 production, CD4-positive alpha-beta T cell activation</w:t>
            </w:r>
          </w:p>
        </w:tc>
        <w:tc>
          <w:tcPr>
            <w:tcW w:w="468" w:type="pct"/>
            <w:tcBorders>
              <w:top w:val="nil"/>
              <w:left w:val="nil"/>
              <w:bottom w:val="nil"/>
              <w:right w:val="nil"/>
            </w:tcBorders>
            <w:shd w:val="clear" w:color="auto" w:fill="auto"/>
            <w:noWrap/>
            <w:vAlign w:val="center"/>
            <w:hideMark/>
          </w:tcPr>
          <w:p w14:paraId="3567E24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N</w:t>
            </w:r>
          </w:p>
        </w:tc>
      </w:tr>
      <w:tr w:rsidR="0073112E" w:rsidRPr="00347C11" w14:paraId="2A04C07B" w14:textId="77777777" w:rsidTr="0073112E">
        <w:trPr>
          <w:trHeight w:val="232"/>
        </w:trPr>
        <w:tc>
          <w:tcPr>
            <w:tcW w:w="637" w:type="pct"/>
            <w:tcBorders>
              <w:top w:val="nil"/>
              <w:left w:val="nil"/>
              <w:bottom w:val="nil"/>
              <w:right w:val="nil"/>
            </w:tcBorders>
            <w:shd w:val="clear" w:color="auto" w:fill="auto"/>
            <w:noWrap/>
            <w:vAlign w:val="center"/>
            <w:hideMark/>
          </w:tcPr>
          <w:p w14:paraId="4240A63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DN74914_c0_g2_i2</w:t>
            </w:r>
          </w:p>
        </w:tc>
        <w:tc>
          <w:tcPr>
            <w:tcW w:w="718" w:type="pct"/>
            <w:tcBorders>
              <w:top w:val="nil"/>
              <w:left w:val="nil"/>
              <w:bottom w:val="nil"/>
              <w:right w:val="nil"/>
            </w:tcBorders>
            <w:shd w:val="clear" w:color="auto" w:fill="auto"/>
            <w:vAlign w:val="center"/>
            <w:hideMark/>
          </w:tcPr>
          <w:p w14:paraId="45353A83"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stomatin</w:t>
            </w:r>
            <w:proofErr w:type="spellEnd"/>
            <w:r w:rsidRPr="00347C11">
              <w:rPr>
                <w:rFonts w:eastAsia="Times New Roman"/>
                <w:bCs w:val="0"/>
                <w:color w:val="000000"/>
                <w:sz w:val="19"/>
                <w:szCs w:val="19"/>
                <w:lang w:eastAsia="en-GB"/>
              </w:rPr>
              <w:t xml:space="preserve"> prohibition-family </w:t>
            </w:r>
          </w:p>
        </w:tc>
        <w:tc>
          <w:tcPr>
            <w:tcW w:w="791" w:type="pct"/>
            <w:tcBorders>
              <w:top w:val="nil"/>
              <w:left w:val="nil"/>
              <w:bottom w:val="nil"/>
              <w:right w:val="nil"/>
            </w:tcBorders>
            <w:shd w:val="clear" w:color="auto" w:fill="auto"/>
            <w:noWrap/>
            <w:vAlign w:val="center"/>
            <w:hideMark/>
          </w:tcPr>
          <w:p w14:paraId="261285B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w:t>
            </w:r>
          </w:p>
        </w:tc>
        <w:tc>
          <w:tcPr>
            <w:tcW w:w="796" w:type="pct"/>
            <w:tcBorders>
              <w:top w:val="nil"/>
              <w:left w:val="nil"/>
              <w:bottom w:val="nil"/>
              <w:right w:val="nil"/>
            </w:tcBorders>
            <w:shd w:val="clear" w:color="auto" w:fill="auto"/>
            <w:noWrap/>
            <w:vAlign w:val="center"/>
            <w:hideMark/>
          </w:tcPr>
          <w:p w14:paraId="2FA073F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398D338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78FDA9D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stress-induced mitochondrial fusion,  mitochondrial calcium ion transmembrane transport,  positive regulation of mitochondrial membrane potential,  positive regulation of mitochondrial DNA replication,  mitochondrial protein processing,  positive regulation of cardiolipin metabolic process,  interleukin-2 production, CD4-positive alpha-beta T cell activation</w:t>
            </w:r>
          </w:p>
        </w:tc>
        <w:tc>
          <w:tcPr>
            <w:tcW w:w="468" w:type="pct"/>
            <w:tcBorders>
              <w:top w:val="nil"/>
              <w:left w:val="nil"/>
              <w:bottom w:val="nil"/>
              <w:right w:val="nil"/>
            </w:tcBorders>
            <w:shd w:val="clear" w:color="auto" w:fill="auto"/>
            <w:noWrap/>
            <w:vAlign w:val="center"/>
            <w:hideMark/>
          </w:tcPr>
          <w:p w14:paraId="366A607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09EB725A" w14:textId="77777777" w:rsidTr="0073112E">
        <w:trPr>
          <w:trHeight w:val="232"/>
        </w:trPr>
        <w:tc>
          <w:tcPr>
            <w:tcW w:w="637" w:type="pct"/>
            <w:tcBorders>
              <w:top w:val="nil"/>
              <w:left w:val="nil"/>
              <w:bottom w:val="nil"/>
              <w:right w:val="nil"/>
            </w:tcBorders>
            <w:shd w:val="clear" w:color="auto" w:fill="auto"/>
            <w:noWrap/>
            <w:vAlign w:val="center"/>
            <w:hideMark/>
          </w:tcPr>
          <w:p w14:paraId="1358E81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DN74914_c0_g2_i3</w:t>
            </w:r>
          </w:p>
        </w:tc>
        <w:tc>
          <w:tcPr>
            <w:tcW w:w="718" w:type="pct"/>
            <w:tcBorders>
              <w:top w:val="nil"/>
              <w:left w:val="nil"/>
              <w:bottom w:val="nil"/>
              <w:right w:val="nil"/>
            </w:tcBorders>
            <w:shd w:val="clear" w:color="auto" w:fill="auto"/>
            <w:vAlign w:val="center"/>
            <w:hideMark/>
          </w:tcPr>
          <w:p w14:paraId="54CC2659"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stomatin</w:t>
            </w:r>
            <w:proofErr w:type="spellEnd"/>
            <w:r w:rsidRPr="00347C11">
              <w:rPr>
                <w:rFonts w:eastAsia="Times New Roman"/>
                <w:bCs w:val="0"/>
                <w:color w:val="000000"/>
                <w:sz w:val="19"/>
                <w:szCs w:val="19"/>
                <w:lang w:eastAsia="en-GB"/>
              </w:rPr>
              <w:t xml:space="preserve"> prohibition-family </w:t>
            </w:r>
          </w:p>
        </w:tc>
        <w:tc>
          <w:tcPr>
            <w:tcW w:w="791" w:type="pct"/>
            <w:tcBorders>
              <w:top w:val="nil"/>
              <w:left w:val="nil"/>
              <w:bottom w:val="nil"/>
              <w:right w:val="nil"/>
            </w:tcBorders>
            <w:shd w:val="clear" w:color="auto" w:fill="auto"/>
            <w:noWrap/>
            <w:vAlign w:val="center"/>
            <w:hideMark/>
          </w:tcPr>
          <w:p w14:paraId="36E8116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w:t>
            </w:r>
          </w:p>
        </w:tc>
        <w:tc>
          <w:tcPr>
            <w:tcW w:w="796" w:type="pct"/>
            <w:tcBorders>
              <w:top w:val="nil"/>
              <w:left w:val="nil"/>
              <w:bottom w:val="nil"/>
              <w:right w:val="nil"/>
            </w:tcBorders>
            <w:shd w:val="clear" w:color="auto" w:fill="auto"/>
            <w:noWrap/>
            <w:vAlign w:val="center"/>
            <w:hideMark/>
          </w:tcPr>
          <w:p w14:paraId="7FF16E6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6C25E75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052816B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stress-induced mitochondrial fusion,  mitochondrial </w:t>
            </w:r>
            <w:r w:rsidRPr="00347C11">
              <w:rPr>
                <w:rFonts w:eastAsia="Times New Roman"/>
                <w:bCs w:val="0"/>
                <w:color w:val="000000"/>
                <w:sz w:val="19"/>
                <w:szCs w:val="19"/>
                <w:lang w:eastAsia="en-GB"/>
              </w:rPr>
              <w:lastRenderedPageBreak/>
              <w:t>calcium ion transmembrane transport,  positive regulation of mitochondrial membrane potential,  positive regulation of mitochondrial DNA replication,  mitochondrial protein processing,  positive regulation of cardiolipin metabolic process,  interleukin-2 production, CD4-positive alpha-beta T cell activation</w:t>
            </w:r>
          </w:p>
        </w:tc>
        <w:tc>
          <w:tcPr>
            <w:tcW w:w="468" w:type="pct"/>
            <w:tcBorders>
              <w:top w:val="nil"/>
              <w:left w:val="nil"/>
              <w:bottom w:val="nil"/>
              <w:right w:val="nil"/>
            </w:tcBorders>
            <w:shd w:val="clear" w:color="auto" w:fill="auto"/>
            <w:noWrap/>
            <w:vAlign w:val="center"/>
            <w:hideMark/>
          </w:tcPr>
          <w:p w14:paraId="6DFC7A4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N</w:t>
            </w:r>
          </w:p>
        </w:tc>
      </w:tr>
      <w:tr w:rsidR="0073112E" w:rsidRPr="00347C11" w14:paraId="10D48819" w14:textId="77777777" w:rsidTr="0073112E">
        <w:trPr>
          <w:trHeight w:val="232"/>
        </w:trPr>
        <w:tc>
          <w:tcPr>
            <w:tcW w:w="637" w:type="pct"/>
            <w:tcBorders>
              <w:top w:val="nil"/>
              <w:left w:val="nil"/>
              <w:bottom w:val="nil"/>
              <w:right w:val="nil"/>
            </w:tcBorders>
            <w:shd w:val="clear" w:color="auto" w:fill="auto"/>
            <w:noWrap/>
            <w:vAlign w:val="center"/>
            <w:hideMark/>
          </w:tcPr>
          <w:p w14:paraId="288E8CB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DN74986_c0_g1_i1</w:t>
            </w:r>
          </w:p>
        </w:tc>
        <w:tc>
          <w:tcPr>
            <w:tcW w:w="718" w:type="pct"/>
            <w:tcBorders>
              <w:top w:val="nil"/>
              <w:left w:val="nil"/>
              <w:bottom w:val="nil"/>
              <w:right w:val="nil"/>
            </w:tcBorders>
            <w:shd w:val="clear" w:color="auto" w:fill="auto"/>
            <w:vAlign w:val="center"/>
            <w:hideMark/>
          </w:tcPr>
          <w:p w14:paraId="7FB7F2E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NAD+ kinase</w:t>
            </w:r>
          </w:p>
        </w:tc>
        <w:tc>
          <w:tcPr>
            <w:tcW w:w="791" w:type="pct"/>
            <w:tcBorders>
              <w:top w:val="nil"/>
              <w:left w:val="nil"/>
              <w:bottom w:val="nil"/>
              <w:right w:val="nil"/>
            </w:tcBorders>
            <w:shd w:val="clear" w:color="auto" w:fill="auto"/>
            <w:noWrap/>
            <w:vAlign w:val="center"/>
            <w:hideMark/>
          </w:tcPr>
          <w:p w14:paraId="4EEFA11A"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A043A0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6F335212"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1EE05E7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NADP metabolism</w:t>
            </w:r>
          </w:p>
        </w:tc>
        <w:tc>
          <w:tcPr>
            <w:tcW w:w="468" w:type="pct"/>
            <w:tcBorders>
              <w:top w:val="nil"/>
              <w:left w:val="nil"/>
              <w:bottom w:val="nil"/>
              <w:right w:val="nil"/>
            </w:tcBorders>
            <w:shd w:val="clear" w:color="auto" w:fill="auto"/>
            <w:noWrap/>
            <w:vAlign w:val="center"/>
            <w:hideMark/>
          </w:tcPr>
          <w:p w14:paraId="20950B0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4D65DC00" w14:textId="77777777" w:rsidTr="0073112E">
        <w:trPr>
          <w:trHeight w:val="232"/>
        </w:trPr>
        <w:tc>
          <w:tcPr>
            <w:tcW w:w="637" w:type="pct"/>
            <w:tcBorders>
              <w:top w:val="nil"/>
              <w:left w:val="nil"/>
              <w:bottom w:val="nil"/>
              <w:right w:val="nil"/>
            </w:tcBorders>
            <w:shd w:val="clear" w:color="auto" w:fill="auto"/>
            <w:noWrap/>
            <w:vAlign w:val="center"/>
            <w:hideMark/>
          </w:tcPr>
          <w:p w14:paraId="4475F349"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DN71837_c1_g1_i2</w:t>
            </w:r>
          </w:p>
        </w:tc>
        <w:tc>
          <w:tcPr>
            <w:tcW w:w="718" w:type="pct"/>
            <w:tcBorders>
              <w:top w:val="nil"/>
              <w:left w:val="nil"/>
              <w:bottom w:val="nil"/>
              <w:right w:val="nil"/>
            </w:tcBorders>
            <w:shd w:val="clear" w:color="auto" w:fill="auto"/>
            <w:vAlign w:val="center"/>
            <w:hideMark/>
          </w:tcPr>
          <w:p w14:paraId="7C0306F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CCR4-NOT transcription complex</w:t>
            </w:r>
          </w:p>
        </w:tc>
        <w:tc>
          <w:tcPr>
            <w:tcW w:w="791" w:type="pct"/>
            <w:tcBorders>
              <w:top w:val="nil"/>
              <w:left w:val="nil"/>
              <w:bottom w:val="nil"/>
              <w:right w:val="nil"/>
            </w:tcBorders>
            <w:shd w:val="clear" w:color="auto" w:fill="auto"/>
            <w:noWrap/>
            <w:vAlign w:val="center"/>
            <w:hideMark/>
          </w:tcPr>
          <w:p w14:paraId="1B2E3A13"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57769B6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7C33C61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6942F86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nuclear-transcribed mRNA poly(A) tail shortening, RNA phosphodiester bond hydrolysis, exonucleolytic, gene silencing by miRNA</w:t>
            </w:r>
          </w:p>
        </w:tc>
        <w:tc>
          <w:tcPr>
            <w:tcW w:w="468" w:type="pct"/>
            <w:tcBorders>
              <w:top w:val="nil"/>
              <w:left w:val="nil"/>
              <w:bottom w:val="nil"/>
              <w:right w:val="nil"/>
            </w:tcBorders>
            <w:shd w:val="clear" w:color="auto" w:fill="auto"/>
            <w:noWrap/>
            <w:vAlign w:val="center"/>
            <w:hideMark/>
          </w:tcPr>
          <w:p w14:paraId="4940937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5D84FFCB" w14:textId="77777777" w:rsidTr="0073112E">
        <w:trPr>
          <w:trHeight w:val="232"/>
        </w:trPr>
        <w:tc>
          <w:tcPr>
            <w:tcW w:w="637" w:type="pct"/>
            <w:tcBorders>
              <w:top w:val="nil"/>
              <w:left w:val="nil"/>
              <w:bottom w:val="nil"/>
              <w:right w:val="nil"/>
            </w:tcBorders>
            <w:shd w:val="clear" w:color="auto" w:fill="auto"/>
            <w:noWrap/>
            <w:vAlign w:val="center"/>
            <w:hideMark/>
          </w:tcPr>
          <w:p w14:paraId="57B5C67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DN71837_c1_g1_i9</w:t>
            </w:r>
          </w:p>
        </w:tc>
        <w:tc>
          <w:tcPr>
            <w:tcW w:w="718" w:type="pct"/>
            <w:tcBorders>
              <w:top w:val="nil"/>
              <w:left w:val="nil"/>
              <w:bottom w:val="nil"/>
              <w:right w:val="nil"/>
            </w:tcBorders>
            <w:shd w:val="clear" w:color="auto" w:fill="auto"/>
            <w:vAlign w:val="center"/>
            <w:hideMark/>
          </w:tcPr>
          <w:p w14:paraId="738A99B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CCR4</w:t>
            </w:r>
            <w:r>
              <w:rPr>
                <w:rFonts w:eastAsia="Times New Roman"/>
                <w:bCs w:val="0"/>
                <w:color w:val="000000"/>
                <w:sz w:val="19"/>
                <w:szCs w:val="19"/>
                <w:lang w:eastAsia="en-GB"/>
              </w:rPr>
              <w:t>-</w:t>
            </w:r>
            <w:r w:rsidRPr="00347C11">
              <w:rPr>
                <w:rFonts w:eastAsia="Times New Roman"/>
                <w:bCs w:val="0"/>
                <w:color w:val="000000"/>
                <w:sz w:val="19"/>
                <w:szCs w:val="19"/>
                <w:lang w:eastAsia="en-GB"/>
              </w:rPr>
              <w:t>NOT transcription complex</w:t>
            </w:r>
          </w:p>
        </w:tc>
        <w:tc>
          <w:tcPr>
            <w:tcW w:w="791" w:type="pct"/>
            <w:tcBorders>
              <w:top w:val="nil"/>
              <w:left w:val="nil"/>
              <w:bottom w:val="nil"/>
              <w:right w:val="nil"/>
            </w:tcBorders>
            <w:shd w:val="clear" w:color="auto" w:fill="auto"/>
            <w:noWrap/>
            <w:vAlign w:val="center"/>
            <w:hideMark/>
          </w:tcPr>
          <w:p w14:paraId="2738ECCF"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4DE1927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61BDEF0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4E88823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nuclear-transcribed mRNA poly(A) tail shortening, RNA phosphodiester bond hydrolysis, exonucleolytic, gene silencing by miRNA</w:t>
            </w:r>
          </w:p>
        </w:tc>
        <w:tc>
          <w:tcPr>
            <w:tcW w:w="468" w:type="pct"/>
            <w:tcBorders>
              <w:top w:val="nil"/>
              <w:left w:val="nil"/>
              <w:bottom w:val="nil"/>
              <w:right w:val="nil"/>
            </w:tcBorders>
            <w:shd w:val="clear" w:color="auto" w:fill="auto"/>
            <w:noWrap/>
            <w:vAlign w:val="center"/>
            <w:hideMark/>
          </w:tcPr>
          <w:p w14:paraId="65F75BAE"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6902227D" w14:textId="77777777" w:rsidTr="0073112E">
        <w:trPr>
          <w:trHeight w:val="232"/>
        </w:trPr>
        <w:tc>
          <w:tcPr>
            <w:tcW w:w="637" w:type="pct"/>
            <w:tcBorders>
              <w:top w:val="nil"/>
              <w:left w:val="nil"/>
              <w:bottom w:val="nil"/>
              <w:right w:val="nil"/>
            </w:tcBorders>
            <w:shd w:val="clear" w:color="auto" w:fill="auto"/>
            <w:noWrap/>
            <w:vAlign w:val="center"/>
            <w:hideMark/>
          </w:tcPr>
          <w:p w14:paraId="525609E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DN76337_c0_g1_i4</w:t>
            </w:r>
          </w:p>
        </w:tc>
        <w:tc>
          <w:tcPr>
            <w:tcW w:w="718" w:type="pct"/>
            <w:tcBorders>
              <w:top w:val="nil"/>
              <w:left w:val="nil"/>
              <w:bottom w:val="nil"/>
              <w:right w:val="nil"/>
            </w:tcBorders>
            <w:shd w:val="clear" w:color="auto" w:fill="auto"/>
            <w:vAlign w:val="center"/>
            <w:hideMark/>
          </w:tcPr>
          <w:p w14:paraId="49C7BA9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no hits</w:t>
            </w:r>
          </w:p>
        </w:tc>
        <w:tc>
          <w:tcPr>
            <w:tcW w:w="791" w:type="pct"/>
            <w:tcBorders>
              <w:top w:val="nil"/>
              <w:left w:val="nil"/>
              <w:bottom w:val="nil"/>
              <w:right w:val="nil"/>
            </w:tcBorders>
            <w:shd w:val="clear" w:color="auto" w:fill="auto"/>
            <w:noWrap/>
            <w:vAlign w:val="center"/>
            <w:hideMark/>
          </w:tcPr>
          <w:p w14:paraId="0E4EF9FF"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6D960C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5C61EA5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3368BD3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nuclear-transcribed mRNA poly(A) tail shortening, RNA phosphodiester bond hydrolysis, exonucleolytic, gene silencing by miRNA</w:t>
            </w:r>
          </w:p>
        </w:tc>
        <w:tc>
          <w:tcPr>
            <w:tcW w:w="468" w:type="pct"/>
            <w:tcBorders>
              <w:top w:val="nil"/>
              <w:left w:val="nil"/>
              <w:bottom w:val="nil"/>
              <w:right w:val="nil"/>
            </w:tcBorders>
            <w:shd w:val="clear" w:color="auto" w:fill="auto"/>
            <w:noWrap/>
            <w:vAlign w:val="center"/>
            <w:hideMark/>
          </w:tcPr>
          <w:p w14:paraId="5430A3A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4C64EE48" w14:textId="77777777" w:rsidTr="0073112E">
        <w:trPr>
          <w:trHeight w:val="232"/>
        </w:trPr>
        <w:tc>
          <w:tcPr>
            <w:tcW w:w="637" w:type="pct"/>
            <w:tcBorders>
              <w:top w:val="nil"/>
              <w:left w:val="nil"/>
              <w:bottom w:val="nil"/>
              <w:right w:val="nil"/>
            </w:tcBorders>
            <w:shd w:val="clear" w:color="auto" w:fill="auto"/>
            <w:noWrap/>
            <w:vAlign w:val="center"/>
            <w:hideMark/>
          </w:tcPr>
          <w:p w14:paraId="11F20EC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lastRenderedPageBreak/>
              <w:t>DN74965_c0_g4_i1</w:t>
            </w:r>
          </w:p>
        </w:tc>
        <w:tc>
          <w:tcPr>
            <w:tcW w:w="718" w:type="pct"/>
            <w:tcBorders>
              <w:top w:val="nil"/>
              <w:left w:val="nil"/>
              <w:bottom w:val="nil"/>
              <w:right w:val="nil"/>
            </w:tcBorders>
            <w:shd w:val="clear" w:color="auto" w:fill="auto"/>
            <w:vAlign w:val="center"/>
            <w:hideMark/>
          </w:tcPr>
          <w:p w14:paraId="0E2E657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glucose-6-phosphate 1-dehydro</w:t>
            </w:r>
            <w:r>
              <w:rPr>
                <w:rFonts w:eastAsia="Times New Roman"/>
                <w:bCs w:val="0"/>
                <w:color w:val="000000"/>
                <w:sz w:val="19"/>
                <w:szCs w:val="19"/>
                <w:lang w:eastAsia="en-GB"/>
              </w:rPr>
              <w:t>-</w:t>
            </w:r>
            <w:r w:rsidRPr="00347C11">
              <w:rPr>
                <w:rFonts w:eastAsia="Times New Roman"/>
                <w:bCs w:val="0"/>
                <w:color w:val="000000"/>
                <w:sz w:val="19"/>
                <w:szCs w:val="19"/>
                <w:lang w:eastAsia="en-GB"/>
              </w:rPr>
              <w:t>genase</w:t>
            </w:r>
          </w:p>
        </w:tc>
        <w:tc>
          <w:tcPr>
            <w:tcW w:w="791" w:type="pct"/>
            <w:tcBorders>
              <w:top w:val="nil"/>
              <w:left w:val="nil"/>
              <w:bottom w:val="nil"/>
              <w:right w:val="nil"/>
            </w:tcBorders>
            <w:shd w:val="clear" w:color="auto" w:fill="auto"/>
            <w:noWrap/>
            <w:vAlign w:val="center"/>
            <w:hideMark/>
          </w:tcPr>
          <w:p w14:paraId="24F7CA1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chloroplast</w:t>
            </w:r>
          </w:p>
        </w:tc>
        <w:tc>
          <w:tcPr>
            <w:tcW w:w="796" w:type="pct"/>
            <w:tcBorders>
              <w:top w:val="nil"/>
              <w:left w:val="nil"/>
              <w:bottom w:val="nil"/>
              <w:right w:val="nil"/>
            </w:tcBorders>
            <w:shd w:val="clear" w:color="auto" w:fill="auto"/>
            <w:noWrap/>
            <w:vAlign w:val="center"/>
            <w:hideMark/>
          </w:tcPr>
          <w:p w14:paraId="5110CD3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0C9D904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13B57AD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NADP metabolism</w:t>
            </w:r>
          </w:p>
        </w:tc>
        <w:tc>
          <w:tcPr>
            <w:tcW w:w="468" w:type="pct"/>
            <w:tcBorders>
              <w:top w:val="nil"/>
              <w:left w:val="nil"/>
              <w:bottom w:val="nil"/>
              <w:right w:val="nil"/>
            </w:tcBorders>
            <w:shd w:val="clear" w:color="auto" w:fill="auto"/>
            <w:noWrap/>
            <w:vAlign w:val="center"/>
            <w:hideMark/>
          </w:tcPr>
          <w:p w14:paraId="3437668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01130587" w14:textId="77777777" w:rsidTr="0073112E">
        <w:trPr>
          <w:trHeight w:val="232"/>
        </w:trPr>
        <w:tc>
          <w:tcPr>
            <w:tcW w:w="637" w:type="pct"/>
            <w:tcBorders>
              <w:top w:val="nil"/>
              <w:left w:val="nil"/>
              <w:bottom w:val="nil"/>
              <w:right w:val="nil"/>
            </w:tcBorders>
            <w:shd w:val="clear" w:color="auto" w:fill="auto"/>
            <w:noWrap/>
            <w:vAlign w:val="center"/>
            <w:hideMark/>
          </w:tcPr>
          <w:p w14:paraId="5716248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DN76337_c1_g1_i1</w:t>
            </w:r>
          </w:p>
        </w:tc>
        <w:tc>
          <w:tcPr>
            <w:tcW w:w="718" w:type="pct"/>
            <w:tcBorders>
              <w:top w:val="nil"/>
              <w:left w:val="nil"/>
              <w:bottom w:val="nil"/>
              <w:right w:val="nil"/>
            </w:tcBorders>
            <w:shd w:val="clear" w:color="auto" w:fill="auto"/>
            <w:vAlign w:val="center"/>
            <w:hideMark/>
          </w:tcPr>
          <w:p w14:paraId="07856B1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no hits</w:t>
            </w:r>
          </w:p>
        </w:tc>
        <w:tc>
          <w:tcPr>
            <w:tcW w:w="791" w:type="pct"/>
            <w:tcBorders>
              <w:top w:val="nil"/>
              <w:left w:val="nil"/>
              <w:bottom w:val="nil"/>
              <w:right w:val="nil"/>
            </w:tcBorders>
            <w:shd w:val="clear" w:color="auto" w:fill="auto"/>
            <w:noWrap/>
            <w:vAlign w:val="center"/>
            <w:hideMark/>
          </w:tcPr>
          <w:p w14:paraId="24698BAD"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020222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6BCBBFE8"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028E23E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nuclear-transcribed mRNA poly(A) tail shortening, RNA phosphodiester bond hydrolysis, exonucleolytic, gene silencing by miRNA</w:t>
            </w:r>
          </w:p>
        </w:tc>
        <w:tc>
          <w:tcPr>
            <w:tcW w:w="468" w:type="pct"/>
            <w:tcBorders>
              <w:top w:val="nil"/>
              <w:left w:val="nil"/>
              <w:bottom w:val="nil"/>
              <w:right w:val="nil"/>
            </w:tcBorders>
            <w:shd w:val="clear" w:color="auto" w:fill="auto"/>
            <w:noWrap/>
            <w:vAlign w:val="center"/>
            <w:hideMark/>
          </w:tcPr>
          <w:p w14:paraId="2203A66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6CABDB9A" w14:textId="77777777" w:rsidTr="0073112E">
        <w:trPr>
          <w:trHeight w:val="232"/>
        </w:trPr>
        <w:tc>
          <w:tcPr>
            <w:tcW w:w="637" w:type="pct"/>
            <w:tcBorders>
              <w:top w:val="nil"/>
              <w:left w:val="nil"/>
              <w:bottom w:val="nil"/>
              <w:right w:val="nil"/>
            </w:tcBorders>
            <w:shd w:val="clear" w:color="auto" w:fill="auto"/>
            <w:noWrap/>
            <w:vAlign w:val="center"/>
            <w:hideMark/>
          </w:tcPr>
          <w:p w14:paraId="51C7C33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DN69846_c0_g1_i5</w:t>
            </w:r>
          </w:p>
        </w:tc>
        <w:tc>
          <w:tcPr>
            <w:tcW w:w="718" w:type="pct"/>
            <w:tcBorders>
              <w:top w:val="nil"/>
              <w:left w:val="nil"/>
              <w:bottom w:val="nil"/>
              <w:right w:val="nil"/>
            </w:tcBorders>
            <w:shd w:val="clear" w:color="auto" w:fill="auto"/>
            <w:vAlign w:val="center"/>
            <w:hideMark/>
          </w:tcPr>
          <w:p w14:paraId="7797FCA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chaperone protein </w:t>
            </w:r>
            <w:proofErr w:type="spellStart"/>
            <w:r w:rsidRPr="00347C11">
              <w:rPr>
                <w:rFonts w:eastAsia="Times New Roman"/>
                <w:bCs w:val="0"/>
                <w:color w:val="000000"/>
                <w:sz w:val="19"/>
                <w:szCs w:val="19"/>
                <w:lang w:eastAsia="en-GB"/>
              </w:rPr>
              <w:t>dnaJ</w:t>
            </w:r>
            <w:proofErr w:type="spellEnd"/>
          </w:p>
        </w:tc>
        <w:tc>
          <w:tcPr>
            <w:tcW w:w="791" w:type="pct"/>
            <w:tcBorders>
              <w:top w:val="nil"/>
              <w:left w:val="nil"/>
              <w:bottom w:val="nil"/>
              <w:right w:val="nil"/>
            </w:tcBorders>
            <w:shd w:val="clear" w:color="auto" w:fill="auto"/>
            <w:noWrap/>
            <w:vAlign w:val="center"/>
            <w:hideMark/>
          </w:tcPr>
          <w:p w14:paraId="1CC46D69"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36A6076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1A778F81"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77C9167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chorion development</w:t>
            </w:r>
          </w:p>
        </w:tc>
        <w:tc>
          <w:tcPr>
            <w:tcW w:w="468" w:type="pct"/>
            <w:tcBorders>
              <w:top w:val="nil"/>
              <w:left w:val="nil"/>
              <w:bottom w:val="nil"/>
              <w:right w:val="nil"/>
            </w:tcBorders>
            <w:shd w:val="clear" w:color="auto" w:fill="auto"/>
            <w:noWrap/>
            <w:vAlign w:val="center"/>
            <w:hideMark/>
          </w:tcPr>
          <w:p w14:paraId="786F9B7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66111FB1" w14:textId="77777777" w:rsidTr="0073112E">
        <w:trPr>
          <w:trHeight w:val="232"/>
        </w:trPr>
        <w:tc>
          <w:tcPr>
            <w:tcW w:w="637" w:type="pct"/>
            <w:tcBorders>
              <w:top w:val="nil"/>
              <w:left w:val="nil"/>
              <w:bottom w:val="nil"/>
              <w:right w:val="nil"/>
            </w:tcBorders>
            <w:shd w:val="clear" w:color="auto" w:fill="auto"/>
            <w:noWrap/>
            <w:vAlign w:val="center"/>
            <w:hideMark/>
          </w:tcPr>
          <w:p w14:paraId="181485C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DN69846_c0_g1_i2</w:t>
            </w:r>
          </w:p>
        </w:tc>
        <w:tc>
          <w:tcPr>
            <w:tcW w:w="718" w:type="pct"/>
            <w:tcBorders>
              <w:top w:val="nil"/>
              <w:left w:val="nil"/>
              <w:bottom w:val="nil"/>
              <w:right w:val="nil"/>
            </w:tcBorders>
            <w:shd w:val="clear" w:color="auto" w:fill="auto"/>
            <w:vAlign w:val="center"/>
            <w:hideMark/>
          </w:tcPr>
          <w:p w14:paraId="665CED3F"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xml:space="preserve">chaperone protein </w:t>
            </w:r>
            <w:proofErr w:type="spellStart"/>
            <w:r w:rsidRPr="00347C11">
              <w:rPr>
                <w:rFonts w:eastAsia="Times New Roman"/>
                <w:bCs w:val="0"/>
                <w:color w:val="000000"/>
                <w:sz w:val="19"/>
                <w:szCs w:val="19"/>
                <w:lang w:eastAsia="en-GB"/>
              </w:rPr>
              <w:t>dnaJ</w:t>
            </w:r>
            <w:proofErr w:type="spellEnd"/>
          </w:p>
        </w:tc>
        <w:tc>
          <w:tcPr>
            <w:tcW w:w="791" w:type="pct"/>
            <w:tcBorders>
              <w:top w:val="nil"/>
              <w:left w:val="nil"/>
              <w:bottom w:val="nil"/>
              <w:right w:val="nil"/>
            </w:tcBorders>
            <w:shd w:val="clear" w:color="auto" w:fill="auto"/>
            <w:noWrap/>
            <w:vAlign w:val="center"/>
            <w:hideMark/>
          </w:tcPr>
          <w:p w14:paraId="16066E72" w14:textId="77777777" w:rsidR="00141875" w:rsidRPr="00347C11" w:rsidRDefault="00141875" w:rsidP="00DF1EE8">
            <w:pPr>
              <w:rPr>
                <w:rFonts w:eastAsia="Times New Roman"/>
                <w:b/>
                <w:bCs w:val="0"/>
                <w:color w:val="000000"/>
                <w:sz w:val="19"/>
                <w:szCs w:val="19"/>
                <w:lang w:eastAsia="en-GB"/>
              </w:rPr>
            </w:pPr>
          </w:p>
        </w:tc>
        <w:tc>
          <w:tcPr>
            <w:tcW w:w="796" w:type="pct"/>
            <w:tcBorders>
              <w:top w:val="nil"/>
              <w:left w:val="nil"/>
              <w:bottom w:val="nil"/>
              <w:right w:val="nil"/>
            </w:tcBorders>
            <w:shd w:val="clear" w:color="auto" w:fill="auto"/>
            <w:noWrap/>
            <w:vAlign w:val="center"/>
            <w:hideMark/>
          </w:tcPr>
          <w:p w14:paraId="0FC7B5C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7B94524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04254B3C"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chorion development</w:t>
            </w:r>
          </w:p>
        </w:tc>
        <w:tc>
          <w:tcPr>
            <w:tcW w:w="468" w:type="pct"/>
            <w:tcBorders>
              <w:top w:val="nil"/>
              <w:left w:val="nil"/>
              <w:bottom w:val="nil"/>
              <w:right w:val="nil"/>
            </w:tcBorders>
            <w:shd w:val="clear" w:color="auto" w:fill="auto"/>
            <w:noWrap/>
            <w:vAlign w:val="center"/>
            <w:hideMark/>
          </w:tcPr>
          <w:p w14:paraId="25C3DD6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r w:rsidR="0073112E" w:rsidRPr="00347C11" w14:paraId="6D9FA3D5" w14:textId="77777777" w:rsidTr="0073112E">
        <w:trPr>
          <w:trHeight w:val="232"/>
        </w:trPr>
        <w:tc>
          <w:tcPr>
            <w:tcW w:w="637" w:type="pct"/>
            <w:tcBorders>
              <w:top w:val="nil"/>
              <w:left w:val="nil"/>
              <w:bottom w:val="nil"/>
              <w:right w:val="nil"/>
            </w:tcBorders>
            <w:shd w:val="clear" w:color="auto" w:fill="auto"/>
            <w:noWrap/>
            <w:vAlign w:val="center"/>
            <w:hideMark/>
          </w:tcPr>
          <w:p w14:paraId="39F9A563"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DN76627_c1_g1_i1</w:t>
            </w:r>
          </w:p>
        </w:tc>
        <w:tc>
          <w:tcPr>
            <w:tcW w:w="718" w:type="pct"/>
            <w:tcBorders>
              <w:top w:val="nil"/>
              <w:left w:val="nil"/>
              <w:bottom w:val="nil"/>
              <w:right w:val="nil"/>
            </w:tcBorders>
            <w:shd w:val="clear" w:color="auto" w:fill="auto"/>
            <w:vAlign w:val="center"/>
            <w:hideMark/>
          </w:tcPr>
          <w:p w14:paraId="394AA9DF"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stomatin</w:t>
            </w:r>
            <w:proofErr w:type="spellEnd"/>
            <w:r w:rsidRPr="00347C11">
              <w:rPr>
                <w:rFonts w:eastAsia="Times New Roman"/>
                <w:bCs w:val="0"/>
                <w:color w:val="000000"/>
                <w:sz w:val="19"/>
                <w:szCs w:val="19"/>
                <w:lang w:eastAsia="en-GB"/>
              </w:rPr>
              <w:t xml:space="preserve"> 2</w:t>
            </w:r>
          </w:p>
        </w:tc>
        <w:tc>
          <w:tcPr>
            <w:tcW w:w="791" w:type="pct"/>
            <w:tcBorders>
              <w:top w:val="nil"/>
              <w:left w:val="nil"/>
              <w:bottom w:val="nil"/>
              <w:right w:val="nil"/>
            </w:tcBorders>
            <w:shd w:val="clear" w:color="auto" w:fill="auto"/>
            <w:noWrap/>
            <w:vAlign w:val="center"/>
            <w:hideMark/>
          </w:tcPr>
          <w:p w14:paraId="0063A0D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mitochondrion</w:t>
            </w:r>
          </w:p>
        </w:tc>
        <w:tc>
          <w:tcPr>
            <w:tcW w:w="796" w:type="pct"/>
            <w:tcBorders>
              <w:top w:val="nil"/>
              <w:left w:val="nil"/>
              <w:bottom w:val="nil"/>
              <w:right w:val="nil"/>
            </w:tcBorders>
            <w:shd w:val="clear" w:color="auto" w:fill="auto"/>
            <w:noWrap/>
            <w:vAlign w:val="center"/>
            <w:hideMark/>
          </w:tcPr>
          <w:p w14:paraId="091EF164"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nil"/>
              <w:right w:val="nil"/>
            </w:tcBorders>
            <w:shd w:val="clear" w:color="auto" w:fill="auto"/>
            <w:noWrap/>
            <w:vAlign w:val="center"/>
            <w:hideMark/>
          </w:tcPr>
          <w:p w14:paraId="031F382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nil"/>
              <w:right w:val="nil"/>
            </w:tcBorders>
            <w:shd w:val="clear" w:color="auto" w:fill="auto"/>
            <w:vAlign w:val="center"/>
            <w:hideMark/>
          </w:tcPr>
          <w:p w14:paraId="5FBA52E7"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stress-induced mitochondrial fusion, mitochondrial calcium ion transmembrane,  positive regulation of mitochondrial DNA replication transport, positive regulation of mitochondrial membrane potential, mitochondrial protein processing, positive regulation of cardiolipin metabolic process</w:t>
            </w:r>
          </w:p>
        </w:tc>
        <w:tc>
          <w:tcPr>
            <w:tcW w:w="468" w:type="pct"/>
            <w:tcBorders>
              <w:top w:val="nil"/>
              <w:left w:val="nil"/>
              <w:bottom w:val="nil"/>
              <w:right w:val="nil"/>
            </w:tcBorders>
            <w:shd w:val="clear" w:color="auto" w:fill="auto"/>
            <w:noWrap/>
            <w:vAlign w:val="center"/>
            <w:hideMark/>
          </w:tcPr>
          <w:p w14:paraId="0A0B4696"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w:t>
            </w:r>
          </w:p>
        </w:tc>
      </w:tr>
      <w:tr w:rsidR="0073112E" w:rsidRPr="00347C11" w14:paraId="456C1C52" w14:textId="77777777" w:rsidTr="0073112E">
        <w:trPr>
          <w:trHeight w:val="232"/>
        </w:trPr>
        <w:tc>
          <w:tcPr>
            <w:tcW w:w="637" w:type="pct"/>
            <w:tcBorders>
              <w:top w:val="nil"/>
              <w:left w:val="nil"/>
              <w:bottom w:val="single" w:sz="4" w:space="0" w:color="auto"/>
              <w:right w:val="nil"/>
            </w:tcBorders>
            <w:shd w:val="clear" w:color="auto" w:fill="auto"/>
            <w:noWrap/>
            <w:vAlign w:val="center"/>
            <w:hideMark/>
          </w:tcPr>
          <w:p w14:paraId="205D1D30"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DN69532_c0_g1_i2</w:t>
            </w:r>
          </w:p>
        </w:tc>
        <w:tc>
          <w:tcPr>
            <w:tcW w:w="718" w:type="pct"/>
            <w:tcBorders>
              <w:top w:val="nil"/>
              <w:left w:val="nil"/>
              <w:bottom w:val="single" w:sz="4" w:space="0" w:color="auto"/>
              <w:right w:val="nil"/>
            </w:tcBorders>
            <w:shd w:val="clear" w:color="auto" w:fill="auto"/>
            <w:vAlign w:val="center"/>
            <w:hideMark/>
          </w:tcPr>
          <w:p w14:paraId="2F358930" w14:textId="77777777" w:rsidR="00141875" w:rsidRPr="00347C11" w:rsidRDefault="00141875" w:rsidP="00DF1EE8">
            <w:pPr>
              <w:rPr>
                <w:rFonts w:eastAsia="Times New Roman"/>
                <w:b/>
                <w:bCs w:val="0"/>
                <w:color w:val="000000"/>
                <w:sz w:val="19"/>
                <w:szCs w:val="19"/>
                <w:lang w:eastAsia="en-GB"/>
              </w:rPr>
            </w:pPr>
            <w:proofErr w:type="spellStart"/>
            <w:r w:rsidRPr="00347C11">
              <w:rPr>
                <w:rFonts w:eastAsia="Times New Roman"/>
                <w:bCs w:val="0"/>
                <w:color w:val="000000"/>
                <w:sz w:val="19"/>
                <w:szCs w:val="19"/>
                <w:lang w:eastAsia="en-GB"/>
              </w:rPr>
              <w:t>transaldolase</w:t>
            </w:r>
            <w:proofErr w:type="spellEnd"/>
          </w:p>
        </w:tc>
        <w:tc>
          <w:tcPr>
            <w:tcW w:w="791" w:type="pct"/>
            <w:tcBorders>
              <w:top w:val="nil"/>
              <w:left w:val="nil"/>
              <w:bottom w:val="single" w:sz="4" w:space="0" w:color="auto"/>
              <w:right w:val="nil"/>
            </w:tcBorders>
            <w:shd w:val="clear" w:color="auto" w:fill="auto"/>
            <w:noWrap/>
            <w:vAlign w:val="center"/>
            <w:hideMark/>
          </w:tcPr>
          <w:p w14:paraId="33DCCC9B"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 </w:t>
            </w:r>
          </w:p>
        </w:tc>
        <w:tc>
          <w:tcPr>
            <w:tcW w:w="796" w:type="pct"/>
            <w:tcBorders>
              <w:top w:val="nil"/>
              <w:left w:val="nil"/>
              <w:bottom w:val="single" w:sz="4" w:space="0" w:color="auto"/>
              <w:right w:val="nil"/>
            </w:tcBorders>
            <w:shd w:val="clear" w:color="auto" w:fill="auto"/>
            <w:noWrap/>
            <w:vAlign w:val="center"/>
            <w:hideMark/>
          </w:tcPr>
          <w:p w14:paraId="38A22BC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downregulated</w:t>
            </w:r>
          </w:p>
        </w:tc>
        <w:tc>
          <w:tcPr>
            <w:tcW w:w="557" w:type="pct"/>
            <w:tcBorders>
              <w:top w:val="nil"/>
              <w:left w:val="nil"/>
              <w:bottom w:val="single" w:sz="4" w:space="0" w:color="auto"/>
              <w:right w:val="nil"/>
            </w:tcBorders>
            <w:shd w:val="clear" w:color="auto" w:fill="auto"/>
            <w:noWrap/>
            <w:vAlign w:val="center"/>
            <w:hideMark/>
          </w:tcPr>
          <w:p w14:paraId="40773AFA"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2</w:t>
            </w:r>
          </w:p>
        </w:tc>
        <w:tc>
          <w:tcPr>
            <w:tcW w:w="1033" w:type="pct"/>
            <w:tcBorders>
              <w:top w:val="nil"/>
              <w:left w:val="nil"/>
              <w:bottom w:val="single" w:sz="4" w:space="0" w:color="auto"/>
              <w:right w:val="nil"/>
            </w:tcBorders>
            <w:shd w:val="clear" w:color="auto" w:fill="auto"/>
            <w:vAlign w:val="center"/>
            <w:hideMark/>
          </w:tcPr>
          <w:p w14:paraId="391E6B0D"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NADP metabolism</w:t>
            </w:r>
          </w:p>
        </w:tc>
        <w:tc>
          <w:tcPr>
            <w:tcW w:w="468" w:type="pct"/>
            <w:tcBorders>
              <w:top w:val="nil"/>
              <w:left w:val="nil"/>
              <w:bottom w:val="single" w:sz="4" w:space="0" w:color="auto"/>
              <w:right w:val="nil"/>
            </w:tcBorders>
            <w:shd w:val="clear" w:color="auto" w:fill="auto"/>
            <w:noWrap/>
            <w:vAlign w:val="center"/>
            <w:hideMark/>
          </w:tcPr>
          <w:p w14:paraId="5EFDB095" w14:textId="77777777" w:rsidR="00141875" w:rsidRPr="00347C11" w:rsidRDefault="00141875" w:rsidP="00DF1EE8">
            <w:pPr>
              <w:rPr>
                <w:rFonts w:eastAsia="Times New Roman"/>
                <w:b/>
                <w:bCs w:val="0"/>
                <w:color w:val="000000"/>
                <w:sz w:val="19"/>
                <w:szCs w:val="19"/>
                <w:lang w:eastAsia="en-GB"/>
              </w:rPr>
            </w:pPr>
            <w:r w:rsidRPr="00347C11">
              <w:rPr>
                <w:rFonts w:eastAsia="Times New Roman"/>
                <w:bCs w:val="0"/>
                <w:color w:val="000000"/>
                <w:sz w:val="19"/>
                <w:szCs w:val="19"/>
                <w:lang w:eastAsia="en-GB"/>
              </w:rPr>
              <w:t>Y</w:t>
            </w:r>
          </w:p>
        </w:tc>
      </w:tr>
    </w:tbl>
    <w:p w14:paraId="5F87479C" w14:textId="443A61B4" w:rsidR="00926D57" w:rsidRDefault="00926D57" w:rsidP="00DF1EE8"/>
    <w:p w14:paraId="0EC30FDC" w14:textId="6C4419C0" w:rsidR="007F798A" w:rsidRDefault="007F798A" w:rsidP="00DF1EE8"/>
    <w:p w14:paraId="0B9CC8C0" w14:textId="18CE13BE" w:rsidR="007F798A" w:rsidRDefault="007F798A" w:rsidP="00DF1EE8"/>
    <w:p w14:paraId="34D81706" w14:textId="60F80118" w:rsidR="007F798A" w:rsidRDefault="007F798A" w:rsidP="00DF1EE8"/>
    <w:p w14:paraId="254ECD3D" w14:textId="77777777" w:rsidR="007F798A" w:rsidRDefault="007F798A" w:rsidP="00DF1EE8"/>
    <w:p w14:paraId="64D9B09A" w14:textId="77777777" w:rsidR="008341DB" w:rsidRDefault="008341DB" w:rsidP="00A62BA6">
      <w:pPr>
        <w:spacing w:line="276" w:lineRule="auto"/>
        <w:rPr>
          <w:color w:val="000000"/>
        </w:rPr>
      </w:pPr>
    </w:p>
    <w:p w14:paraId="12A3871E" w14:textId="0B9ADA90" w:rsidR="000263C8" w:rsidRPr="00E03B4E" w:rsidRDefault="00151228" w:rsidP="00A62BA6">
      <w:pPr>
        <w:spacing w:line="276" w:lineRule="auto"/>
        <w:rPr>
          <w:b/>
          <w:bCs w:val="0"/>
          <w:color w:val="000000"/>
          <w:sz w:val="20"/>
          <w:szCs w:val="20"/>
        </w:rPr>
      </w:pPr>
      <w:r w:rsidRPr="00FC0540">
        <w:rPr>
          <w:color w:val="000000"/>
        </w:rPr>
        <w:lastRenderedPageBreak/>
        <w:t xml:space="preserve">Table </w:t>
      </w:r>
      <w:r w:rsidR="006868AD" w:rsidRPr="00FC0540">
        <w:rPr>
          <w:color w:val="000000"/>
        </w:rPr>
        <w:t>S</w:t>
      </w:r>
      <w:r w:rsidR="0053461B" w:rsidRPr="00FC0540">
        <w:rPr>
          <w:color w:val="000000"/>
        </w:rPr>
        <w:t>4</w:t>
      </w:r>
      <w:r w:rsidRPr="00FC0540">
        <w:rPr>
          <w:color w:val="000000"/>
        </w:rPr>
        <w:t xml:space="preserve">. </w:t>
      </w:r>
      <w:r w:rsidRPr="00FC0540">
        <w:rPr>
          <w:bCs w:val="0"/>
          <w:color w:val="000000"/>
        </w:rPr>
        <w:t>Definition for abbreviations found in Fig</w:t>
      </w:r>
      <w:r w:rsidR="00416509" w:rsidRPr="00FC0540">
        <w:rPr>
          <w:bCs w:val="0"/>
          <w:color w:val="000000"/>
        </w:rPr>
        <w:t>ure</w:t>
      </w:r>
      <w:r w:rsidRPr="00FC0540">
        <w:rPr>
          <w:bCs w:val="0"/>
          <w:color w:val="000000"/>
        </w:rPr>
        <w:t xml:space="preserve"> 4, conceptual model of </w:t>
      </w:r>
      <w:r w:rsidRPr="00FC0540">
        <w:rPr>
          <w:bCs w:val="0"/>
          <w:i/>
          <w:iCs/>
          <w:color w:val="000000"/>
        </w:rPr>
        <w:t>P</w:t>
      </w:r>
      <w:r w:rsidR="0008245C" w:rsidRPr="00FC0540">
        <w:rPr>
          <w:bCs w:val="0"/>
          <w:i/>
          <w:iCs/>
          <w:color w:val="000000"/>
        </w:rPr>
        <w:t>orolithon</w:t>
      </w:r>
      <w:r w:rsidRPr="00FC0540">
        <w:rPr>
          <w:bCs w:val="0"/>
          <w:i/>
          <w:iCs/>
          <w:color w:val="000000"/>
        </w:rPr>
        <w:t xml:space="preserve"> </w:t>
      </w:r>
      <w:r w:rsidRPr="00FC0540">
        <w:rPr>
          <w:bCs w:val="0"/>
          <w:color w:val="000000"/>
        </w:rPr>
        <w:t xml:space="preserve">cf. </w:t>
      </w:r>
      <w:r w:rsidRPr="00FC0540">
        <w:rPr>
          <w:bCs w:val="0"/>
          <w:i/>
          <w:iCs/>
          <w:color w:val="000000"/>
        </w:rPr>
        <w:t>onkodes</w:t>
      </w:r>
      <w:r w:rsidRPr="00FC0540">
        <w:rPr>
          <w:bCs w:val="0"/>
          <w:color w:val="000000"/>
        </w:rPr>
        <w:t xml:space="preserve"> cell. </w:t>
      </w:r>
    </w:p>
    <w:tbl>
      <w:tblPr>
        <w:tblW w:w="4852" w:type="pct"/>
        <w:tblLook w:val="04A0" w:firstRow="1" w:lastRow="0" w:firstColumn="1" w:lastColumn="0" w:noHBand="0" w:noVBand="1"/>
      </w:tblPr>
      <w:tblGrid>
        <w:gridCol w:w="1970"/>
        <w:gridCol w:w="6826"/>
      </w:tblGrid>
      <w:tr w:rsidR="00CE2EA1" w:rsidRPr="00E03B4E" w14:paraId="24C22D24" w14:textId="77777777" w:rsidTr="00CE2EA1">
        <w:trPr>
          <w:trHeight w:val="232"/>
        </w:trPr>
        <w:tc>
          <w:tcPr>
            <w:tcW w:w="1120" w:type="pct"/>
            <w:tcBorders>
              <w:top w:val="single" w:sz="4" w:space="0" w:color="auto"/>
              <w:left w:val="nil"/>
              <w:bottom w:val="single" w:sz="4" w:space="0" w:color="auto"/>
              <w:right w:val="nil"/>
            </w:tcBorders>
            <w:shd w:val="clear" w:color="auto" w:fill="auto"/>
            <w:noWrap/>
            <w:vAlign w:val="bottom"/>
            <w:hideMark/>
          </w:tcPr>
          <w:p w14:paraId="25F74715" w14:textId="7D90957E"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Abbreviation</w:t>
            </w:r>
          </w:p>
        </w:tc>
        <w:tc>
          <w:tcPr>
            <w:tcW w:w="3880" w:type="pct"/>
            <w:tcBorders>
              <w:top w:val="single" w:sz="4" w:space="0" w:color="auto"/>
              <w:left w:val="nil"/>
              <w:bottom w:val="single" w:sz="4" w:space="0" w:color="auto"/>
              <w:right w:val="nil"/>
            </w:tcBorders>
            <w:shd w:val="clear" w:color="auto" w:fill="auto"/>
            <w:noWrap/>
            <w:vAlign w:val="bottom"/>
            <w:hideMark/>
          </w:tcPr>
          <w:p w14:paraId="1A6EB92A"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Definition</w:t>
            </w:r>
          </w:p>
        </w:tc>
      </w:tr>
      <w:tr w:rsidR="00CE2EA1" w:rsidRPr="00E03B4E" w14:paraId="181B8C6E" w14:textId="77777777" w:rsidTr="00CE2EA1">
        <w:trPr>
          <w:trHeight w:val="232"/>
        </w:trPr>
        <w:tc>
          <w:tcPr>
            <w:tcW w:w="1120" w:type="pct"/>
            <w:tcBorders>
              <w:top w:val="nil"/>
              <w:left w:val="nil"/>
              <w:bottom w:val="nil"/>
              <w:right w:val="nil"/>
            </w:tcBorders>
            <w:shd w:val="clear" w:color="auto" w:fill="auto"/>
            <w:noWrap/>
            <w:vAlign w:val="bottom"/>
            <w:hideMark/>
          </w:tcPr>
          <w:p w14:paraId="484A9059"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PGA</w:t>
            </w:r>
          </w:p>
        </w:tc>
        <w:tc>
          <w:tcPr>
            <w:tcW w:w="3880" w:type="pct"/>
            <w:tcBorders>
              <w:top w:val="nil"/>
              <w:left w:val="nil"/>
              <w:bottom w:val="nil"/>
              <w:right w:val="nil"/>
            </w:tcBorders>
            <w:shd w:val="clear" w:color="auto" w:fill="auto"/>
            <w:noWrap/>
            <w:vAlign w:val="bottom"/>
            <w:hideMark/>
          </w:tcPr>
          <w:p w14:paraId="6F90911A"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val="en-GB" w:eastAsia="en-GB"/>
              </w:rPr>
              <w:t>Phosphoglycolate</w:t>
            </w:r>
            <w:proofErr w:type="spellEnd"/>
            <w:r w:rsidRPr="00E03B4E">
              <w:rPr>
                <w:rFonts w:eastAsia="Times New Roman"/>
                <w:bCs w:val="0"/>
                <w:color w:val="000000"/>
                <w:sz w:val="19"/>
                <w:szCs w:val="19"/>
                <w:lang w:val="en-GB" w:eastAsia="en-GB"/>
              </w:rPr>
              <w:t xml:space="preserve"> phosphatase </w:t>
            </w:r>
          </w:p>
        </w:tc>
      </w:tr>
      <w:tr w:rsidR="00CE2EA1" w:rsidRPr="00E03B4E" w14:paraId="6E5CC829" w14:textId="77777777" w:rsidTr="00CE2EA1">
        <w:trPr>
          <w:trHeight w:val="232"/>
        </w:trPr>
        <w:tc>
          <w:tcPr>
            <w:tcW w:w="1120" w:type="pct"/>
            <w:tcBorders>
              <w:top w:val="nil"/>
              <w:left w:val="nil"/>
              <w:bottom w:val="nil"/>
              <w:right w:val="nil"/>
            </w:tcBorders>
            <w:shd w:val="clear" w:color="auto" w:fill="auto"/>
            <w:noWrap/>
            <w:vAlign w:val="bottom"/>
            <w:hideMark/>
          </w:tcPr>
          <w:p w14:paraId="73E726B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PGLGG1</w:t>
            </w:r>
          </w:p>
        </w:tc>
        <w:tc>
          <w:tcPr>
            <w:tcW w:w="3880" w:type="pct"/>
            <w:tcBorders>
              <w:top w:val="nil"/>
              <w:left w:val="nil"/>
              <w:bottom w:val="nil"/>
              <w:right w:val="nil"/>
            </w:tcBorders>
            <w:shd w:val="clear" w:color="auto" w:fill="auto"/>
            <w:noWrap/>
            <w:vAlign w:val="bottom"/>
            <w:hideMark/>
          </w:tcPr>
          <w:p w14:paraId="05C4EA4A"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val="en-GB" w:eastAsia="en-GB"/>
              </w:rPr>
              <w:t>Plastidal</w:t>
            </w:r>
            <w:proofErr w:type="spellEnd"/>
            <w:r w:rsidRPr="00E03B4E">
              <w:rPr>
                <w:rFonts w:eastAsia="Times New Roman"/>
                <w:bCs w:val="0"/>
                <w:color w:val="000000"/>
                <w:sz w:val="19"/>
                <w:szCs w:val="19"/>
                <w:lang w:val="en-GB" w:eastAsia="en-GB"/>
              </w:rPr>
              <w:t xml:space="preserve"> glycolate/glycerate translocator </w:t>
            </w:r>
          </w:p>
        </w:tc>
      </w:tr>
      <w:tr w:rsidR="00CE2EA1" w:rsidRPr="00E03B4E" w14:paraId="04CD4DDD" w14:textId="77777777" w:rsidTr="00CE2EA1">
        <w:trPr>
          <w:trHeight w:val="232"/>
        </w:trPr>
        <w:tc>
          <w:tcPr>
            <w:tcW w:w="1120" w:type="pct"/>
            <w:tcBorders>
              <w:top w:val="nil"/>
              <w:left w:val="nil"/>
              <w:bottom w:val="nil"/>
              <w:right w:val="nil"/>
            </w:tcBorders>
            <w:shd w:val="clear" w:color="auto" w:fill="auto"/>
            <w:noWrap/>
            <w:vAlign w:val="bottom"/>
            <w:hideMark/>
          </w:tcPr>
          <w:p w14:paraId="7877BE5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PPP</w:t>
            </w:r>
          </w:p>
        </w:tc>
        <w:tc>
          <w:tcPr>
            <w:tcW w:w="3880" w:type="pct"/>
            <w:tcBorders>
              <w:top w:val="nil"/>
              <w:left w:val="nil"/>
              <w:bottom w:val="nil"/>
              <w:right w:val="nil"/>
            </w:tcBorders>
            <w:shd w:val="clear" w:color="auto" w:fill="auto"/>
            <w:noWrap/>
            <w:vAlign w:val="bottom"/>
            <w:hideMark/>
          </w:tcPr>
          <w:p w14:paraId="24CDC362"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Pentose phosphate pathway </w:t>
            </w:r>
          </w:p>
        </w:tc>
      </w:tr>
      <w:tr w:rsidR="00CE2EA1" w:rsidRPr="00E03B4E" w14:paraId="78BDB385" w14:textId="77777777" w:rsidTr="00CE2EA1">
        <w:trPr>
          <w:trHeight w:val="232"/>
        </w:trPr>
        <w:tc>
          <w:tcPr>
            <w:tcW w:w="1120" w:type="pct"/>
            <w:tcBorders>
              <w:top w:val="nil"/>
              <w:left w:val="nil"/>
              <w:bottom w:val="nil"/>
              <w:right w:val="nil"/>
            </w:tcBorders>
            <w:shd w:val="clear" w:color="auto" w:fill="auto"/>
            <w:noWrap/>
            <w:vAlign w:val="bottom"/>
            <w:hideMark/>
          </w:tcPr>
          <w:p w14:paraId="5330C0CB"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G6PDH</w:t>
            </w:r>
          </w:p>
        </w:tc>
        <w:tc>
          <w:tcPr>
            <w:tcW w:w="3880" w:type="pct"/>
            <w:tcBorders>
              <w:top w:val="nil"/>
              <w:left w:val="nil"/>
              <w:bottom w:val="nil"/>
              <w:right w:val="nil"/>
            </w:tcBorders>
            <w:shd w:val="clear" w:color="auto" w:fill="auto"/>
            <w:noWrap/>
            <w:vAlign w:val="bottom"/>
            <w:hideMark/>
          </w:tcPr>
          <w:p w14:paraId="10611DB7"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Glucose-6-phosphate 1-dehydrogenase</w:t>
            </w:r>
          </w:p>
        </w:tc>
      </w:tr>
      <w:tr w:rsidR="00CE2EA1" w:rsidRPr="00E03B4E" w14:paraId="6CDAFCD8" w14:textId="77777777" w:rsidTr="00CE2EA1">
        <w:trPr>
          <w:trHeight w:val="232"/>
        </w:trPr>
        <w:tc>
          <w:tcPr>
            <w:tcW w:w="1120" w:type="pct"/>
            <w:tcBorders>
              <w:top w:val="nil"/>
              <w:left w:val="nil"/>
              <w:bottom w:val="nil"/>
              <w:right w:val="nil"/>
            </w:tcBorders>
            <w:shd w:val="clear" w:color="auto" w:fill="auto"/>
            <w:noWrap/>
            <w:vAlign w:val="bottom"/>
            <w:hideMark/>
          </w:tcPr>
          <w:p w14:paraId="209CDE71"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6PGL</w:t>
            </w:r>
          </w:p>
        </w:tc>
        <w:tc>
          <w:tcPr>
            <w:tcW w:w="3880" w:type="pct"/>
            <w:tcBorders>
              <w:top w:val="nil"/>
              <w:left w:val="nil"/>
              <w:bottom w:val="nil"/>
              <w:right w:val="nil"/>
            </w:tcBorders>
            <w:shd w:val="clear" w:color="auto" w:fill="auto"/>
            <w:noWrap/>
            <w:vAlign w:val="bottom"/>
            <w:hideMark/>
          </w:tcPr>
          <w:p w14:paraId="3D0E68E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6-phosphogluconolactonase </w:t>
            </w:r>
          </w:p>
        </w:tc>
      </w:tr>
      <w:tr w:rsidR="00CE2EA1" w:rsidRPr="00E03B4E" w14:paraId="63FA2530" w14:textId="77777777" w:rsidTr="00CE2EA1">
        <w:trPr>
          <w:trHeight w:val="232"/>
        </w:trPr>
        <w:tc>
          <w:tcPr>
            <w:tcW w:w="1120" w:type="pct"/>
            <w:tcBorders>
              <w:top w:val="nil"/>
              <w:left w:val="nil"/>
              <w:bottom w:val="nil"/>
              <w:right w:val="nil"/>
            </w:tcBorders>
            <w:shd w:val="clear" w:color="auto" w:fill="auto"/>
            <w:noWrap/>
            <w:vAlign w:val="bottom"/>
            <w:hideMark/>
          </w:tcPr>
          <w:p w14:paraId="2822DAA3"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6PGDH</w:t>
            </w:r>
          </w:p>
        </w:tc>
        <w:tc>
          <w:tcPr>
            <w:tcW w:w="3880" w:type="pct"/>
            <w:tcBorders>
              <w:top w:val="nil"/>
              <w:left w:val="nil"/>
              <w:bottom w:val="nil"/>
              <w:right w:val="nil"/>
            </w:tcBorders>
            <w:shd w:val="clear" w:color="auto" w:fill="auto"/>
            <w:noWrap/>
            <w:vAlign w:val="bottom"/>
            <w:hideMark/>
          </w:tcPr>
          <w:p w14:paraId="5C2A75E8"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6-phosphogluconate dehydrogenase</w:t>
            </w:r>
          </w:p>
        </w:tc>
      </w:tr>
      <w:tr w:rsidR="00CE2EA1" w:rsidRPr="00E03B4E" w14:paraId="58126FA1" w14:textId="77777777" w:rsidTr="00CE2EA1">
        <w:trPr>
          <w:trHeight w:val="232"/>
        </w:trPr>
        <w:tc>
          <w:tcPr>
            <w:tcW w:w="1120" w:type="pct"/>
            <w:tcBorders>
              <w:top w:val="nil"/>
              <w:left w:val="nil"/>
              <w:bottom w:val="nil"/>
              <w:right w:val="nil"/>
            </w:tcBorders>
            <w:shd w:val="clear" w:color="auto" w:fill="auto"/>
            <w:noWrap/>
            <w:vAlign w:val="bottom"/>
            <w:hideMark/>
          </w:tcPr>
          <w:p w14:paraId="0E718F76"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RPI</w:t>
            </w:r>
          </w:p>
        </w:tc>
        <w:tc>
          <w:tcPr>
            <w:tcW w:w="3880" w:type="pct"/>
            <w:tcBorders>
              <w:top w:val="nil"/>
              <w:left w:val="nil"/>
              <w:bottom w:val="nil"/>
              <w:right w:val="nil"/>
            </w:tcBorders>
            <w:shd w:val="clear" w:color="auto" w:fill="auto"/>
            <w:noWrap/>
            <w:vAlign w:val="bottom"/>
            <w:hideMark/>
          </w:tcPr>
          <w:p w14:paraId="3599605C"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Ribose 5-phosphate isomerase</w:t>
            </w:r>
          </w:p>
        </w:tc>
      </w:tr>
      <w:tr w:rsidR="00CE2EA1" w:rsidRPr="00E03B4E" w14:paraId="79350EC8" w14:textId="77777777" w:rsidTr="00CE2EA1">
        <w:trPr>
          <w:trHeight w:val="232"/>
        </w:trPr>
        <w:tc>
          <w:tcPr>
            <w:tcW w:w="1120" w:type="pct"/>
            <w:tcBorders>
              <w:top w:val="nil"/>
              <w:left w:val="nil"/>
              <w:bottom w:val="nil"/>
              <w:right w:val="nil"/>
            </w:tcBorders>
            <w:shd w:val="clear" w:color="auto" w:fill="auto"/>
            <w:noWrap/>
            <w:vAlign w:val="bottom"/>
            <w:hideMark/>
          </w:tcPr>
          <w:p w14:paraId="565154E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TK</w:t>
            </w:r>
          </w:p>
        </w:tc>
        <w:tc>
          <w:tcPr>
            <w:tcW w:w="3880" w:type="pct"/>
            <w:tcBorders>
              <w:top w:val="nil"/>
              <w:left w:val="nil"/>
              <w:bottom w:val="nil"/>
              <w:right w:val="nil"/>
            </w:tcBorders>
            <w:shd w:val="clear" w:color="auto" w:fill="auto"/>
            <w:noWrap/>
            <w:vAlign w:val="bottom"/>
            <w:hideMark/>
          </w:tcPr>
          <w:p w14:paraId="0932B421"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Transketolase </w:t>
            </w:r>
          </w:p>
        </w:tc>
      </w:tr>
      <w:tr w:rsidR="00CE2EA1" w:rsidRPr="00E03B4E" w14:paraId="6EDD8130" w14:textId="77777777" w:rsidTr="00CE2EA1">
        <w:trPr>
          <w:trHeight w:val="232"/>
        </w:trPr>
        <w:tc>
          <w:tcPr>
            <w:tcW w:w="1120" w:type="pct"/>
            <w:tcBorders>
              <w:top w:val="nil"/>
              <w:left w:val="nil"/>
              <w:bottom w:val="nil"/>
              <w:right w:val="nil"/>
            </w:tcBorders>
            <w:shd w:val="clear" w:color="auto" w:fill="auto"/>
            <w:noWrap/>
            <w:vAlign w:val="bottom"/>
            <w:hideMark/>
          </w:tcPr>
          <w:p w14:paraId="038502B9"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TAL</w:t>
            </w:r>
          </w:p>
        </w:tc>
        <w:tc>
          <w:tcPr>
            <w:tcW w:w="3880" w:type="pct"/>
            <w:tcBorders>
              <w:top w:val="nil"/>
              <w:left w:val="nil"/>
              <w:bottom w:val="nil"/>
              <w:right w:val="nil"/>
            </w:tcBorders>
            <w:shd w:val="clear" w:color="auto" w:fill="auto"/>
            <w:noWrap/>
            <w:vAlign w:val="bottom"/>
            <w:hideMark/>
          </w:tcPr>
          <w:p w14:paraId="20C6349F"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eastAsia="en-GB"/>
              </w:rPr>
              <w:t>Transaldolase</w:t>
            </w:r>
            <w:proofErr w:type="spellEnd"/>
            <w:r w:rsidRPr="00E03B4E">
              <w:rPr>
                <w:rFonts w:eastAsia="Times New Roman"/>
                <w:bCs w:val="0"/>
                <w:color w:val="000000"/>
                <w:sz w:val="19"/>
                <w:szCs w:val="19"/>
                <w:lang w:eastAsia="en-GB"/>
              </w:rPr>
              <w:t xml:space="preserve"> </w:t>
            </w:r>
          </w:p>
        </w:tc>
      </w:tr>
      <w:tr w:rsidR="00CE2EA1" w:rsidRPr="00E03B4E" w14:paraId="01E9A714" w14:textId="77777777" w:rsidTr="00CE2EA1">
        <w:trPr>
          <w:trHeight w:val="232"/>
        </w:trPr>
        <w:tc>
          <w:tcPr>
            <w:tcW w:w="1120" w:type="pct"/>
            <w:tcBorders>
              <w:top w:val="nil"/>
              <w:left w:val="nil"/>
              <w:bottom w:val="nil"/>
              <w:right w:val="nil"/>
            </w:tcBorders>
            <w:shd w:val="clear" w:color="auto" w:fill="auto"/>
            <w:noWrap/>
            <w:vAlign w:val="bottom"/>
            <w:hideMark/>
          </w:tcPr>
          <w:p w14:paraId="42B20EF1"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SH17BPase</w:t>
            </w:r>
          </w:p>
        </w:tc>
        <w:tc>
          <w:tcPr>
            <w:tcW w:w="3880" w:type="pct"/>
            <w:tcBorders>
              <w:top w:val="nil"/>
              <w:left w:val="nil"/>
              <w:bottom w:val="nil"/>
              <w:right w:val="nil"/>
            </w:tcBorders>
            <w:shd w:val="clear" w:color="auto" w:fill="auto"/>
            <w:noWrap/>
            <w:vAlign w:val="bottom"/>
            <w:hideMark/>
          </w:tcPr>
          <w:p w14:paraId="43F3FACF"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val="en-GB" w:eastAsia="en-GB"/>
              </w:rPr>
              <w:t>Sedoheptulose</w:t>
            </w:r>
            <w:proofErr w:type="spellEnd"/>
            <w:r w:rsidRPr="00E03B4E">
              <w:rPr>
                <w:rFonts w:eastAsia="Times New Roman"/>
                <w:bCs w:val="0"/>
                <w:color w:val="000000"/>
                <w:sz w:val="19"/>
                <w:szCs w:val="19"/>
                <w:lang w:val="en-GB" w:eastAsia="en-GB"/>
              </w:rPr>
              <w:t xml:space="preserve"> 1,7-biphosphatase </w:t>
            </w:r>
          </w:p>
        </w:tc>
      </w:tr>
      <w:tr w:rsidR="00CE2EA1" w:rsidRPr="00E03B4E" w14:paraId="1EA5ECE8" w14:textId="77777777" w:rsidTr="00CE2EA1">
        <w:trPr>
          <w:trHeight w:val="232"/>
        </w:trPr>
        <w:tc>
          <w:tcPr>
            <w:tcW w:w="1120" w:type="pct"/>
            <w:tcBorders>
              <w:top w:val="nil"/>
              <w:left w:val="nil"/>
              <w:bottom w:val="nil"/>
              <w:right w:val="nil"/>
            </w:tcBorders>
            <w:shd w:val="clear" w:color="auto" w:fill="auto"/>
            <w:noWrap/>
            <w:vAlign w:val="bottom"/>
            <w:hideMark/>
          </w:tcPr>
          <w:p w14:paraId="7BBB4F80"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PRK</w:t>
            </w:r>
          </w:p>
        </w:tc>
        <w:tc>
          <w:tcPr>
            <w:tcW w:w="3880" w:type="pct"/>
            <w:tcBorders>
              <w:top w:val="nil"/>
              <w:left w:val="nil"/>
              <w:bottom w:val="nil"/>
              <w:right w:val="nil"/>
            </w:tcBorders>
            <w:shd w:val="clear" w:color="auto" w:fill="auto"/>
            <w:noWrap/>
            <w:vAlign w:val="bottom"/>
            <w:hideMark/>
          </w:tcPr>
          <w:p w14:paraId="5BE5EC45"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val="en-GB" w:eastAsia="en-GB"/>
              </w:rPr>
              <w:t>Phosphoribulokinase</w:t>
            </w:r>
            <w:proofErr w:type="spellEnd"/>
            <w:r w:rsidRPr="00E03B4E">
              <w:rPr>
                <w:rFonts w:eastAsia="Times New Roman"/>
                <w:bCs w:val="0"/>
                <w:color w:val="000000"/>
                <w:sz w:val="19"/>
                <w:szCs w:val="19"/>
                <w:lang w:val="en-GB" w:eastAsia="en-GB"/>
              </w:rPr>
              <w:t xml:space="preserve"> </w:t>
            </w:r>
          </w:p>
        </w:tc>
      </w:tr>
      <w:tr w:rsidR="00CE2EA1" w:rsidRPr="00E03B4E" w14:paraId="33B81C22" w14:textId="77777777" w:rsidTr="00CE2EA1">
        <w:trPr>
          <w:trHeight w:val="232"/>
        </w:trPr>
        <w:tc>
          <w:tcPr>
            <w:tcW w:w="1120" w:type="pct"/>
            <w:tcBorders>
              <w:top w:val="nil"/>
              <w:left w:val="nil"/>
              <w:bottom w:val="nil"/>
              <w:right w:val="nil"/>
            </w:tcBorders>
            <w:shd w:val="clear" w:color="auto" w:fill="auto"/>
            <w:noWrap/>
            <w:vAlign w:val="bottom"/>
            <w:hideMark/>
          </w:tcPr>
          <w:p w14:paraId="5E7E51F4" w14:textId="77777777" w:rsidR="00054C2A" w:rsidRPr="00E03B4E" w:rsidRDefault="00054C2A" w:rsidP="00DF1EE8">
            <w:pPr>
              <w:rPr>
                <w:rFonts w:eastAsia="Times New Roman"/>
                <w:b/>
                <w:bCs w:val="0"/>
                <w:color w:val="000000"/>
                <w:sz w:val="19"/>
                <w:szCs w:val="19"/>
                <w:lang w:eastAsia="en-GB"/>
              </w:rPr>
            </w:pPr>
            <w:proofErr w:type="spellStart"/>
            <w:r w:rsidRPr="00E03B4E">
              <w:rPr>
                <w:rFonts w:eastAsia="Times New Roman"/>
                <w:bCs w:val="0"/>
                <w:color w:val="000000"/>
                <w:sz w:val="19"/>
                <w:szCs w:val="19"/>
                <w:lang w:eastAsia="en-GB"/>
              </w:rPr>
              <w:t>RuBisCO</w:t>
            </w:r>
            <w:proofErr w:type="spellEnd"/>
          </w:p>
        </w:tc>
        <w:tc>
          <w:tcPr>
            <w:tcW w:w="3880" w:type="pct"/>
            <w:tcBorders>
              <w:top w:val="nil"/>
              <w:left w:val="nil"/>
              <w:bottom w:val="nil"/>
              <w:right w:val="nil"/>
            </w:tcBorders>
            <w:shd w:val="clear" w:color="auto" w:fill="auto"/>
            <w:noWrap/>
            <w:vAlign w:val="bottom"/>
            <w:hideMark/>
          </w:tcPr>
          <w:p w14:paraId="2F1AD708"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Ribulose-1,5-biphosphate carboxylase/oxygenase </w:t>
            </w:r>
          </w:p>
        </w:tc>
      </w:tr>
      <w:tr w:rsidR="00CE2EA1" w:rsidRPr="00E03B4E" w14:paraId="6F0BAAE6" w14:textId="77777777" w:rsidTr="00CE2EA1">
        <w:trPr>
          <w:trHeight w:val="232"/>
        </w:trPr>
        <w:tc>
          <w:tcPr>
            <w:tcW w:w="1120" w:type="pct"/>
            <w:tcBorders>
              <w:top w:val="nil"/>
              <w:left w:val="nil"/>
              <w:bottom w:val="nil"/>
              <w:right w:val="nil"/>
            </w:tcBorders>
            <w:shd w:val="clear" w:color="auto" w:fill="auto"/>
            <w:noWrap/>
            <w:vAlign w:val="bottom"/>
            <w:hideMark/>
          </w:tcPr>
          <w:p w14:paraId="391C101B"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PGK</w:t>
            </w:r>
          </w:p>
        </w:tc>
        <w:tc>
          <w:tcPr>
            <w:tcW w:w="3880" w:type="pct"/>
            <w:tcBorders>
              <w:top w:val="nil"/>
              <w:left w:val="nil"/>
              <w:bottom w:val="nil"/>
              <w:right w:val="nil"/>
            </w:tcBorders>
            <w:shd w:val="clear" w:color="auto" w:fill="auto"/>
            <w:noWrap/>
            <w:vAlign w:val="bottom"/>
            <w:hideMark/>
          </w:tcPr>
          <w:p w14:paraId="04A2A7CA"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Phosphoglycerate kinase </w:t>
            </w:r>
          </w:p>
        </w:tc>
      </w:tr>
      <w:tr w:rsidR="00CE2EA1" w:rsidRPr="00E03B4E" w14:paraId="2DC4C1F5" w14:textId="77777777" w:rsidTr="00CE2EA1">
        <w:trPr>
          <w:trHeight w:val="232"/>
        </w:trPr>
        <w:tc>
          <w:tcPr>
            <w:tcW w:w="1120" w:type="pct"/>
            <w:tcBorders>
              <w:top w:val="nil"/>
              <w:left w:val="nil"/>
              <w:bottom w:val="nil"/>
              <w:right w:val="nil"/>
            </w:tcBorders>
            <w:shd w:val="clear" w:color="auto" w:fill="auto"/>
            <w:noWrap/>
            <w:vAlign w:val="bottom"/>
            <w:hideMark/>
          </w:tcPr>
          <w:p w14:paraId="2DA83470"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GAPDH</w:t>
            </w:r>
          </w:p>
        </w:tc>
        <w:tc>
          <w:tcPr>
            <w:tcW w:w="3880" w:type="pct"/>
            <w:tcBorders>
              <w:top w:val="nil"/>
              <w:left w:val="nil"/>
              <w:bottom w:val="nil"/>
              <w:right w:val="nil"/>
            </w:tcBorders>
            <w:shd w:val="clear" w:color="auto" w:fill="auto"/>
            <w:noWrap/>
            <w:vAlign w:val="bottom"/>
            <w:hideMark/>
          </w:tcPr>
          <w:p w14:paraId="28F0825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Glyceraldehyde-3 phosphate dehydrogenase </w:t>
            </w:r>
          </w:p>
        </w:tc>
      </w:tr>
      <w:tr w:rsidR="00CE2EA1" w:rsidRPr="00E03B4E" w14:paraId="1C035740" w14:textId="77777777" w:rsidTr="00CE2EA1">
        <w:trPr>
          <w:trHeight w:val="232"/>
        </w:trPr>
        <w:tc>
          <w:tcPr>
            <w:tcW w:w="1120" w:type="pct"/>
            <w:tcBorders>
              <w:top w:val="nil"/>
              <w:left w:val="nil"/>
              <w:bottom w:val="nil"/>
              <w:right w:val="nil"/>
            </w:tcBorders>
            <w:shd w:val="clear" w:color="auto" w:fill="auto"/>
            <w:noWrap/>
            <w:vAlign w:val="bottom"/>
            <w:hideMark/>
          </w:tcPr>
          <w:p w14:paraId="7051ADFD"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TPI</w:t>
            </w:r>
          </w:p>
        </w:tc>
        <w:tc>
          <w:tcPr>
            <w:tcW w:w="3880" w:type="pct"/>
            <w:tcBorders>
              <w:top w:val="nil"/>
              <w:left w:val="nil"/>
              <w:bottom w:val="nil"/>
              <w:right w:val="nil"/>
            </w:tcBorders>
            <w:shd w:val="clear" w:color="auto" w:fill="auto"/>
            <w:noWrap/>
            <w:vAlign w:val="bottom"/>
            <w:hideMark/>
          </w:tcPr>
          <w:p w14:paraId="088CC8E3"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Triosephosphate isomerase </w:t>
            </w:r>
          </w:p>
        </w:tc>
      </w:tr>
      <w:tr w:rsidR="00CE2EA1" w:rsidRPr="00E03B4E" w14:paraId="66410BC9" w14:textId="77777777" w:rsidTr="00CE2EA1">
        <w:trPr>
          <w:trHeight w:val="232"/>
        </w:trPr>
        <w:tc>
          <w:tcPr>
            <w:tcW w:w="1120" w:type="pct"/>
            <w:tcBorders>
              <w:top w:val="nil"/>
              <w:left w:val="nil"/>
              <w:bottom w:val="nil"/>
              <w:right w:val="nil"/>
            </w:tcBorders>
            <w:shd w:val="clear" w:color="auto" w:fill="auto"/>
            <w:noWrap/>
            <w:vAlign w:val="bottom"/>
            <w:hideMark/>
          </w:tcPr>
          <w:p w14:paraId="47370139"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FBA</w:t>
            </w:r>
          </w:p>
        </w:tc>
        <w:tc>
          <w:tcPr>
            <w:tcW w:w="3880" w:type="pct"/>
            <w:tcBorders>
              <w:top w:val="nil"/>
              <w:left w:val="nil"/>
              <w:bottom w:val="nil"/>
              <w:right w:val="nil"/>
            </w:tcBorders>
            <w:shd w:val="clear" w:color="auto" w:fill="auto"/>
            <w:noWrap/>
            <w:vAlign w:val="bottom"/>
            <w:hideMark/>
          </w:tcPr>
          <w:p w14:paraId="2436D2C8"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Fructose-bisphosphate aldolase </w:t>
            </w:r>
          </w:p>
        </w:tc>
      </w:tr>
      <w:tr w:rsidR="00CE2EA1" w:rsidRPr="00E03B4E" w14:paraId="44E924DD" w14:textId="77777777" w:rsidTr="00CE2EA1">
        <w:trPr>
          <w:trHeight w:val="232"/>
        </w:trPr>
        <w:tc>
          <w:tcPr>
            <w:tcW w:w="1120" w:type="pct"/>
            <w:tcBorders>
              <w:top w:val="nil"/>
              <w:left w:val="nil"/>
              <w:bottom w:val="nil"/>
              <w:right w:val="nil"/>
            </w:tcBorders>
            <w:shd w:val="clear" w:color="auto" w:fill="auto"/>
            <w:noWrap/>
            <w:vAlign w:val="bottom"/>
            <w:hideMark/>
          </w:tcPr>
          <w:p w14:paraId="686E02A5"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TPT</w:t>
            </w:r>
          </w:p>
        </w:tc>
        <w:tc>
          <w:tcPr>
            <w:tcW w:w="3880" w:type="pct"/>
            <w:tcBorders>
              <w:top w:val="nil"/>
              <w:left w:val="nil"/>
              <w:bottom w:val="nil"/>
              <w:right w:val="nil"/>
            </w:tcBorders>
            <w:shd w:val="clear" w:color="auto" w:fill="auto"/>
            <w:noWrap/>
            <w:vAlign w:val="bottom"/>
            <w:hideMark/>
          </w:tcPr>
          <w:p w14:paraId="5F6871F8"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Triose phosphate/phosphate translocator </w:t>
            </w:r>
          </w:p>
        </w:tc>
      </w:tr>
      <w:tr w:rsidR="00CE2EA1" w:rsidRPr="00E03B4E" w14:paraId="5A3D9E34" w14:textId="77777777" w:rsidTr="00CE2EA1">
        <w:trPr>
          <w:trHeight w:val="232"/>
        </w:trPr>
        <w:tc>
          <w:tcPr>
            <w:tcW w:w="1120" w:type="pct"/>
            <w:tcBorders>
              <w:top w:val="nil"/>
              <w:left w:val="nil"/>
              <w:bottom w:val="nil"/>
              <w:right w:val="nil"/>
            </w:tcBorders>
            <w:shd w:val="clear" w:color="auto" w:fill="auto"/>
            <w:noWrap/>
            <w:vAlign w:val="bottom"/>
            <w:hideMark/>
          </w:tcPr>
          <w:p w14:paraId="3F381019"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w:t>
            </w:r>
            <w:r w:rsidRPr="00E03B4E">
              <w:rPr>
                <w:rFonts w:eastAsia="Times New Roman"/>
                <w:bCs w:val="0"/>
                <w:color w:val="000000"/>
                <w:sz w:val="19"/>
                <w:szCs w:val="19"/>
                <w:vertAlign w:val="subscript"/>
                <w:lang w:eastAsia="en-GB"/>
              </w:rPr>
              <w:t>i</w:t>
            </w:r>
          </w:p>
        </w:tc>
        <w:tc>
          <w:tcPr>
            <w:tcW w:w="3880" w:type="pct"/>
            <w:tcBorders>
              <w:top w:val="nil"/>
              <w:left w:val="nil"/>
              <w:bottom w:val="nil"/>
              <w:right w:val="nil"/>
            </w:tcBorders>
            <w:shd w:val="clear" w:color="auto" w:fill="auto"/>
            <w:noWrap/>
            <w:vAlign w:val="bottom"/>
            <w:hideMark/>
          </w:tcPr>
          <w:p w14:paraId="64CE5271"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Inorganic phosphate</w:t>
            </w:r>
          </w:p>
        </w:tc>
      </w:tr>
      <w:tr w:rsidR="00CE2EA1" w:rsidRPr="00E03B4E" w14:paraId="681288AB" w14:textId="77777777" w:rsidTr="00CE2EA1">
        <w:trPr>
          <w:trHeight w:val="232"/>
        </w:trPr>
        <w:tc>
          <w:tcPr>
            <w:tcW w:w="1120" w:type="pct"/>
            <w:tcBorders>
              <w:top w:val="nil"/>
              <w:left w:val="nil"/>
              <w:bottom w:val="single" w:sz="4" w:space="0" w:color="auto"/>
              <w:right w:val="nil"/>
            </w:tcBorders>
            <w:shd w:val="clear" w:color="auto" w:fill="auto"/>
            <w:noWrap/>
            <w:vAlign w:val="bottom"/>
            <w:hideMark/>
          </w:tcPr>
          <w:p w14:paraId="08EB12FA"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eastAsia="en-GB"/>
              </w:rPr>
              <w:t>PGR5</w:t>
            </w:r>
          </w:p>
        </w:tc>
        <w:tc>
          <w:tcPr>
            <w:tcW w:w="3880" w:type="pct"/>
            <w:tcBorders>
              <w:top w:val="nil"/>
              <w:left w:val="nil"/>
              <w:bottom w:val="single" w:sz="4" w:space="0" w:color="auto"/>
              <w:right w:val="nil"/>
            </w:tcBorders>
            <w:shd w:val="clear" w:color="auto" w:fill="auto"/>
            <w:noWrap/>
            <w:vAlign w:val="bottom"/>
            <w:hideMark/>
          </w:tcPr>
          <w:p w14:paraId="3D43AB61" w14:textId="77777777" w:rsidR="00054C2A" w:rsidRPr="00E03B4E" w:rsidRDefault="00054C2A" w:rsidP="00DF1EE8">
            <w:pPr>
              <w:rPr>
                <w:rFonts w:eastAsia="Times New Roman"/>
                <w:b/>
                <w:bCs w:val="0"/>
                <w:color w:val="000000"/>
                <w:sz w:val="19"/>
                <w:szCs w:val="19"/>
                <w:lang w:eastAsia="en-GB"/>
              </w:rPr>
            </w:pPr>
            <w:r w:rsidRPr="00E03B4E">
              <w:rPr>
                <w:rFonts w:eastAsia="Times New Roman"/>
                <w:bCs w:val="0"/>
                <w:color w:val="000000"/>
                <w:sz w:val="19"/>
                <w:szCs w:val="19"/>
                <w:lang w:val="en-GB" w:eastAsia="en-GB"/>
              </w:rPr>
              <w:t xml:space="preserve">Proton gradient regulation 5 </w:t>
            </w:r>
          </w:p>
        </w:tc>
      </w:tr>
    </w:tbl>
    <w:p w14:paraId="351A97FD" w14:textId="77777777" w:rsidR="00896920" w:rsidRPr="00E03B4E" w:rsidRDefault="00896920" w:rsidP="00DF1EE8">
      <w:pPr>
        <w:rPr>
          <w:color w:val="000000"/>
        </w:rPr>
      </w:pPr>
    </w:p>
    <w:p w14:paraId="26D22EEB" w14:textId="49E043C1" w:rsidR="000263C8" w:rsidRPr="00E03B4E" w:rsidRDefault="00590035" w:rsidP="00A62BA6">
      <w:pPr>
        <w:spacing w:line="276" w:lineRule="auto"/>
        <w:rPr>
          <w:color w:val="000000"/>
        </w:rPr>
      </w:pPr>
      <w:r w:rsidRPr="00FC0540">
        <w:t xml:space="preserve">Table </w:t>
      </w:r>
      <w:r w:rsidR="006868AD" w:rsidRPr="00FC0540">
        <w:t>S</w:t>
      </w:r>
      <w:r w:rsidR="0053461B" w:rsidRPr="00FC0540">
        <w:t>5</w:t>
      </w:r>
      <w:r w:rsidR="00CC67FF" w:rsidRPr="00FC0540">
        <w:rPr>
          <w:color w:val="000000"/>
        </w:rPr>
        <w:t>.</w:t>
      </w:r>
      <w:r w:rsidR="000F2BE0" w:rsidRPr="00FC0540">
        <w:rPr>
          <w:bCs w:val="0"/>
          <w:color w:val="000000"/>
        </w:rPr>
        <w:t xml:space="preserve"> Summary of mean carbonate chemistry in the experimental treatments. </w:t>
      </w:r>
      <w:r w:rsidR="000F2BE0" w:rsidRPr="00FC0540">
        <w:rPr>
          <w:bCs w:val="0"/>
          <w:i/>
          <w:iCs/>
          <w:color w:val="000000"/>
        </w:rPr>
        <w:t>p</w:t>
      </w:r>
      <w:r w:rsidR="000F2BE0" w:rsidRPr="00FC0540">
        <w:rPr>
          <w:bCs w:val="0"/>
          <w:color w:val="000000"/>
        </w:rPr>
        <w:t>CO</w:t>
      </w:r>
      <w:r w:rsidR="000F2BE0" w:rsidRPr="00FC0540">
        <w:rPr>
          <w:bCs w:val="0"/>
          <w:color w:val="000000"/>
          <w:vertAlign w:val="subscript"/>
        </w:rPr>
        <w:t>2</w:t>
      </w:r>
      <w:r w:rsidR="000F2BE0" w:rsidRPr="00FC0540">
        <w:rPr>
          <w:bCs w:val="0"/>
          <w:color w:val="000000"/>
        </w:rPr>
        <w:t>, HCO</w:t>
      </w:r>
      <w:r w:rsidR="000F2BE0" w:rsidRPr="00FC0540">
        <w:rPr>
          <w:bCs w:val="0"/>
          <w:color w:val="000000"/>
          <w:vertAlign w:val="subscript"/>
        </w:rPr>
        <w:t>3-</w:t>
      </w:r>
      <w:r w:rsidR="000F2BE0" w:rsidRPr="00FC0540">
        <w:rPr>
          <w:bCs w:val="0"/>
          <w:color w:val="000000"/>
        </w:rPr>
        <w:t>, and CO</w:t>
      </w:r>
      <w:r w:rsidR="000F2BE0" w:rsidRPr="00FC0540">
        <w:rPr>
          <w:bCs w:val="0"/>
          <w:color w:val="000000"/>
          <w:vertAlign w:val="subscript"/>
        </w:rPr>
        <w:t>3</w:t>
      </w:r>
      <w:r w:rsidR="000F2BE0" w:rsidRPr="00FC0540">
        <w:rPr>
          <w:bCs w:val="0"/>
          <w:color w:val="000000"/>
          <w:vertAlign w:val="superscript"/>
        </w:rPr>
        <w:t>2-</w:t>
      </w:r>
      <w:r w:rsidR="000F2BE0" w:rsidRPr="00FC0540">
        <w:rPr>
          <w:bCs w:val="0"/>
          <w:color w:val="000000"/>
        </w:rPr>
        <w:t xml:space="preserve"> were calculated using the R package </w:t>
      </w:r>
      <w:proofErr w:type="spellStart"/>
      <w:r w:rsidR="000F2BE0" w:rsidRPr="00FC0540">
        <w:rPr>
          <w:bCs w:val="0"/>
          <w:color w:val="000000"/>
        </w:rPr>
        <w:t>seacarb</w:t>
      </w:r>
      <w:proofErr w:type="spellEnd"/>
      <w:r w:rsidR="000F2BE0" w:rsidRPr="00FC0540">
        <w:rPr>
          <w:bCs w:val="0"/>
          <w:color w:val="000000"/>
        </w:rPr>
        <w:t xml:space="preserve"> by inputting measured </w:t>
      </w:r>
      <w:proofErr w:type="spellStart"/>
      <w:r w:rsidR="000F2BE0" w:rsidRPr="00FC0540">
        <w:rPr>
          <w:bCs w:val="0"/>
          <w:color w:val="000000"/>
        </w:rPr>
        <w:t>pH</w:t>
      </w:r>
      <w:r w:rsidR="000F2BE0" w:rsidRPr="00FC0540">
        <w:rPr>
          <w:bCs w:val="0"/>
          <w:color w:val="000000"/>
          <w:vertAlign w:val="subscript"/>
        </w:rPr>
        <w:t>T</w:t>
      </w:r>
      <w:proofErr w:type="spellEnd"/>
      <w:r w:rsidR="000F2BE0" w:rsidRPr="00FC0540">
        <w:rPr>
          <w:bCs w:val="0"/>
          <w:color w:val="000000"/>
        </w:rPr>
        <w:t xml:space="preserve">, total alkalinity (TA), temperature (Temp ºC), and a salinity of 35.5 ± 0.2. All values are mean ± standard error (SE). High-Mg calcite was calculated for 16.4% calcite following methods from </w:t>
      </w:r>
      <w:r w:rsidR="000F2BE0" w:rsidRPr="00FC0540">
        <w:rPr>
          <w:b/>
          <w:bCs w:val="0"/>
          <w:color w:val="000000"/>
        </w:rPr>
        <w:fldChar w:fldCharType="begin"/>
      </w:r>
      <w:r w:rsidR="00E511F0">
        <w:rPr>
          <w:b/>
          <w:bCs w:val="0"/>
          <w:color w:val="000000"/>
        </w:rPr>
        <w:instrText xml:space="preserve"> ADDIN EN.CITE &lt;EndNote&gt;&lt;Cite AuthorYear="1"&gt;&lt;Author&gt;Diaz-Pulido&lt;/Author&gt;&lt;Year&gt;2012&lt;/Year&gt;&lt;RecNum&gt;426&lt;/RecNum&gt;&lt;DisplayText&gt;G Diaz-Pulido, KRN Anthony, DI Kline, S Dove and O Hoegh-Guldberg [3]&lt;/DisplayText&gt;&lt;record&gt;&lt;rec-number&gt;426&lt;/rec-number&gt;&lt;foreign-keys&gt;&lt;key app="EN" db-id="5rdwapt2bfwze6edv59v2dwm2vapa5vptpr0" timestamp="1569463570"&gt;426&lt;/key&gt;&lt;/foreign-keys&gt;&lt;ref-type name="Journal Article"&gt;17&lt;/ref-type&gt;&lt;contributors&gt;&lt;authors&gt;&lt;author&gt;Diaz-Pulido, G.&lt;/author&gt;&lt;author&gt;Anthony, K. R. N.&lt;/author&gt;&lt;author&gt;Kline, D. I.&lt;/author&gt;&lt;author&gt;Dove, S.&lt;/author&gt;&lt;author&gt;Hoegh-Guldberg, O.&lt;/author&gt;&lt;/authors&gt;&lt;/contributors&gt;&lt;titles&gt;&lt;title&gt;Interactions between ocean acidification and warming on the mortality and dissolution of coralline algae&lt;/title&gt;&lt;secondary-title&gt;Journal of Phycology&lt;/secondary-title&gt;&lt;alt-title&gt;J Phycol&lt;/alt-title&gt;&lt;/titles&gt;&lt;alt-periodical&gt;&lt;full-title&gt;J Phycol&lt;/full-title&gt;&lt;/alt-periodical&gt;&lt;pages&gt;32-39&lt;/pages&gt;&lt;volume&gt;1&lt;/volume&gt;&lt;number&gt;48&lt;/number&gt;&lt;dates&gt;&lt;year&gt;2012&lt;/year&gt;&lt;/dates&gt;&lt;urls&gt;&lt;/urls&gt;&lt;electronic-resource-num&gt;10.1111/j.1529-8817.2011.01084.x&lt;/electronic-resource-num&gt;&lt;/record&gt;&lt;/Cite&gt;&lt;/EndNote&gt;</w:instrText>
      </w:r>
      <w:r w:rsidR="000F2BE0" w:rsidRPr="00FC0540">
        <w:rPr>
          <w:b/>
          <w:bCs w:val="0"/>
          <w:color w:val="000000"/>
        </w:rPr>
        <w:fldChar w:fldCharType="separate"/>
      </w:r>
      <w:r w:rsidR="00B27AEA" w:rsidRPr="00B27AEA">
        <w:rPr>
          <w:bCs w:val="0"/>
          <w:noProof/>
          <w:color w:val="000000"/>
        </w:rPr>
        <w:t>G Diaz-Pulido, KRN Anthony, DI Kline, S Dove and O Hoegh-Guldberg [3]</w:t>
      </w:r>
      <w:r w:rsidR="000F2BE0" w:rsidRPr="00FC0540">
        <w:rPr>
          <w:b/>
          <w:bCs w:val="0"/>
          <w:color w:val="000000"/>
        </w:rPr>
        <w:fldChar w:fldCharType="end"/>
      </w:r>
      <w:r w:rsidR="000F2BE0" w:rsidRPr="00FC0540">
        <w:rPr>
          <w:bCs w:val="0"/>
          <w:color w:val="000000"/>
        </w:rPr>
        <w:t>.</w:t>
      </w:r>
    </w:p>
    <w:tbl>
      <w:tblPr>
        <w:tblW w:w="5001" w:type="pct"/>
        <w:tblLayout w:type="fixed"/>
        <w:tblLook w:val="04A0" w:firstRow="1" w:lastRow="0" w:firstColumn="1" w:lastColumn="0" w:noHBand="0" w:noVBand="1"/>
      </w:tblPr>
      <w:tblGrid>
        <w:gridCol w:w="1325"/>
        <w:gridCol w:w="1023"/>
        <w:gridCol w:w="948"/>
        <w:gridCol w:w="1166"/>
        <w:gridCol w:w="1240"/>
        <w:gridCol w:w="1204"/>
        <w:gridCol w:w="1141"/>
        <w:gridCol w:w="1019"/>
      </w:tblGrid>
      <w:tr w:rsidR="0073112E" w:rsidRPr="00E03B4E" w14:paraId="4439C303" w14:textId="77777777" w:rsidTr="0073112E">
        <w:trPr>
          <w:trHeight w:val="232"/>
        </w:trPr>
        <w:tc>
          <w:tcPr>
            <w:tcW w:w="730" w:type="pct"/>
            <w:tcBorders>
              <w:top w:val="single" w:sz="4" w:space="0" w:color="auto"/>
              <w:bottom w:val="single" w:sz="4" w:space="0" w:color="auto"/>
            </w:tcBorders>
            <w:shd w:val="clear" w:color="auto" w:fill="auto"/>
            <w:noWrap/>
            <w:vAlign w:val="center"/>
            <w:hideMark/>
          </w:tcPr>
          <w:p w14:paraId="069FC7C6" w14:textId="77777777" w:rsidR="000F2BE0" w:rsidRPr="00E03B4E" w:rsidRDefault="000F2BE0" w:rsidP="00DF1EE8">
            <w:pPr>
              <w:rPr>
                <w:b/>
                <w:bCs w:val="0"/>
                <w:color w:val="000000"/>
                <w:sz w:val="19"/>
                <w:szCs w:val="19"/>
              </w:rPr>
            </w:pPr>
            <w:r w:rsidRPr="00E03B4E">
              <w:rPr>
                <w:bCs w:val="0"/>
                <w:color w:val="000000"/>
                <w:sz w:val="19"/>
                <w:szCs w:val="19"/>
              </w:rPr>
              <w:t>Treatment [Target]</w:t>
            </w:r>
          </w:p>
        </w:tc>
        <w:tc>
          <w:tcPr>
            <w:tcW w:w="564" w:type="pct"/>
            <w:tcBorders>
              <w:top w:val="single" w:sz="4" w:space="0" w:color="auto"/>
              <w:bottom w:val="single" w:sz="4" w:space="0" w:color="auto"/>
            </w:tcBorders>
            <w:shd w:val="clear" w:color="auto" w:fill="auto"/>
            <w:noWrap/>
            <w:vAlign w:val="center"/>
            <w:hideMark/>
          </w:tcPr>
          <w:p w14:paraId="3ABFA097" w14:textId="77777777" w:rsidR="000F2BE0" w:rsidRPr="00E03B4E" w:rsidRDefault="000F2BE0" w:rsidP="00DF1EE8">
            <w:pPr>
              <w:rPr>
                <w:b/>
                <w:bCs w:val="0"/>
                <w:color w:val="000000"/>
                <w:sz w:val="19"/>
                <w:szCs w:val="19"/>
              </w:rPr>
            </w:pPr>
            <w:r w:rsidRPr="00E03B4E">
              <w:rPr>
                <w:bCs w:val="0"/>
                <w:color w:val="000000"/>
                <w:sz w:val="19"/>
                <w:szCs w:val="19"/>
              </w:rPr>
              <w:t>Temp ºC</w:t>
            </w:r>
          </w:p>
        </w:tc>
        <w:tc>
          <w:tcPr>
            <w:tcW w:w="523" w:type="pct"/>
            <w:tcBorders>
              <w:top w:val="single" w:sz="4" w:space="0" w:color="auto"/>
              <w:bottom w:val="single" w:sz="4" w:space="0" w:color="auto"/>
            </w:tcBorders>
            <w:shd w:val="clear" w:color="auto" w:fill="auto"/>
            <w:noWrap/>
            <w:vAlign w:val="center"/>
            <w:hideMark/>
          </w:tcPr>
          <w:p w14:paraId="64809A65" w14:textId="77777777" w:rsidR="000F2BE0" w:rsidRPr="00E03B4E" w:rsidRDefault="000F2BE0" w:rsidP="00DF1EE8">
            <w:pPr>
              <w:rPr>
                <w:b/>
                <w:bCs w:val="0"/>
                <w:color w:val="000000"/>
                <w:sz w:val="19"/>
                <w:szCs w:val="19"/>
              </w:rPr>
            </w:pPr>
            <w:proofErr w:type="spellStart"/>
            <w:r w:rsidRPr="00E03B4E">
              <w:rPr>
                <w:bCs w:val="0"/>
                <w:color w:val="000000"/>
                <w:sz w:val="19"/>
                <w:szCs w:val="19"/>
              </w:rPr>
              <w:t>pH</w:t>
            </w:r>
            <w:r w:rsidRPr="00E03B4E">
              <w:rPr>
                <w:bCs w:val="0"/>
                <w:color w:val="000000"/>
                <w:sz w:val="19"/>
                <w:szCs w:val="19"/>
                <w:vertAlign w:val="subscript"/>
              </w:rPr>
              <w:t>T</w:t>
            </w:r>
            <w:proofErr w:type="spellEnd"/>
            <w:r w:rsidRPr="00E03B4E">
              <w:rPr>
                <w:bCs w:val="0"/>
                <w:color w:val="000000"/>
                <w:sz w:val="19"/>
                <w:szCs w:val="19"/>
              </w:rPr>
              <w:t xml:space="preserve"> </w:t>
            </w:r>
          </w:p>
        </w:tc>
        <w:tc>
          <w:tcPr>
            <w:tcW w:w="643" w:type="pct"/>
            <w:tcBorders>
              <w:top w:val="single" w:sz="4" w:space="0" w:color="auto"/>
              <w:bottom w:val="single" w:sz="4" w:space="0" w:color="auto"/>
            </w:tcBorders>
            <w:shd w:val="clear" w:color="auto" w:fill="auto"/>
            <w:noWrap/>
            <w:vAlign w:val="center"/>
            <w:hideMark/>
          </w:tcPr>
          <w:p w14:paraId="34AFF0DB" w14:textId="77777777" w:rsidR="000F2BE0" w:rsidRPr="00E03B4E" w:rsidRDefault="000F2BE0" w:rsidP="00DF1EE8">
            <w:pPr>
              <w:rPr>
                <w:b/>
                <w:bCs w:val="0"/>
                <w:color w:val="000000"/>
                <w:sz w:val="19"/>
                <w:szCs w:val="19"/>
              </w:rPr>
            </w:pPr>
            <w:r w:rsidRPr="00E03B4E">
              <w:rPr>
                <w:bCs w:val="0"/>
                <w:color w:val="000000"/>
                <w:sz w:val="19"/>
                <w:szCs w:val="19"/>
              </w:rPr>
              <w:t>TA µmol kg</w:t>
            </w:r>
            <w:r w:rsidRPr="00E03B4E">
              <w:rPr>
                <w:bCs w:val="0"/>
                <w:color w:val="000000"/>
                <w:sz w:val="19"/>
                <w:szCs w:val="19"/>
                <w:vertAlign w:val="superscript"/>
              </w:rPr>
              <w:t>-1</w:t>
            </w:r>
          </w:p>
        </w:tc>
        <w:tc>
          <w:tcPr>
            <w:tcW w:w="684" w:type="pct"/>
            <w:tcBorders>
              <w:top w:val="single" w:sz="4" w:space="0" w:color="auto"/>
              <w:bottom w:val="single" w:sz="4" w:space="0" w:color="auto"/>
            </w:tcBorders>
            <w:shd w:val="clear" w:color="auto" w:fill="auto"/>
            <w:noWrap/>
            <w:vAlign w:val="center"/>
            <w:hideMark/>
          </w:tcPr>
          <w:p w14:paraId="5CB7C511" w14:textId="77777777" w:rsidR="000F2BE0" w:rsidRPr="00E03B4E" w:rsidRDefault="000F2BE0" w:rsidP="00DF1EE8">
            <w:pPr>
              <w:rPr>
                <w:b/>
                <w:bCs w:val="0"/>
                <w:color w:val="000000"/>
                <w:sz w:val="19"/>
                <w:szCs w:val="19"/>
              </w:rPr>
            </w:pPr>
            <w:r w:rsidRPr="00E03B4E">
              <w:rPr>
                <w:bCs w:val="0"/>
                <w:i/>
                <w:iCs/>
                <w:color w:val="000000"/>
                <w:sz w:val="19"/>
                <w:szCs w:val="19"/>
              </w:rPr>
              <w:t>p</w:t>
            </w:r>
            <w:r w:rsidRPr="00E03B4E">
              <w:rPr>
                <w:bCs w:val="0"/>
                <w:color w:val="000000"/>
                <w:sz w:val="19"/>
                <w:szCs w:val="19"/>
              </w:rPr>
              <w:t>CO</w:t>
            </w:r>
            <w:r w:rsidRPr="00E03B4E">
              <w:rPr>
                <w:bCs w:val="0"/>
                <w:color w:val="000000"/>
                <w:sz w:val="19"/>
                <w:szCs w:val="19"/>
                <w:vertAlign w:val="subscript"/>
              </w:rPr>
              <w:t>2</w:t>
            </w:r>
            <w:r w:rsidRPr="00E03B4E">
              <w:rPr>
                <w:bCs w:val="0"/>
                <w:color w:val="000000"/>
                <w:sz w:val="19"/>
                <w:szCs w:val="19"/>
              </w:rPr>
              <w:t xml:space="preserve"> µatm </w:t>
            </w:r>
          </w:p>
        </w:tc>
        <w:tc>
          <w:tcPr>
            <w:tcW w:w="664" w:type="pct"/>
            <w:tcBorders>
              <w:top w:val="single" w:sz="4" w:space="0" w:color="auto"/>
              <w:bottom w:val="single" w:sz="4" w:space="0" w:color="auto"/>
            </w:tcBorders>
            <w:shd w:val="clear" w:color="auto" w:fill="auto"/>
            <w:noWrap/>
            <w:vAlign w:val="center"/>
            <w:hideMark/>
          </w:tcPr>
          <w:p w14:paraId="11101045" w14:textId="77777777" w:rsidR="000F2BE0" w:rsidRPr="00E03B4E" w:rsidRDefault="000F2BE0" w:rsidP="00DF1EE8">
            <w:pPr>
              <w:rPr>
                <w:b/>
                <w:bCs w:val="0"/>
                <w:color w:val="000000"/>
                <w:sz w:val="19"/>
                <w:szCs w:val="19"/>
              </w:rPr>
            </w:pPr>
            <w:r w:rsidRPr="00E03B4E">
              <w:rPr>
                <w:bCs w:val="0"/>
                <w:color w:val="000000"/>
                <w:sz w:val="19"/>
                <w:szCs w:val="19"/>
              </w:rPr>
              <w:t>HCO</w:t>
            </w:r>
            <w:r w:rsidRPr="00E03B4E">
              <w:rPr>
                <w:bCs w:val="0"/>
                <w:color w:val="000000"/>
                <w:sz w:val="19"/>
                <w:szCs w:val="19"/>
                <w:vertAlign w:val="subscript"/>
              </w:rPr>
              <w:t>3-</w:t>
            </w:r>
            <w:r w:rsidRPr="00E03B4E">
              <w:rPr>
                <w:bCs w:val="0"/>
                <w:color w:val="000000"/>
                <w:sz w:val="19"/>
                <w:szCs w:val="19"/>
              </w:rPr>
              <w:t xml:space="preserve"> µmol kg</w:t>
            </w:r>
            <w:r w:rsidRPr="00E03B4E">
              <w:rPr>
                <w:bCs w:val="0"/>
                <w:color w:val="000000"/>
                <w:sz w:val="19"/>
                <w:szCs w:val="19"/>
                <w:vertAlign w:val="superscript"/>
              </w:rPr>
              <w:t xml:space="preserve">-1 </w:t>
            </w:r>
          </w:p>
        </w:tc>
        <w:tc>
          <w:tcPr>
            <w:tcW w:w="629" w:type="pct"/>
            <w:tcBorders>
              <w:top w:val="single" w:sz="4" w:space="0" w:color="auto"/>
              <w:bottom w:val="single" w:sz="4" w:space="0" w:color="auto"/>
            </w:tcBorders>
            <w:shd w:val="clear" w:color="auto" w:fill="auto"/>
            <w:noWrap/>
            <w:vAlign w:val="center"/>
            <w:hideMark/>
          </w:tcPr>
          <w:p w14:paraId="304CDA8B" w14:textId="77777777" w:rsidR="000F2BE0" w:rsidRPr="00E03B4E" w:rsidRDefault="000F2BE0" w:rsidP="00DF1EE8">
            <w:pPr>
              <w:rPr>
                <w:b/>
                <w:bCs w:val="0"/>
                <w:color w:val="000000"/>
                <w:sz w:val="19"/>
                <w:szCs w:val="19"/>
              </w:rPr>
            </w:pPr>
            <w:r w:rsidRPr="00E03B4E">
              <w:rPr>
                <w:bCs w:val="0"/>
                <w:color w:val="000000"/>
                <w:sz w:val="19"/>
                <w:szCs w:val="19"/>
              </w:rPr>
              <w:t>CO</w:t>
            </w:r>
            <w:r w:rsidRPr="00E03B4E">
              <w:rPr>
                <w:bCs w:val="0"/>
                <w:color w:val="000000"/>
                <w:sz w:val="19"/>
                <w:szCs w:val="19"/>
                <w:vertAlign w:val="subscript"/>
              </w:rPr>
              <w:t>3</w:t>
            </w:r>
            <w:r w:rsidRPr="00E03B4E">
              <w:rPr>
                <w:bCs w:val="0"/>
                <w:color w:val="000000"/>
                <w:sz w:val="19"/>
                <w:szCs w:val="19"/>
                <w:vertAlign w:val="superscript"/>
              </w:rPr>
              <w:t>2-</w:t>
            </w:r>
            <w:r w:rsidRPr="00E03B4E">
              <w:rPr>
                <w:bCs w:val="0"/>
                <w:color w:val="000000"/>
                <w:sz w:val="19"/>
                <w:szCs w:val="19"/>
              </w:rPr>
              <w:t xml:space="preserve"> µmol kg</w:t>
            </w:r>
            <w:r w:rsidRPr="00E03B4E">
              <w:rPr>
                <w:bCs w:val="0"/>
                <w:color w:val="000000"/>
                <w:sz w:val="19"/>
                <w:szCs w:val="19"/>
                <w:vertAlign w:val="superscript"/>
              </w:rPr>
              <w:t>-1</w:t>
            </w:r>
            <w:r w:rsidRPr="00E03B4E">
              <w:rPr>
                <w:bCs w:val="0"/>
                <w:color w:val="000000"/>
                <w:sz w:val="19"/>
                <w:szCs w:val="19"/>
              </w:rPr>
              <w:t xml:space="preserve"> </w:t>
            </w:r>
          </w:p>
        </w:tc>
        <w:tc>
          <w:tcPr>
            <w:tcW w:w="562" w:type="pct"/>
            <w:tcBorders>
              <w:top w:val="single" w:sz="4" w:space="0" w:color="auto"/>
              <w:bottom w:val="single" w:sz="4" w:space="0" w:color="auto"/>
            </w:tcBorders>
            <w:shd w:val="clear" w:color="auto" w:fill="auto"/>
            <w:noWrap/>
            <w:vAlign w:val="center"/>
            <w:hideMark/>
          </w:tcPr>
          <w:p w14:paraId="0F68D82C" w14:textId="77777777" w:rsidR="000F2BE0" w:rsidRPr="00E03B4E" w:rsidRDefault="000F2BE0" w:rsidP="00DF1EE8">
            <w:pPr>
              <w:rPr>
                <w:b/>
                <w:bCs w:val="0"/>
                <w:color w:val="000000"/>
                <w:sz w:val="19"/>
                <w:szCs w:val="19"/>
              </w:rPr>
            </w:pPr>
            <w:proofErr w:type="spellStart"/>
            <w:r w:rsidRPr="00E03B4E">
              <w:rPr>
                <w:bCs w:val="0"/>
                <w:color w:val="000000"/>
                <w:sz w:val="19"/>
                <w:szCs w:val="19"/>
              </w:rPr>
              <w:t>Ω</w:t>
            </w:r>
            <w:r w:rsidRPr="00E03B4E">
              <w:rPr>
                <w:bCs w:val="0"/>
                <w:color w:val="000000"/>
                <w:sz w:val="19"/>
                <w:szCs w:val="19"/>
                <w:vertAlign w:val="subscript"/>
              </w:rPr>
              <w:t>High</w:t>
            </w:r>
            <w:proofErr w:type="spellEnd"/>
            <w:r w:rsidRPr="00E03B4E">
              <w:rPr>
                <w:bCs w:val="0"/>
                <w:color w:val="000000"/>
                <w:sz w:val="19"/>
                <w:szCs w:val="19"/>
                <w:vertAlign w:val="subscript"/>
              </w:rPr>
              <w:t>-Mg Calcite</w:t>
            </w:r>
            <w:r w:rsidRPr="00E03B4E">
              <w:rPr>
                <w:bCs w:val="0"/>
                <w:color w:val="000000"/>
                <w:sz w:val="19"/>
                <w:szCs w:val="19"/>
              </w:rPr>
              <w:t xml:space="preserve"> </w:t>
            </w:r>
          </w:p>
        </w:tc>
      </w:tr>
      <w:tr w:rsidR="0073112E" w:rsidRPr="00E03B4E" w14:paraId="32E3AA77" w14:textId="77777777" w:rsidTr="0073112E">
        <w:trPr>
          <w:trHeight w:val="232"/>
        </w:trPr>
        <w:tc>
          <w:tcPr>
            <w:tcW w:w="730" w:type="pct"/>
            <w:tcBorders>
              <w:top w:val="single" w:sz="4" w:space="0" w:color="auto"/>
            </w:tcBorders>
            <w:shd w:val="clear" w:color="auto" w:fill="auto"/>
            <w:noWrap/>
            <w:vAlign w:val="center"/>
            <w:hideMark/>
          </w:tcPr>
          <w:p w14:paraId="76FB1850" w14:textId="77777777" w:rsidR="000F2BE0" w:rsidRPr="00E03B4E" w:rsidRDefault="000F2BE0" w:rsidP="00DF1EE8">
            <w:pPr>
              <w:rPr>
                <w:b/>
                <w:bCs w:val="0"/>
                <w:color w:val="000000"/>
                <w:sz w:val="19"/>
                <w:szCs w:val="19"/>
              </w:rPr>
            </w:pPr>
            <w:r w:rsidRPr="00E03B4E">
              <w:rPr>
                <w:bCs w:val="0"/>
                <w:color w:val="000000"/>
                <w:sz w:val="19"/>
                <w:szCs w:val="19"/>
              </w:rPr>
              <w:t>27.2 ºC + pH 8.00</w:t>
            </w:r>
          </w:p>
        </w:tc>
        <w:tc>
          <w:tcPr>
            <w:tcW w:w="564" w:type="pct"/>
            <w:tcBorders>
              <w:top w:val="single" w:sz="4" w:space="0" w:color="auto"/>
            </w:tcBorders>
            <w:shd w:val="clear" w:color="auto" w:fill="auto"/>
            <w:noWrap/>
            <w:vAlign w:val="center"/>
            <w:hideMark/>
          </w:tcPr>
          <w:p w14:paraId="19E0A72E" w14:textId="77777777" w:rsidR="000F2BE0" w:rsidRPr="00E03B4E" w:rsidRDefault="000F2BE0" w:rsidP="00DF1EE8">
            <w:pPr>
              <w:rPr>
                <w:b/>
                <w:bCs w:val="0"/>
                <w:color w:val="000000"/>
                <w:sz w:val="19"/>
                <w:szCs w:val="19"/>
              </w:rPr>
            </w:pPr>
            <w:r w:rsidRPr="00E03B4E">
              <w:rPr>
                <w:bCs w:val="0"/>
                <w:color w:val="000000"/>
                <w:sz w:val="19"/>
                <w:szCs w:val="19"/>
              </w:rPr>
              <w:t>27.12 ± 0.060</w:t>
            </w:r>
          </w:p>
        </w:tc>
        <w:tc>
          <w:tcPr>
            <w:tcW w:w="523" w:type="pct"/>
            <w:tcBorders>
              <w:top w:val="single" w:sz="4" w:space="0" w:color="auto"/>
            </w:tcBorders>
            <w:shd w:val="clear" w:color="auto" w:fill="auto"/>
            <w:noWrap/>
            <w:vAlign w:val="center"/>
            <w:hideMark/>
          </w:tcPr>
          <w:p w14:paraId="5A7A5BC3" w14:textId="77777777" w:rsidR="000F2BE0" w:rsidRPr="00E03B4E" w:rsidRDefault="000F2BE0" w:rsidP="00DF1EE8">
            <w:pPr>
              <w:rPr>
                <w:b/>
                <w:bCs w:val="0"/>
                <w:color w:val="000000"/>
                <w:sz w:val="19"/>
                <w:szCs w:val="19"/>
              </w:rPr>
            </w:pPr>
            <w:r w:rsidRPr="00E03B4E">
              <w:rPr>
                <w:bCs w:val="0"/>
                <w:color w:val="000000"/>
                <w:sz w:val="19"/>
                <w:szCs w:val="19"/>
              </w:rPr>
              <w:t>8.00 ± 0.005</w:t>
            </w:r>
          </w:p>
        </w:tc>
        <w:tc>
          <w:tcPr>
            <w:tcW w:w="643" w:type="pct"/>
            <w:tcBorders>
              <w:top w:val="single" w:sz="4" w:space="0" w:color="auto"/>
            </w:tcBorders>
            <w:shd w:val="clear" w:color="auto" w:fill="auto"/>
            <w:noWrap/>
            <w:vAlign w:val="center"/>
            <w:hideMark/>
          </w:tcPr>
          <w:p w14:paraId="231F2FB1" w14:textId="77777777" w:rsidR="000F2BE0" w:rsidRPr="00E03B4E" w:rsidRDefault="000F2BE0" w:rsidP="00DF1EE8">
            <w:pPr>
              <w:rPr>
                <w:b/>
                <w:bCs w:val="0"/>
                <w:color w:val="000000"/>
                <w:sz w:val="19"/>
                <w:szCs w:val="19"/>
              </w:rPr>
            </w:pPr>
            <w:r w:rsidRPr="00E03B4E">
              <w:rPr>
                <w:bCs w:val="0"/>
                <w:color w:val="000000"/>
                <w:sz w:val="19"/>
                <w:szCs w:val="19"/>
              </w:rPr>
              <w:t>2291.49 ± 0.653</w:t>
            </w:r>
          </w:p>
        </w:tc>
        <w:tc>
          <w:tcPr>
            <w:tcW w:w="684" w:type="pct"/>
            <w:tcBorders>
              <w:top w:val="single" w:sz="4" w:space="0" w:color="auto"/>
            </w:tcBorders>
            <w:shd w:val="clear" w:color="auto" w:fill="auto"/>
            <w:noWrap/>
            <w:vAlign w:val="center"/>
            <w:hideMark/>
          </w:tcPr>
          <w:p w14:paraId="7E7569B2" w14:textId="77777777" w:rsidR="000F2BE0" w:rsidRPr="00E03B4E" w:rsidRDefault="000F2BE0" w:rsidP="00DF1EE8">
            <w:pPr>
              <w:rPr>
                <w:b/>
                <w:bCs w:val="0"/>
                <w:color w:val="000000"/>
                <w:sz w:val="19"/>
                <w:szCs w:val="19"/>
              </w:rPr>
            </w:pPr>
            <w:r w:rsidRPr="00E03B4E">
              <w:rPr>
                <w:bCs w:val="0"/>
                <w:color w:val="000000"/>
                <w:sz w:val="19"/>
                <w:szCs w:val="19"/>
              </w:rPr>
              <w:t>454.19 ± 8.178</w:t>
            </w:r>
          </w:p>
        </w:tc>
        <w:tc>
          <w:tcPr>
            <w:tcW w:w="664" w:type="pct"/>
            <w:tcBorders>
              <w:top w:val="single" w:sz="4" w:space="0" w:color="auto"/>
            </w:tcBorders>
            <w:shd w:val="clear" w:color="auto" w:fill="auto"/>
            <w:noWrap/>
            <w:vAlign w:val="center"/>
            <w:hideMark/>
          </w:tcPr>
          <w:p w14:paraId="7964CE0B" w14:textId="77777777" w:rsidR="000F2BE0" w:rsidRPr="00E03B4E" w:rsidRDefault="000F2BE0" w:rsidP="00DF1EE8">
            <w:pPr>
              <w:rPr>
                <w:b/>
                <w:bCs w:val="0"/>
                <w:color w:val="000000"/>
                <w:sz w:val="19"/>
                <w:szCs w:val="19"/>
              </w:rPr>
            </w:pPr>
            <w:r w:rsidRPr="00E03B4E">
              <w:rPr>
                <w:bCs w:val="0"/>
                <w:color w:val="000000"/>
                <w:sz w:val="19"/>
                <w:szCs w:val="19"/>
              </w:rPr>
              <w:t>1777.70 ± 4.330</w:t>
            </w:r>
          </w:p>
        </w:tc>
        <w:tc>
          <w:tcPr>
            <w:tcW w:w="629" w:type="pct"/>
            <w:tcBorders>
              <w:top w:val="single" w:sz="4" w:space="0" w:color="auto"/>
            </w:tcBorders>
            <w:shd w:val="clear" w:color="auto" w:fill="auto"/>
            <w:noWrap/>
            <w:vAlign w:val="center"/>
            <w:hideMark/>
          </w:tcPr>
          <w:p w14:paraId="2B4169EB" w14:textId="77777777" w:rsidR="000F2BE0" w:rsidRPr="00E03B4E" w:rsidRDefault="000F2BE0" w:rsidP="00DF1EE8">
            <w:pPr>
              <w:rPr>
                <w:b/>
                <w:bCs w:val="0"/>
                <w:color w:val="000000"/>
                <w:sz w:val="19"/>
                <w:szCs w:val="19"/>
              </w:rPr>
            </w:pPr>
            <w:r w:rsidRPr="00E03B4E">
              <w:rPr>
                <w:bCs w:val="0"/>
                <w:color w:val="000000"/>
                <w:sz w:val="19"/>
                <w:szCs w:val="19"/>
              </w:rPr>
              <w:t>209.14 ± 1.780</w:t>
            </w:r>
          </w:p>
        </w:tc>
        <w:tc>
          <w:tcPr>
            <w:tcW w:w="562" w:type="pct"/>
            <w:tcBorders>
              <w:top w:val="single" w:sz="4" w:space="0" w:color="auto"/>
            </w:tcBorders>
            <w:shd w:val="clear" w:color="auto" w:fill="auto"/>
            <w:noWrap/>
            <w:vAlign w:val="center"/>
            <w:hideMark/>
          </w:tcPr>
          <w:p w14:paraId="078921D5" w14:textId="77777777" w:rsidR="000F2BE0" w:rsidRPr="00E03B4E" w:rsidRDefault="000F2BE0" w:rsidP="00DF1EE8">
            <w:pPr>
              <w:rPr>
                <w:b/>
                <w:bCs w:val="0"/>
                <w:color w:val="000000"/>
                <w:sz w:val="19"/>
                <w:szCs w:val="19"/>
              </w:rPr>
            </w:pPr>
            <w:r w:rsidRPr="00E03B4E">
              <w:rPr>
                <w:bCs w:val="0"/>
                <w:color w:val="000000"/>
                <w:sz w:val="19"/>
                <w:szCs w:val="19"/>
              </w:rPr>
              <w:t>1.088 ± 0.010</w:t>
            </w:r>
          </w:p>
        </w:tc>
      </w:tr>
      <w:tr w:rsidR="0073112E" w:rsidRPr="00E03B4E" w14:paraId="55E13777" w14:textId="77777777" w:rsidTr="0073112E">
        <w:trPr>
          <w:trHeight w:val="232"/>
        </w:trPr>
        <w:tc>
          <w:tcPr>
            <w:tcW w:w="730" w:type="pct"/>
            <w:shd w:val="clear" w:color="auto" w:fill="auto"/>
            <w:noWrap/>
            <w:vAlign w:val="center"/>
            <w:hideMark/>
          </w:tcPr>
          <w:p w14:paraId="630F7903" w14:textId="77777777" w:rsidR="000F2BE0" w:rsidRPr="00E03B4E" w:rsidRDefault="000F2BE0" w:rsidP="00DF1EE8">
            <w:pPr>
              <w:rPr>
                <w:b/>
                <w:bCs w:val="0"/>
                <w:color w:val="000000"/>
                <w:sz w:val="19"/>
                <w:szCs w:val="19"/>
              </w:rPr>
            </w:pPr>
            <w:r w:rsidRPr="00E03B4E">
              <w:rPr>
                <w:bCs w:val="0"/>
                <w:color w:val="000000"/>
                <w:sz w:val="19"/>
                <w:szCs w:val="19"/>
              </w:rPr>
              <w:t>29.5 ºC + pH 8.00</w:t>
            </w:r>
          </w:p>
        </w:tc>
        <w:tc>
          <w:tcPr>
            <w:tcW w:w="564" w:type="pct"/>
            <w:shd w:val="clear" w:color="auto" w:fill="auto"/>
            <w:noWrap/>
            <w:vAlign w:val="center"/>
            <w:hideMark/>
          </w:tcPr>
          <w:p w14:paraId="63A24380" w14:textId="77777777" w:rsidR="000F2BE0" w:rsidRPr="00E03B4E" w:rsidRDefault="000F2BE0" w:rsidP="00DF1EE8">
            <w:pPr>
              <w:rPr>
                <w:b/>
                <w:bCs w:val="0"/>
                <w:color w:val="000000"/>
                <w:sz w:val="19"/>
                <w:szCs w:val="19"/>
              </w:rPr>
            </w:pPr>
            <w:r w:rsidRPr="00E03B4E">
              <w:rPr>
                <w:bCs w:val="0"/>
                <w:color w:val="000000"/>
                <w:sz w:val="19"/>
                <w:szCs w:val="19"/>
              </w:rPr>
              <w:t>29.29 ± 0.071</w:t>
            </w:r>
          </w:p>
        </w:tc>
        <w:tc>
          <w:tcPr>
            <w:tcW w:w="523" w:type="pct"/>
            <w:shd w:val="clear" w:color="auto" w:fill="auto"/>
            <w:noWrap/>
            <w:vAlign w:val="center"/>
            <w:hideMark/>
          </w:tcPr>
          <w:p w14:paraId="6304766A" w14:textId="77777777" w:rsidR="000F2BE0" w:rsidRPr="00E03B4E" w:rsidRDefault="000F2BE0" w:rsidP="00DF1EE8">
            <w:pPr>
              <w:rPr>
                <w:b/>
                <w:bCs w:val="0"/>
                <w:color w:val="000000"/>
                <w:sz w:val="19"/>
                <w:szCs w:val="19"/>
              </w:rPr>
            </w:pPr>
            <w:r w:rsidRPr="00E03B4E">
              <w:rPr>
                <w:bCs w:val="0"/>
                <w:color w:val="000000"/>
                <w:sz w:val="19"/>
                <w:szCs w:val="19"/>
              </w:rPr>
              <w:t>7.99 ± 0.003</w:t>
            </w:r>
          </w:p>
        </w:tc>
        <w:tc>
          <w:tcPr>
            <w:tcW w:w="643" w:type="pct"/>
            <w:shd w:val="clear" w:color="auto" w:fill="auto"/>
            <w:noWrap/>
            <w:vAlign w:val="center"/>
            <w:hideMark/>
          </w:tcPr>
          <w:p w14:paraId="3D3FB672" w14:textId="77777777" w:rsidR="000F2BE0" w:rsidRPr="00E03B4E" w:rsidRDefault="000F2BE0" w:rsidP="00DF1EE8">
            <w:pPr>
              <w:rPr>
                <w:b/>
                <w:bCs w:val="0"/>
                <w:color w:val="000000"/>
                <w:sz w:val="19"/>
                <w:szCs w:val="19"/>
              </w:rPr>
            </w:pPr>
            <w:r w:rsidRPr="00E03B4E">
              <w:rPr>
                <w:bCs w:val="0"/>
                <w:color w:val="000000"/>
                <w:sz w:val="19"/>
                <w:szCs w:val="19"/>
              </w:rPr>
              <w:t>2290.71 ± 0.875</w:t>
            </w:r>
          </w:p>
        </w:tc>
        <w:tc>
          <w:tcPr>
            <w:tcW w:w="684" w:type="pct"/>
            <w:shd w:val="clear" w:color="auto" w:fill="auto"/>
            <w:noWrap/>
            <w:vAlign w:val="center"/>
            <w:hideMark/>
          </w:tcPr>
          <w:p w14:paraId="50470982" w14:textId="77777777" w:rsidR="000F2BE0" w:rsidRPr="00E03B4E" w:rsidRDefault="000F2BE0" w:rsidP="00DF1EE8">
            <w:pPr>
              <w:rPr>
                <w:b/>
                <w:bCs w:val="0"/>
                <w:color w:val="000000"/>
                <w:sz w:val="19"/>
                <w:szCs w:val="19"/>
              </w:rPr>
            </w:pPr>
            <w:r w:rsidRPr="00E03B4E">
              <w:rPr>
                <w:bCs w:val="0"/>
                <w:color w:val="000000"/>
                <w:sz w:val="19"/>
                <w:szCs w:val="19"/>
              </w:rPr>
              <w:t>477.26 ± 3.982</w:t>
            </w:r>
          </w:p>
        </w:tc>
        <w:tc>
          <w:tcPr>
            <w:tcW w:w="664" w:type="pct"/>
            <w:shd w:val="clear" w:color="auto" w:fill="auto"/>
            <w:noWrap/>
            <w:vAlign w:val="center"/>
            <w:hideMark/>
          </w:tcPr>
          <w:p w14:paraId="50448EC0" w14:textId="77777777" w:rsidR="000F2BE0" w:rsidRPr="00E03B4E" w:rsidRDefault="000F2BE0" w:rsidP="00DF1EE8">
            <w:pPr>
              <w:rPr>
                <w:b/>
                <w:bCs w:val="0"/>
                <w:color w:val="000000"/>
                <w:sz w:val="19"/>
                <w:szCs w:val="19"/>
              </w:rPr>
            </w:pPr>
            <w:r w:rsidRPr="00E03B4E">
              <w:rPr>
                <w:bCs w:val="0"/>
                <w:color w:val="000000"/>
                <w:sz w:val="19"/>
                <w:szCs w:val="19"/>
              </w:rPr>
              <w:t>1768.71 ± 2.980</w:t>
            </w:r>
          </w:p>
        </w:tc>
        <w:tc>
          <w:tcPr>
            <w:tcW w:w="629" w:type="pct"/>
            <w:shd w:val="clear" w:color="auto" w:fill="auto"/>
            <w:noWrap/>
            <w:vAlign w:val="center"/>
            <w:hideMark/>
          </w:tcPr>
          <w:p w14:paraId="71254360" w14:textId="77777777" w:rsidR="000F2BE0" w:rsidRPr="00E03B4E" w:rsidRDefault="000F2BE0" w:rsidP="00DF1EE8">
            <w:pPr>
              <w:rPr>
                <w:b/>
                <w:bCs w:val="0"/>
                <w:color w:val="000000"/>
                <w:sz w:val="19"/>
                <w:szCs w:val="19"/>
              </w:rPr>
            </w:pPr>
            <w:r w:rsidRPr="00E03B4E">
              <w:rPr>
                <w:bCs w:val="0"/>
                <w:color w:val="000000"/>
                <w:sz w:val="19"/>
                <w:szCs w:val="19"/>
              </w:rPr>
              <w:t>212.72 ± 1.340</w:t>
            </w:r>
          </w:p>
        </w:tc>
        <w:tc>
          <w:tcPr>
            <w:tcW w:w="562" w:type="pct"/>
            <w:shd w:val="clear" w:color="auto" w:fill="auto"/>
            <w:noWrap/>
            <w:vAlign w:val="center"/>
            <w:hideMark/>
          </w:tcPr>
          <w:p w14:paraId="3D969BBB" w14:textId="77777777" w:rsidR="000F2BE0" w:rsidRPr="00E03B4E" w:rsidRDefault="000F2BE0" w:rsidP="00DF1EE8">
            <w:pPr>
              <w:rPr>
                <w:b/>
                <w:bCs w:val="0"/>
                <w:color w:val="000000"/>
                <w:sz w:val="19"/>
                <w:szCs w:val="19"/>
              </w:rPr>
            </w:pPr>
            <w:r w:rsidRPr="00E03B4E">
              <w:rPr>
                <w:bCs w:val="0"/>
                <w:color w:val="000000"/>
                <w:sz w:val="19"/>
                <w:szCs w:val="19"/>
              </w:rPr>
              <w:t>1.135 ± 0.030</w:t>
            </w:r>
          </w:p>
        </w:tc>
      </w:tr>
      <w:tr w:rsidR="0073112E" w:rsidRPr="00E03B4E" w14:paraId="3D726294" w14:textId="77777777" w:rsidTr="0073112E">
        <w:trPr>
          <w:trHeight w:val="232"/>
        </w:trPr>
        <w:tc>
          <w:tcPr>
            <w:tcW w:w="730" w:type="pct"/>
            <w:shd w:val="clear" w:color="auto" w:fill="auto"/>
            <w:noWrap/>
            <w:vAlign w:val="center"/>
            <w:hideMark/>
          </w:tcPr>
          <w:p w14:paraId="3C19A49A" w14:textId="77777777" w:rsidR="000F2BE0" w:rsidRPr="00E03B4E" w:rsidRDefault="000F2BE0" w:rsidP="00DF1EE8">
            <w:pPr>
              <w:rPr>
                <w:b/>
                <w:bCs w:val="0"/>
                <w:color w:val="000000"/>
                <w:sz w:val="19"/>
                <w:szCs w:val="19"/>
              </w:rPr>
            </w:pPr>
            <w:r w:rsidRPr="00E03B4E">
              <w:rPr>
                <w:bCs w:val="0"/>
                <w:color w:val="000000"/>
                <w:sz w:val="19"/>
                <w:szCs w:val="19"/>
              </w:rPr>
              <w:t>27.2 ºC + pH 7.70</w:t>
            </w:r>
          </w:p>
        </w:tc>
        <w:tc>
          <w:tcPr>
            <w:tcW w:w="564" w:type="pct"/>
            <w:shd w:val="clear" w:color="auto" w:fill="auto"/>
            <w:noWrap/>
            <w:vAlign w:val="center"/>
            <w:hideMark/>
          </w:tcPr>
          <w:p w14:paraId="3ECC6FA7" w14:textId="77777777" w:rsidR="000F2BE0" w:rsidRPr="00E03B4E" w:rsidRDefault="000F2BE0" w:rsidP="00DF1EE8">
            <w:pPr>
              <w:rPr>
                <w:b/>
                <w:bCs w:val="0"/>
                <w:color w:val="000000"/>
                <w:sz w:val="19"/>
                <w:szCs w:val="19"/>
              </w:rPr>
            </w:pPr>
            <w:r w:rsidRPr="00E03B4E">
              <w:rPr>
                <w:bCs w:val="0"/>
                <w:color w:val="000000"/>
                <w:sz w:val="19"/>
                <w:szCs w:val="19"/>
              </w:rPr>
              <w:t>27.18 ± 0.051</w:t>
            </w:r>
          </w:p>
        </w:tc>
        <w:tc>
          <w:tcPr>
            <w:tcW w:w="523" w:type="pct"/>
            <w:shd w:val="clear" w:color="auto" w:fill="auto"/>
            <w:noWrap/>
            <w:vAlign w:val="center"/>
            <w:hideMark/>
          </w:tcPr>
          <w:p w14:paraId="43E42CFD" w14:textId="77777777" w:rsidR="000F2BE0" w:rsidRPr="00E03B4E" w:rsidRDefault="000F2BE0" w:rsidP="00DF1EE8">
            <w:pPr>
              <w:rPr>
                <w:b/>
                <w:bCs w:val="0"/>
                <w:color w:val="000000"/>
                <w:sz w:val="19"/>
                <w:szCs w:val="19"/>
              </w:rPr>
            </w:pPr>
            <w:r w:rsidRPr="00E03B4E">
              <w:rPr>
                <w:bCs w:val="0"/>
                <w:color w:val="000000"/>
                <w:sz w:val="19"/>
                <w:szCs w:val="19"/>
              </w:rPr>
              <w:t>7.70 ± 0.002</w:t>
            </w:r>
          </w:p>
        </w:tc>
        <w:tc>
          <w:tcPr>
            <w:tcW w:w="643" w:type="pct"/>
            <w:shd w:val="clear" w:color="auto" w:fill="auto"/>
            <w:noWrap/>
            <w:vAlign w:val="center"/>
            <w:hideMark/>
          </w:tcPr>
          <w:p w14:paraId="239EBF27" w14:textId="77777777" w:rsidR="000F2BE0" w:rsidRPr="00E03B4E" w:rsidRDefault="000F2BE0" w:rsidP="00DF1EE8">
            <w:pPr>
              <w:rPr>
                <w:b/>
                <w:bCs w:val="0"/>
                <w:color w:val="000000"/>
                <w:sz w:val="19"/>
                <w:szCs w:val="19"/>
              </w:rPr>
            </w:pPr>
            <w:r w:rsidRPr="00E03B4E">
              <w:rPr>
                <w:bCs w:val="0"/>
                <w:color w:val="000000"/>
                <w:sz w:val="19"/>
                <w:szCs w:val="19"/>
              </w:rPr>
              <w:t>2290.91 ± 0.811</w:t>
            </w:r>
          </w:p>
        </w:tc>
        <w:tc>
          <w:tcPr>
            <w:tcW w:w="684" w:type="pct"/>
            <w:shd w:val="clear" w:color="auto" w:fill="auto"/>
            <w:noWrap/>
            <w:vAlign w:val="center"/>
            <w:hideMark/>
          </w:tcPr>
          <w:p w14:paraId="1C17FB75" w14:textId="77777777" w:rsidR="000F2BE0" w:rsidRPr="00E03B4E" w:rsidRDefault="000F2BE0" w:rsidP="00DF1EE8">
            <w:pPr>
              <w:rPr>
                <w:b/>
                <w:bCs w:val="0"/>
                <w:color w:val="000000"/>
                <w:sz w:val="19"/>
                <w:szCs w:val="19"/>
              </w:rPr>
            </w:pPr>
            <w:r w:rsidRPr="00E03B4E">
              <w:rPr>
                <w:bCs w:val="0"/>
                <w:color w:val="000000"/>
                <w:sz w:val="19"/>
                <w:szCs w:val="19"/>
              </w:rPr>
              <w:t>1020.44 ± 7.297</w:t>
            </w:r>
          </w:p>
        </w:tc>
        <w:tc>
          <w:tcPr>
            <w:tcW w:w="664" w:type="pct"/>
            <w:shd w:val="clear" w:color="auto" w:fill="auto"/>
            <w:noWrap/>
            <w:vAlign w:val="center"/>
            <w:hideMark/>
          </w:tcPr>
          <w:p w14:paraId="5F168B7F" w14:textId="77777777" w:rsidR="000F2BE0" w:rsidRPr="00E03B4E" w:rsidRDefault="000F2BE0" w:rsidP="00DF1EE8">
            <w:pPr>
              <w:rPr>
                <w:b/>
                <w:bCs w:val="0"/>
                <w:color w:val="000000"/>
                <w:sz w:val="19"/>
                <w:szCs w:val="19"/>
              </w:rPr>
            </w:pPr>
            <w:r w:rsidRPr="00E03B4E">
              <w:rPr>
                <w:bCs w:val="0"/>
                <w:color w:val="000000"/>
                <w:sz w:val="19"/>
                <w:szCs w:val="19"/>
              </w:rPr>
              <w:t>2005.62 ± 1.860</w:t>
            </w:r>
          </w:p>
        </w:tc>
        <w:tc>
          <w:tcPr>
            <w:tcW w:w="629" w:type="pct"/>
            <w:shd w:val="clear" w:color="auto" w:fill="auto"/>
            <w:noWrap/>
            <w:vAlign w:val="center"/>
            <w:hideMark/>
          </w:tcPr>
          <w:p w14:paraId="7EF278B9" w14:textId="77777777" w:rsidR="000F2BE0" w:rsidRPr="00E03B4E" w:rsidRDefault="000F2BE0" w:rsidP="00DF1EE8">
            <w:pPr>
              <w:rPr>
                <w:b/>
                <w:bCs w:val="0"/>
                <w:color w:val="000000"/>
                <w:sz w:val="19"/>
                <w:szCs w:val="19"/>
              </w:rPr>
            </w:pPr>
            <w:r w:rsidRPr="00E03B4E">
              <w:rPr>
                <w:bCs w:val="0"/>
                <w:color w:val="000000"/>
                <w:sz w:val="19"/>
                <w:szCs w:val="19"/>
              </w:rPr>
              <w:t>116.54 ± 7.970</w:t>
            </w:r>
          </w:p>
        </w:tc>
        <w:tc>
          <w:tcPr>
            <w:tcW w:w="562" w:type="pct"/>
            <w:shd w:val="clear" w:color="auto" w:fill="auto"/>
            <w:noWrap/>
            <w:vAlign w:val="center"/>
            <w:hideMark/>
          </w:tcPr>
          <w:p w14:paraId="370E5F7F" w14:textId="77777777" w:rsidR="000F2BE0" w:rsidRPr="00E03B4E" w:rsidRDefault="000F2BE0" w:rsidP="00DF1EE8">
            <w:pPr>
              <w:rPr>
                <w:b/>
                <w:bCs w:val="0"/>
                <w:color w:val="000000"/>
                <w:sz w:val="19"/>
                <w:szCs w:val="19"/>
              </w:rPr>
            </w:pPr>
            <w:r w:rsidRPr="00E03B4E">
              <w:rPr>
                <w:bCs w:val="0"/>
                <w:color w:val="000000"/>
                <w:sz w:val="19"/>
                <w:szCs w:val="19"/>
              </w:rPr>
              <w:t>0.606 ± 0.020</w:t>
            </w:r>
          </w:p>
        </w:tc>
      </w:tr>
      <w:tr w:rsidR="0073112E" w:rsidRPr="00E03B4E" w14:paraId="62535AE6" w14:textId="77777777" w:rsidTr="0073112E">
        <w:trPr>
          <w:trHeight w:val="232"/>
        </w:trPr>
        <w:tc>
          <w:tcPr>
            <w:tcW w:w="730" w:type="pct"/>
            <w:tcBorders>
              <w:bottom w:val="single" w:sz="4" w:space="0" w:color="auto"/>
            </w:tcBorders>
            <w:shd w:val="clear" w:color="auto" w:fill="auto"/>
            <w:noWrap/>
            <w:vAlign w:val="center"/>
            <w:hideMark/>
          </w:tcPr>
          <w:p w14:paraId="683CA0A1" w14:textId="77777777" w:rsidR="000F2BE0" w:rsidRPr="00E03B4E" w:rsidRDefault="000F2BE0" w:rsidP="00DF1EE8">
            <w:pPr>
              <w:rPr>
                <w:b/>
                <w:bCs w:val="0"/>
                <w:color w:val="000000"/>
                <w:sz w:val="19"/>
                <w:szCs w:val="19"/>
              </w:rPr>
            </w:pPr>
            <w:r w:rsidRPr="00E03B4E">
              <w:rPr>
                <w:bCs w:val="0"/>
                <w:color w:val="000000"/>
                <w:sz w:val="19"/>
                <w:szCs w:val="19"/>
              </w:rPr>
              <w:t>29.5 ºC + pH 7.70</w:t>
            </w:r>
          </w:p>
        </w:tc>
        <w:tc>
          <w:tcPr>
            <w:tcW w:w="564" w:type="pct"/>
            <w:tcBorders>
              <w:bottom w:val="single" w:sz="4" w:space="0" w:color="auto"/>
            </w:tcBorders>
            <w:shd w:val="clear" w:color="auto" w:fill="auto"/>
            <w:noWrap/>
            <w:vAlign w:val="center"/>
            <w:hideMark/>
          </w:tcPr>
          <w:p w14:paraId="78EB2AA9" w14:textId="77777777" w:rsidR="000F2BE0" w:rsidRPr="00E03B4E" w:rsidRDefault="000F2BE0" w:rsidP="00DF1EE8">
            <w:pPr>
              <w:rPr>
                <w:b/>
                <w:bCs w:val="0"/>
                <w:color w:val="000000"/>
                <w:sz w:val="19"/>
                <w:szCs w:val="19"/>
              </w:rPr>
            </w:pPr>
            <w:r w:rsidRPr="00E03B4E">
              <w:rPr>
                <w:bCs w:val="0"/>
                <w:color w:val="000000"/>
                <w:sz w:val="19"/>
                <w:szCs w:val="19"/>
              </w:rPr>
              <w:t>29.48 ± 0.071</w:t>
            </w:r>
          </w:p>
        </w:tc>
        <w:tc>
          <w:tcPr>
            <w:tcW w:w="523" w:type="pct"/>
            <w:tcBorders>
              <w:bottom w:val="single" w:sz="4" w:space="0" w:color="auto"/>
            </w:tcBorders>
            <w:shd w:val="clear" w:color="auto" w:fill="auto"/>
            <w:noWrap/>
            <w:vAlign w:val="center"/>
            <w:hideMark/>
          </w:tcPr>
          <w:p w14:paraId="70D07DFE" w14:textId="77777777" w:rsidR="000F2BE0" w:rsidRPr="00E03B4E" w:rsidRDefault="000F2BE0" w:rsidP="00DF1EE8">
            <w:pPr>
              <w:rPr>
                <w:b/>
                <w:bCs w:val="0"/>
                <w:color w:val="000000"/>
                <w:sz w:val="19"/>
                <w:szCs w:val="19"/>
              </w:rPr>
            </w:pPr>
            <w:r w:rsidRPr="00E03B4E">
              <w:rPr>
                <w:bCs w:val="0"/>
                <w:color w:val="000000"/>
                <w:sz w:val="19"/>
                <w:szCs w:val="19"/>
              </w:rPr>
              <w:t>7.69 ± 0.003</w:t>
            </w:r>
          </w:p>
        </w:tc>
        <w:tc>
          <w:tcPr>
            <w:tcW w:w="643" w:type="pct"/>
            <w:tcBorders>
              <w:bottom w:val="single" w:sz="4" w:space="0" w:color="auto"/>
            </w:tcBorders>
            <w:shd w:val="clear" w:color="auto" w:fill="auto"/>
            <w:noWrap/>
            <w:vAlign w:val="center"/>
            <w:hideMark/>
          </w:tcPr>
          <w:p w14:paraId="097E68FF" w14:textId="77777777" w:rsidR="000F2BE0" w:rsidRPr="00E03B4E" w:rsidRDefault="000F2BE0" w:rsidP="00DF1EE8">
            <w:pPr>
              <w:rPr>
                <w:b/>
                <w:bCs w:val="0"/>
                <w:color w:val="000000"/>
                <w:sz w:val="19"/>
                <w:szCs w:val="19"/>
              </w:rPr>
            </w:pPr>
            <w:r w:rsidRPr="00E03B4E">
              <w:rPr>
                <w:bCs w:val="0"/>
                <w:color w:val="000000"/>
                <w:sz w:val="19"/>
                <w:szCs w:val="19"/>
              </w:rPr>
              <w:t>2290.31 ± 0.722</w:t>
            </w:r>
          </w:p>
        </w:tc>
        <w:tc>
          <w:tcPr>
            <w:tcW w:w="684" w:type="pct"/>
            <w:tcBorders>
              <w:bottom w:val="single" w:sz="4" w:space="0" w:color="auto"/>
            </w:tcBorders>
            <w:shd w:val="clear" w:color="auto" w:fill="auto"/>
            <w:noWrap/>
            <w:vAlign w:val="center"/>
            <w:hideMark/>
          </w:tcPr>
          <w:p w14:paraId="518EAB85" w14:textId="77777777" w:rsidR="000F2BE0" w:rsidRPr="00E03B4E" w:rsidRDefault="000F2BE0" w:rsidP="00DF1EE8">
            <w:pPr>
              <w:rPr>
                <w:b/>
                <w:bCs w:val="0"/>
                <w:color w:val="000000"/>
                <w:sz w:val="19"/>
                <w:szCs w:val="19"/>
              </w:rPr>
            </w:pPr>
            <w:r w:rsidRPr="00E03B4E">
              <w:rPr>
                <w:bCs w:val="0"/>
                <w:color w:val="000000"/>
                <w:sz w:val="19"/>
                <w:szCs w:val="19"/>
              </w:rPr>
              <w:t>1028.482 ± 7.076</w:t>
            </w:r>
          </w:p>
        </w:tc>
        <w:tc>
          <w:tcPr>
            <w:tcW w:w="664" w:type="pct"/>
            <w:tcBorders>
              <w:bottom w:val="single" w:sz="4" w:space="0" w:color="auto"/>
            </w:tcBorders>
            <w:shd w:val="clear" w:color="auto" w:fill="auto"/>
            <w:noWrap/>
            <w:vAlign w:val="center"/>
            <w:hideMark/>
          </w:tcPr>
          <w:p w14:paraId="6956DF96" w14:textId="77777777" w:rsidR="000F2BE0" w:rsidRPr="00E03B4E" w:rsidRDefault="000F2BE0" w:rsidP="00DF1EE8">
            <w:pPr>
              <w:rPr>
                <w:b/>
                <w:bCs w:val="0"/>
                <w:color w:val="000000"/>
                <w:sz w:val="19"/>
                <w:szCs w:val="19"/>
              </w:rPr>
            </w:pPr>
            <w:r w:rsidRPr="00E03B4E">
              <w:rPr>
                <w:bCs w:val="0"/>
                <w:color w:val="000000"/>
                <w:sz w:val="19"/>
                <w:szCs w:val="19"/>
              </w:rPr>
              <w:t>1984.58 ± 1.540</w:t>
            </w:r>
          </w:p>
        </w:tc>
        <w:tc>
          <w:tcPr>
            <w:tcW w:w="629" w:type="pct"/>
            <w:tcBorders>
              <w:bottom w:val="single" w:sz="4" w:space="0" w:color="auto"/>
            </w:tcBorders>
            <w:shd w:val="clear" w:color="auto" w:fill="auto"/>
            <w:noWrap/>
            <w:vAlign w:val="center"/>
            <w:hideMark/>
          </w:tcPr>
          <w:p w14:paraId="44CC6844" w14:textId="77777777" w:rsidR="000F2BE0" w:rsidRPr="00E03B4E" w:rsidRDefault="000F2BE0" w:rsidP="00DF1EE8">
            <w:pPr>
              <w:rPr>
                <w:b/>
                <w:bCs w:val="0"/>
                <w:color w:val="000000"/>
                <w:sz w:val="19"/>
                <w:szCs w:val="19"/>
              </w:rPr>
            </w:pPr>
            <w:r w:rsidRPr="00E03B4E">
              <w:rPr>
                <w:bCs w:val="0"/>
                <w:color w:val="000000"/>
                <w:sz w:val="19"/>
                <w:szCs w:val="19"/>
              </w:rPr>
              <w:t>125.02 ± 6.850</w:t>
            </w:r>
          </w:p>
        </w:tc>
        <w:tc>
          <w:tcPr>
            <w:tcW w:w="562" w:type="pct"/>
            <w:tcBorders>
              <w:bottom w:val="single" w:sz="4" w:space="0" w:color="auto"/>
            </w:tcBorders>
            <w:shd w:val="clear" w:color="auto" w:fill="auto"/>
            <w:noWrap/>
            <w:vAlign w:val="center"/>
            <w:hideMark/>
          </w:tcPr>
          <w:p w14:paraId="70C8CC52" w14:textId="77777777" w:rsidR="000F2BE0" w:rsidRPr="00E03B4E" w:rsidRDefault="000F2BE0" w:rsidP="00DF1EE8">
            <w:pPr>
              <w:rPr>
                <w:b/>
                <w:bCs w:val="0"/>
                <w:color w:val="000000"/>
                <w:sz w:val="19"/>
                <w:szCs w:val="19"/>
              </w:rPr>
            </w:pPr>
            <w:r w:rsidRPr="00E03B4E">
              <w:rPr>
                <w:bCs w:val="0"/>
                <w:color w:val="000000"/>
                <w:sz w:val="19"/>
                <w:szCs w:val="19"/>
              </w:rPr>
              <w:t>0.672 ± 0.030</w:t>
            </w:r>
          </w:p>
        </w:tc>
      </w:tr>
    </w:tbl>
    <w:p w14:paraId="4837E93B" w14:textId="77777777" w:rsidR="00262D56" w:rsidRDefault="00262D56" w:rsidP="00FE5CC1">
      <w:pPr>
        <w:spacing w:line="276" w:lineRule="auto"/>
      </w:pPr>
    </w:p>
    <w:p w14:paraId="5AA9B7A5" w14:textId="3B9A09F4" w:rsidR="000263C8" w:rsidRPr="0073112E" w:rsidRDefault="00590035" w:rsidP="00A62BA6">
      <w:pPr>
        <w:spacing w:line="276" w:lineRule="auto"/>
        <w:rPr>
          <w:rFonts w:ascii="Arial" w:hAnsi="Arial" w:cs="Arial"/>
          <w:sz w:val="20"/>
          <w:szCs w:val="20"/>
        </w:rPr>
      </w:pPr>
      <w:r w:rsidRPr="00FC0540">
        <w:lastRenderedPageBreak/>
        <w:t xml:space="preserve">Table </w:t>
      </w:r>
      <w:r w:rsidR="006868AD" w:rsidRPr="00FC0540">
        <w:t>S</w:t>
      </w:r>
      <w:r w:rsidR="0053461B" w:rsidRPr="00FC0540">
        <w:t>6</w:t>
      </w:r>
      <w:r w:rsidR="00CC67FF" w:rsidRPr="00FC0540">
        <w:t>.</w:t>
      </w:r>
      <w:r w:rsidR="000F2BE0" w:rsidRPr="00FC0540">
        <w:t xml:space="preserve"> </w:t>
      </w:r>
      <w:r w:rsidR="000F2BE0" w:rsidRPr="00FC0540">
        <w:rPr>
          <w:bCs w:val="0"/>
        </w:rPr>
        <w:t>Statistics for number of read</w:t>
      </w:r>
      <w:r w:rsidR="00FF3DDE">
        <w:rPr>
          <w:bCs w:val="0"/>
        </w:rPr>
        <w:t>s</w:t>
      </w:r>
      <w:r w:rsidR="000F2BE0" w:rsidRPr="00FC0540">
        <w:rPr>
          <w:bCs w:val="0"/>
        </w:rPr>
        <w:t xml:space="preserve">, </w:t>
      </w:r>
      <w:r w:rsidR="00FF3DDE">
        <w:rPr>
          <w:bCs w:val="0"/>
        </w:rPr>
        <w:t xml:space="preserve">the number of </w:t>
      </w:r>
      <w:r w:rsidR="000F2BE0" w:rsidRPr="00FC0540">
        <w:rPr>
          <w:bCs w:val="0"/>
        </w:rPr>
        <w:t>counts</w:t>
      </w:r>
      <w:r w:rsidR="00FF3DDE">
        <w:rPr>
          <w:bCs w:val="0"/>
        </w:rPr>
        <w:t xml:space="preserve"> (the counted number of reads mapped to each gene)</w:t>
      </w:r>
      <w:r w:rsidR="000F2BE0" w:rsidRPr="00FC0540">
        <w:rPr>
          <w:bCs w:val="0"/>
        </w:rPr>
        <w:t xml:space="preserve">, and mapping % generated during CEL-Seq pipeline for both </w:t>
      </w:r>
      <w:r w:rsidR="000F2BE0" w:rsidRPr="00FC0540">
        <w:rPr>
          <w:bCs w:val="0"/>
          <w:i/>
          <w:iCs/>
        </w:rPr>
        <w:t>S</w:t>
      </w:r>
      <w:r w:rsidR="008C3383" w:rsidRPr="00FC0540">
        <w:rPr>
          <w:bCs w:val="0"/>
          <w:i/>
          <w:iCs/>
        </w:rPr>
        <w:t>porolithon</w:t>
      </w:r>
      <w:r w:rsidR="000F2BE0" w:rsidRPr="00FC0540">
        <w:rPr>
          <w:bCs w:val="0"/>
          <w:i/>
          <w:iCs/>
        </w:rPr>
        <w:t xml:space="preserve"> </w:t>
      </w:r>
      <w:r w:rsidR="000F2BE0" w:rsidRPr="00FC0540">
        <w:rPr>
          <w:bCs w:val="0"/>
        </w:rPr>
        <w:t xml:space="preserve">cf. </w:t>
      </w:r>
      <w:r w:rsidR="000F2BE0" w:rsidRPr="00FC0540">
        <w:rPr>
          <w:bCs w:val="0"/>
          <w:i/>
          <w:iCs/>
        </w:rPr>
        <w:t xml:space="preserve">durum </w:t>
      </w:r>
      <w:r w:rsidR="000F2BE0" w:rsidRPr="00FC0540">
        <w:rPr>
          <w:bCs w:val="0"/>
        </w:rPr>
        <w:t xml:space="preserve">and </w:t>
      </w:r>
      <w:r w:rsidR="000F2BE0" w:rsidRPr="00FC0540">
        <w:rPr>
          <w:bCs w:val="0"/>
          <w:i/>
          <w:iCs/>
          <w:color w:val="000000" w:themeColor="text1"/>
        </w:rPr>
        <w:t>P</w:t>
      </w:r>
      <w:r w:rsidR="008C3383" w:rsidRPr="00FC0540">
        <w:rPr>
          <w:bCs w:val="0"/>
          <w:i/>
          <w:iCs/>
          <w:color w:val="000000" w:themeColor="text1"/>
        </w:rPr>
        <w:t>orolithon</w:t>
      </w:r>
      <w:r w:rsidR="000F2BE0" w:rsidRPr="00FC0540">
        <w:rPr>
          <w:bCs w:val="0"/>
          <w:i/>
          <w:iCs/>
          <w:color w:val="000000" w:themeColor="text1"/>
        </w:rPr>
        <w:t xml:space="preserve"> </w:t>
      </w:r>
      <w:r w:rsidR="000F2BE0" w:rsidRPr="00FC0540">
        <w:rPr>
          <w:bCs w:val="0"/>
          <w:color w:val="000000" w:themeColor="text1"/>
        </w:rPr>
        <w:t xml:space="preserve">cf. </w:t>
      </w:r>
      <w:r w:rsidR="000F2BE0" w:rsidRPr="00FC0540">
        <w:rPr>
          <w:bCs w:val="0"/>
          <w:i/>
          <w:iCs/>
          <w:color w:val="000000" w:themeColor="text1"/>
        </w:rPr>
        <w:t>onkodes</w:t>
      </w:r>
      <w:r w:rsidR="000F2BE0" w:rsidRPr="00FC0540">
        <w:rPr>
          <w:bCs w:val="0"/>
          <w:color w:val="000000" w:themeColor="text1"/>
        </w:rPr>
        <w:t>.</w:t>
      </w:r>
      <w:r w:rsidR="001C74F5" w:rsidRPr="00FC0540">
        <w:rPr>
          <w:bCs w:val="0"/>
          <w:color w:val="000000" w:themeColor="text1"/>
        </w:rPr>
        <w:t xml:space="preserve"> Samples </w:t>
      </w:r>
      <w:r w:rsidR="00581934">
        <w:rPr>
          <w:bCs w:val="0"/>
          <w:color w:val="000000" w:themeColor="text1"/>
        </w:rPr>
        <w:t>that had &lt;900,000 reads and low mapping percentage were removed from analysis</w:t>
      </w:r>
      <w:r w:rsidR="00C53E25">
        <w:rPr>
          <w:bCs w:val="0"/>
          <w:color w:val="000000" w:themeColor="text1"/>
        </w:rPr>
        <w:t>.</w:t>
      </w:r>
    </w:p>
    <w:tbl>
      <w:tblPr>
        <w:tblW w:w="4794" w:type="pct"/>
        <w:tblLook w:val="04A0" w:firstRow="1" w:lastRow="0" w:firstColumn="1" w:lastColumn="0" w:noHBand="0" w:noVBand="1"/>
      </w:tblPr>
      <w:tblGrid>
        <w:gridCol w:w="2008"/>
        <w:gridCol w:w="1766"/>
        <w:gridCol w:w="1763"/>
        <w:gridCol w:w="1763"/>
        <w:gridCol w:w="1391"/>
      </w:tblGrid>
      <w:tr w:rsidR="000F2BE0" w:rsidRPr="008D6FC3" w14:paraId="0F350C04" w14:textId="77777777" w:rsidTr="0073112E">
        <w:trPr>
          <w:trHeight w:val="232"/>
        </w:trPr>
        <w:tc>
          <w:tcPr>
            <w:tcW w:w="1155" w:type="pct"/>
            <w:tcBorders>
              <w:top w:val="single" w:sz="4" w:space="0" w:color="auto"/>
              <w:left w:val="nil"/>
              <w:bottom w:val="single" w:sz="4" w:space="0" w:color="auto"/>
              <w:right w:val="nil"/>
            </w:tcBorders>
            <w:shd w:val="clear" w:color="auto" w:fill="auto"/>
            <w:noWrap/>
            <w:vAlign w:val="bottom"/>
            <w:hideMark/>
          </w:tcPr>
          <w:p w14:paraId="67FEB57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Species</w:t>
            </w:r>
          </w:p>
        </w:tc>
        <w:tc>
          <w:tcPr>
            <w:tcW w:w="1016" w:type="pct"/>
            <w:tcBorders>
              <w:top w:val="single" w:sz="4" w:space="0" w:color="auto"/>
              <w:left w:val="nil"/>
              <w:bottom w:val="single" w:sz="4" w:space="0" w:color="auto"/>
              <w:right w:val="nil"/>
            </w:tcBorders>
            <w:shd w:val="clear" w:color="auto" w:fill="auto"/>
            <w:noWrap/>
            <w:vAlign w:val="bottom"/>
            <w:hideMark/>
          </w:tcPr>
          <w:p w14:paraId="318392A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Sample</w:t>
            </w:r>
          </w:p>
        </w:tc>
        <w:tc>
          <w:tcPr>
            <w:tcW w:w="1014" w:type="pct"/>
            <w:tcBorders>
              <w:top w:val="single" w:sz="4" w:space="0" w:color="auto"/>
              <w:left w:val="nil"/>
              <w:bottom w:val="single" w:sz="4" w:space="0" w:color="auto"/>
              <w:right w:val="nil"/>
            </w:tcBorders>
            <w:shd w:val="clear" w:color="auto" w:fill="auto"/>
            <w:noWrap/>
            <w:vAlign w:val="bottom"/>
            <w:hideMark/>
          </w:tcPr>
          <w:p w14:paraId="1F9E125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 reads</w:t>
            </w:r>
          </w:p>
        </w:tc>
        <w:tc>
          <w:tcPr>
            <w:tcW w:w="1014" w:type="pct"/>
            <w:tcBorders>
              <w:top w:val="single" w:sz="4" w:space="0" w:color="auto"/>
              <w:left w:val="nil"/>
              <w:bottom w:val="single" w:sz="4" w:space="0" w:color="auto"/>
              <w:right w:val="nil"/>
            </w:tcBorders>
            <w:shd w:val="clear" w:color="auto" w:fill="auto"/>
            <w:noWrap/>
            <w:vAlign w:val="bottom"/>
            <w:hideMark/>
          </w:tcPr>
          <w:p w14:paraId="0E338A1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 counts</w:t>
            </w:r>
          </w:p>
        </w:tc>
        <w:tc>
          <w:tcPr>
            <w:tcW w:w="800" w:type="pct"/>
            <w:tcBorders>
              <w:top w:val="single" w:sz="4" w:space="0" w:color="auto"/>
              <w:left w:val="nil"/>
              <w:bottom w:val="single" w:sz="4" w:space="0" w:color="auto"/>
              <w:right w:val="nil"/>
            </w:tcBorders>
            <w:shd w:val="clear" w:color="auto" w:fill="auto"/>
            <w:noWrap/>
            <w:vAlign w:val="bottom"/>
            <w:hideMark/>
          </w:tcPr>
          <w:p w14:paraId="6A45B4C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 mapped</w:t>
            </w:r>
          </w:p>
        </w:tc>
      </w:tr>
      <w:tr w:rsidR="000F2BE0" w:rsidRPr="008D6FC3" w14:paraId="11F41020" w14:textId="77777777" w:rsidTr="0073112E">
        <w:trPr>
          <w:trHeight w:val="232"/>
        </w:trPr>
        <w:tc>
          <w:tcPr>
            <w:tcW w:w="1155" w:type="pct"/>
            <w:tcBorders>
              <w:top w:val="nil"/>
              <w:left w:val="nil"/>
              <w:bottom w:val="nil"/>
              <w:right w:val="nil"/>
            </w:tcBorders>
            <w:shd w:val="clear" w:color="auto" w:fill="auto"/>
            <w:noWrap/>
            <w:vAlign w:val="bottom"/>
            <w:hideMark/>
          </w:tcPr>
          <w:p w14:paraId="011AA12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75A4919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SD10_amb</w:t>
            </w:r>
          </w:p>
        </w:tc>
        <w:tc>
          <w:tcPr>
            <w:tcW w:w="1014" w:type="pct"/>
            <w:tcBorders>
              <w:top w:val="nil"/>
              <w:left w:val="nil"/>
              <w:bottom w:val="nil"/>
              <w:right w:val="nil"/>
            </w:tcBorders>
            <w:shd w:val="clear" w:color="auto" w:fill="auto"/>
            <w:noWrap/>
            <w:vAlign w:val="bottom"/>
            <w:hideMark/>
          </w:tcPr>
          <w:p w14:paraId="4571E11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2792473</w:t>
            </w:r>
          </w:p>
        </w:tc>
        <w:tc>
          <w:tcPr>
            <w:tcW w:w="1014" w:type="pct"/>
            <w:tcBorders>
              <w:top w:val="nil"/>
              <w:left w:val="nil"/>
              <w:bottom w:val="nil"/>
              <w:right w:val="nil"/>
            </w:tcBorders>
            <w:shd w:val="clear" w:color="auto" w:fill="auto"/>
            <w:noWrap/>
            <w:vAlign w:val="bottom"/>
            <w:hideMark/>
          </w:tcPr>
          <w:p w14:paraId="3CD5EEC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907968</w:t>
            </w:r>
          </w:p>
        </w:tc>
        <w:tc>
          <w:tcPr>
            <w:tcW w:w="800" w:type="pct"/>
            <w:tcBorders>
              <w:top w:val="nil"/>
              <w:left w:val="nil"/>
              <w:bottom w:val="nil"/>
              <w:right w:val="nil"/>
            </w:tcBorders>
            <w:shd w:val="clear" w:color="auto" w:fill="auto"/>
            <w:noWrap/>
            <w:vAlign w:val="bottom"/>
            <w:hideMark/>
          </w:tcPr>
          <w:p w14:paraId="7636089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67.25%</w:t>
            </w:r>
          </w:p>
        </w:tc>
      </w:tr>
      <w:tr w:rsidR="000F2BE0" w:rsidRPr="008D6FC3" w14:paraId="106E6467" w14:textId="77777777" w:rsidTr="0073112E">
        <w:trPr>
          <w:trHeight w:val="232"/>
        </w:trPr>
        <w:tc>
          <w:tcPr>
            <w:tcW w:w="1155" w:type="pct"/>
            <w:tcBorders>
              <w:top w:val="nil"/>
              <w:left w:val="nil"/>
              <w:bottom w:val="nil"/>
              <w:right w:val="nil"/>
            </w:tcBorders>
            <w:shd w:val="clear" w:color="auto" w:fill="auto"/>
            <w:noWrap/>
            <w:vAlign w:val="bottom"/>
            <w:hideMark/>
          </w:tcPr>
          <w:p w14:paraId="5B1B66E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454880F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SD3_ph</w:t>
            </w:r>
          </w:p>
        </w:tc>
        <w:tc>
          <w:tcPr>
            <w:tcW w:w="1014" w:type="pct"/>
            <w:tcBorders>
              <w:top w:val="nil"/>
              <w:left w:val="nil"/>
              <w:bottom w:val="nil"/>
              <w:right w:val="nil"/>
            </w:tcBorders>
            <w:shd w:val="clear" w:color="auto" w:fill="auto"/>
            <w:noWrap/>
            <w:vAlign w:val="bottom"/>
            <w:hideMark/>
          </w:tcPr>
          <w:p w14:paraId="0989638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2905474</w:t>
            </w:r>
          </w:p>
        </w:tc>
        <w:tc>
          <w:tcPr>
            <w:tcW w:w="1014" w:type="pct"/>
            <w:tcBorders>
              <w:top w:val="nil"/>
              <w:left w:val="nil"/>
              <w:bottom w:val="nil"/>
              <w:right w:val="nil"/>
            </w:tcBorders>
            <w:shd w:val="clear" w:color="auto" w:fill="auto"/>
            <w:noWrap/>
            <w:vAlign w:val="bottom"/>
            <w:hideMark/>
          </w:tcPr>
          <w:p w14:paraId="76BBB79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999343</w:t>
            </w:r>
          </w:p>
        </w:tc>
        <w:tc>
          <w:tcPr>
            <w:tcW w:w="800" w:type="pct"/>
            <w:tcBorders>
              <w:top w:val="nil"/>
              <w:left w:val="nil"/>
              <w:bottom w:val="nil"/>
              <w:right w:val="nil"/>
            </w:tcBorders>
            <w:shd w:val="clear" w:color="auto" w:fill="auto"/>
            <w:noWrap/>
            <w:vAlign w:val="bottom"/>
            <w:hideMark/>
          </w:tcPr>
          <w:p w14:paraId="1A7EE04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69.65%</w:t>
            </w:r>
          </w:p>
        </w:tc>
      </w:tr>
      <w:tr w:rsidR="000F2BE0" w:rsidRPr="008D6FC3" w14:paraId="320A236F" w14:textId="77777777" w:rsidTr="0073112E">
        <w:trPr>
          <w:trHeight w:val="232"/>
        </w:trPr>
        <w:tc>
          <w:tcPr>
            <w:tcW w:w="1155" w:type="pct"/>
            <w:tcBorders>
              <w:top w:val="nil"/>
              <w:left w:val="nil"/>
              <w:bottom w:val="nil"/>
              <w:right w:val="nil"/>
            </w:tcBorders>
            <w:shd w:val="clear" w:color="auto" w:fill="auto"/>
            <w:noWrap/>
            <w:vAlign w:val="bottom"/>
            <w:hideMark/>
          </w:tcPr>
          <w:p w14:paraId="760E72C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355E7F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SD4_amb</w:t>
            </w:r>
          </w:p>
        </w:tc>
        <w:tc>
          <w:tcPr>
            <w:tcW w:w="1014" w:type="pct"/>
            <w:tcBorders>
              <w:top w:val="nil"/>
              <w:left w:val="nil"/>
              <w:bottom w:val="nil"/>
              <w:right w:val="nil"/>
            </w:tcBorders>
            <w:shd w:val="clear" w:color="auto" w:fill="auto"/>
            <w:noWrap/>
            <w:vAlign w:val="bottom"/>
            <w:hideMark/>
          </w:tcPr>
          <w:p w14:paraId="31B137C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7230595</w:t>
            </w:r>
          </w:p>
        </w:tc>
        <w:tc>
          <w:tcPr>
            <w:tcW w:w="1014" w:type="pct"/>
            <w:tcBorders>
              <w:top w:val="nil"/>
              <w:left w:val="nil"/>
              <w:bottom w:val="nil"/>
              <w:right w:val="nil"/>
            </w:tcBorders>
            <w:shd w:val="clear" w:color="auto" w:fill="auto"/>
            <w:noWrap/>
            <w:vAlign w:val="bottom"/>
            <w:hideMark/>
          </w:tcPr>
          <w:p w14:paraId="76B51AC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2078440</w:t>
            </w:r>
          </w:p>
        </w:tc>
        <w:tc>
          <w:tcPr>
            <w:tcW w:w="800" w:type="pct"/>
            <w:tcBorders>
              <w:top w:val="nil"/>
              <w:left w:val="nil"/>
              <w:bottom w:val="nil"/>
              <w:right w:val="nil"/>
            </w:tcBorders>
            <w:shd w:val="clear" w:color="auto" w:fill="auto"/>
            <w:noWrap/>
            <w:vAlign w:val="bottom"/>
            <w:hideMark/>
          </w:tcPr>
          <w:p w14:paraId="1CD1A74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74.69%</w:t>
            </w:r>
          </w:p>
        </w:tc>
      </w:tr>
      <w:tr w:rsidR="000F2BE0" w:rsidRPr="008D6FC3" w14:paraId="4F8705A1" w14:textId="77777777" w:rsidTr="0073112E">
        <w:trPr>
          <w:trHeight w:val="232"/>
        </w:trPr>
        <w:tc>
          <w:tcPr>
            <w:tcW w:w="1155" w:type="pct"/>
            <w:tcBorders>
              <w:top w:val="nil"/>
              <w:left w:val="nil"/>
              <w:bottom w:val="nil"/>
              <w:right w:val="nil"/>
            </w:tcBorders>
            <w:shd w:val="clear" w:color="auto" w:fill="auto"/>
            <w:noWrap/>
            <w:vAlign w:val="bottom"/>
            <w:hideMark/>
          </w:tcPr>
          <w:p w14:paraId="49FE235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359F1F3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SD5_ph</w:t>
            </w:r>
          </w:p>
        </w:tc>
        <w:tc>
          <w:tcPr>
            <w:tcW w:w="1014" w:type="pct"/>
            <w:tcBorders>
              <w:top w:val="nil"/>
              <w:left w:val="nil"/>
              <w:bottom w:val="nil"/>
              <w:right w:val="nil"/>
            </w:tcBorders>
            <w:shd w:val="clear" w:color="auto" w:fill="auto"/>
            <w:noWrap/>
            <w:vAlign w:val="bottom"/>
            <w:hideMark/>
          </w:tcPr>
          <w:p w14:paraId="347D73E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17392054</w:t>
            </w:r>
          </w:p>
        </w:tc>
        <w:tc>
          <w:tcPr>
            <w:tcW w:w="1014" w:type="pct"/>
            <w:tcBorders>
              <w:top w:val="nil"/>
              <w:left w:val="nil"/>
              <w:bottom w:val="nil"/>
              <w:right w:val="nil"/>
            </w:tcBorders>
            <w:shd w:val="clear" w:color="auto" w:fill="auto"/>
            <w:noWrap/>
            <w:vAlign w:val="bottom"/>
            <w:hideMark/>
          </w:tcPr>
          <w:p w14:paraId="4BD4F0A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5225552</w:t>
            </w:r>
          </w:p>
        </w:tc>
        <w:tc>
          <w:tcPr>
            <w:tcW w:w="800" w:type="pct"/>
            <w:tcBorders>
              <w:top w:val="nil"/>
              <w:left w:val="nil"/>
              <w:bottom w:val="nil"/>
              <w:right w:val="nil"/>
            </w:tcBorders>
            <w:shd w:val="clear" w:color="auto" w:fill="auto"/>
            <w:noWrap/>
            <w:vAlign w:val="bottom"/>
            <w:hideMark/>
          </w:tcPr>
          <w:p w14:paraId="4320772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72.16%</w:t>
            </w:r>
          </w:p>
        </w:tc>
      </w:tr>
      <w:tr w:rsidR="000F2BE0" w:rsidRPr="008D6FC3" w14:paraId="7066F07A" w14:textId="77777777" w:rsidTr="0073112E">
        <w:trPr>
          <w:trHeight w:val="232"/>
        </w:trPr>
        <w:tc>
          <w:tcPr>
            <w:tcW w:w="1155" w:type="pct"/>
            <w:tcBorders>
              <w:top w:val="nil"/>
              <w:left w:val="nil"/>
              <w:bottom w:val="nil"/>
              <w:right w:val="nil"/>
            </w:tcBorders>
            <w:shd w:val="clear" w:color="auto" w:fill="auto"/>
            <w:noWrap/>
            <w:vAlign w:val="bottom"/>
            <w:hideMark/>
          </w:tcPr>
          <w:p w14:paraId="09EFC6C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4EA8CF1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SD6_tph</w:t>
            </w:r>
          </w:p>
        </w:tc>
        <w:tc>
          <w:tcPr>
            <w:tcW w:w="1014" w:type="pct"/>
            <w:tcBorders>
              <w:top w:val="nil"/>
              <w:left w:val="nil"/>
              <w:bottom w:val="nil"/>
              <w:right w:val="nil"/>
            </w:tcBorders>
            <w:shd w:val="clear" w:color="auto" w:fill="auto"/>
            <w:noWrap/>
            <w:vAlign w:val="bottom"/>
            <w:hideMark/>
          </w:tcPr>
          <w:p w14:paraId="3D1CFA7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7571206</w:t>
            </w:r>
          </w:p>
        </w:tc>
        <w:tc>
          <w:tcPr>
            <w:tcW w:w="1014" w:type="pct"/>
            <w:tcBorders>
              <w:top w:val="nil"/>
              <w:left w:val="nil"/>
              <w:bottom w:val="nil"/>
              <w:right w:val="nil"/>
            </w:tcBorders>
            <w:shd w:val="clear" w:color="auto" w:fill="auto"/>
            <w:noWrap/>
            <w:vAlign w:val="bottom"/>
            <w:hideMark/>
          </w:tcPr>
          <w:p w14:paraId="1BC2B7E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2565129</w:t>
            </w:r>
          </w:p>
        </w:tc>
        <w:tc>
          <w:tcPr>
            <w:tcW w:w="800" w:type="pct"/>
            <w:tcBorders>
              <w:top w:val="nil"/>
              <w:left w:val="nil"/>
              <w:bottom w:val="nil"/>
              <w:right w:val="nil"/>
            </w:tcBorders>
            <w:shd w:val="clear" w:color="auto" w:fill="auto"/>
            <w:noWrap/>
            <w:vAlign w:val="bottom"/>
            <w:hideMark/>
          </w:tcPr>
          <w:p w14:paraId="1814C8C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69.88%</w:t>
            </w:r>
          </w:p>
        </w:tc>
      </w:tr>
      <w:tr w:rsidR="000F2BE0" w:rsidRPr="008D6FC3" w14:paraId="76219223" w14:textId="77777777" w:rsidTr="0073112E">
        <w:trPr>
          <w:trHeight w:val="232"/>
        </w:trPr>
        <w:tc>
          <w:tcPr>
            <w:tcW w:w="1155" w:type="pct"/>
            <w:tcBorders>
              <w:top w:val="nil"/>
              <w:left w:val="nil"/>
              <w:bottom w:val="nil"/>
              <w:right w:val="nil"/>
            </w:tcBorders>
            <w:shd w:val="clear" w:color="auto" w:fill="auto"/>
            <w:noWrap/>
            <w:vAlign w:val="bottom"/>
            <w:hideMark/>
          </w:tcPr>
          <w:p w14:paraId="38245A0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659E92F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SD7_tph</w:t>
            </w:r>
          </w:p>
        </w:tc>
        <w:tc>
          <w:tcPr>
            <w:tcW w:w="1014" w:type="pct"/>
            <w:tcBorders>
              <w:top w:val="nil"/>
              <w:left w:val="nil"/>
              <w:bottom w:val="nil"/>
              <w:right w:val="nil"/>
            </w:tcBorders>
            <w:shd w:val="clear" w:color="auto" w:fill="auto"/>
            <w:noWrap/>
            <w:vAlign w:val="bottom"/>
            <w:hideMark/>
          </w:tcPr>
          <w:p w14:paraId="0F79C29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3042944</w:t>
            </w:r>
          </w:p>
        </w:tc>
        <w:tc>
          <w:tcPr>
            <w:tcW w:w="1014" w:type="pct"/>
            <w:tcBorders>
              <w:top w:val="nil"/>
              <w:left w:val="nil"/>
              <w:bottom w:val="nil"/>
              <w:right w:val="nil"/>
            </w:tcBorders>
            <w:shd w:val="clear" w:color="auto" w:fill="auto"/>
            <w:noWrap/>
            <w:vAlign w:val="bottom"/>
            <w:hideMark/>
          </w:tcPr>
          <w:p w14:paraId="4D2AC3B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948133</w:t>
            </w:r>
          </w:p>
        </w:tc>
        <w:tc>
          <w:tcPr>
            <w:tcW w:w="800" w:type="pct"/>
            <w:tcBorders>
              <w:top w:val="nil"/>
              <w:left w:val="nil"/>
              <w:bottom w:val="nil"/>
              <w:right w:val="nil"/>
            </w:tcBorders>
            <w:shd w:val="clear" w:color="auto" w:fill="auto"/>
            <w:noWrap/>
            <w:vAlign w:val="bottom"/>
            <w:hideMark/>
          </w:tcPr>
          <w:p w14:paraId="7CA236E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69.44%</w:t>
            </w:r>
          </w:p>
        </w:tc>
      </w:tr>
      <w:tr w:rsidR="000F2BE0" w:rsidRPr="008D6FC3" w14:paraId="0554D105" w14:textId="77777777" w:rsidTr="0073112E">
        <w:trPr>
          <w:trHeight w:val="232"/>
        </w:trPr>
        <w:tc>
          <w:tcPr>
            <w:tcW w:w="1155" w:type="pct"/>
            <w:tcBorders>
              <w:top w:val="nil"/>
              <w:left w:val="nil"/>
              <w:bottom w:val="nil"/>
              <w:right w:val="nil"/>
            </w:tcBorders>
            <w:shd w:val="clear" w:color="auto" w:fill="auto"/>
            <w:noWrap/>
            <w:vAlign w:val="bottom"/>
            <w:hideMark/>
          </w:tcPr>
          <w:p w14:paraId="00F02E8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19365EA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SD8_temp</w:t>
            </w:r>
          </w:p>
        </w:tc>
        <w:tc>
          <w:tcPr>
            <w:tcW w:w="1014" w:type="pct"/>
            <w:tcBorders>
              <w:top w:val="nil"/>
              <w:left w:val="nil"/>
              <w:bottom w:val="nil"/>
              <w:right w:val="nil"/>
            </w:tcBorders>
            <w:shd w:val="clear" w:color="auto" w:fill="auto"/>
            <w:noWrap/>
            <w:vAlign w:val="bottom"/>
            <w:hideMark/>
          </w:tcPr>
          <w:p w14:paraId="55D992B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3639126</w:t>
            </w:r>
          </w:p>
        </w:tc>
        <w:tc>
          <w:tcPr>
            <w:tcW w:w="1014" w:type="pct"/>
            <w:tcBorders>
              <w:top w:val="nil"/>
              <w:left w:val="nil"/>
              <w:bottom w:val="nil"/>
              <w:right w:val="nil"/>
            </w:tcBorders>
            <w:shd w:val="clear" w:color="auto" w:fill="auto"/>
            <w:noWrap/>
            <w:vAlign w:val="bottom"/>
            <w:hideMark/>
          </w:tcPr>
          <w:p w14:paraId="16DF6E3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1403593</w:t>
            </w:r>
          </w:p>
        </w:tc>
        <w:tc>
          <w:tcPr>
            <w:tcW w:w="800" w:type="pct"/>
            <w:tcBorders>
              <w:top w:val="nil"/>
              <w:left w:val="nil"/>
              <w:bottom w:val="nil"/>
              <w:right w:val="nil"/>
            </w:tcBorders>
            <w:shd w:val="clear" w:color="auto" w:fill="auto"/>
            <w:noWrap/>
            <w:vAlign w:val="bottom"/>
            <w:hideMark/>
          </w:tcPr>
          <w:p w14:paraId="1493CE0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53.51%</w:t>
            </w:r>
          </w:p>
        </w:tc>
      </w:tr>
      <w:tr w:rsidR="000F2BE0" w:rsidRPr="008D6FC3" w14:paraId="403D4812" w14:textId="77777777" w:rsidTr="0073112E">
        <w:trPr>
          <w:trHeight w:val="232"/>
        </w:trPr>
        <w:tc>
          <w:tcPr>
            <w:tcW w:w="1155" w:type="pct"/>
            <w:tcBorders>
              <w:top w:val="nil"/>
              <w:left w:val="nil"/>
              <w:bottom w:val="nil"/>
              <w:right w:val="nil"/>
            </w:tcBorders>
            <w:shd w:val="clear" w:color="auto" w:fill="auto"/>
            <w:noWrap/>
            <w:vAlign w:val="bottom"/>
            <w:hideMark/>
          </w:tcPr>
          <w:p w14:paraId="21E36FC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D44F42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SD9_ph</w:t>
            </w:r>
          </w:p>
        </w:tc>
        <w:tc>
          <w:tcPr>
            <w:tcW w:w="1014" w:type="pct"/>
            <w:tcBorders>
              <w:top w:val="nil"/>
              <w:left w:val="nil"/>
              <w:bottom w:val="nil"/>
              <w:right w:val="nil"/>
            </w:tcBorders>
            <w:shd w:val="clear" w:color="auto" w:fill="auto"/>
            <w:noWrap/>
            <w:vAlign w:val="bottom"/>
            <w:hideMark/>
          </w:tcPr>
          <w:p w14:paraId="4957262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873800</w:t>
            </w:r>
          </w:p>
        </w:tc>
        <w:tc>
          <w:tcPr>
            <w:tcW w:w="1014" w:type="pct"/>
            <w:tcBorders>
              <w:top w:val="nil"/>
              <w:left w:val="nil"/>
              <w:bottom w:val="nil"/>
              <w:right w:val="nil"/>
            </w:tcBorders>
            <w:shd w:val="clear" w:color="auto" w:fill="auto"/>
            <w:noWrap/>
            <w:vAlign w:val="bottom"/>
            <w:hideMark/>
          </w:tcPr>
          <w:p w14:paraId="2F5E8F0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262942</w:t>
            </w:r>
          </w:p>
        </w:tc>
        <w:tc>
          <w:tcPr>
            <w:tcW w:w="800" w:type="pct"/>
            <w:tcBorders>
              <w:top w:val="nil"/>
              <w:left w:val="nil"/>
              <w:bottom w:val="nil"/>
              <w:right w:val="nil"/>
            </w:tcBorders>
            <w:shd w:val="clear" w:color="auto" w:fill="auto"/>
            <w:noWrap/>
            <w:vAlign w:val="bottom"/>
            <w:hideMark/>
          </w:tcPr>
          <w:p w14:paraId="59A23E4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59.51%</w:t>
            </w:r>
          </w:p>
        </w:tc>
      </w:tr>
      <w:tr w:rsidR="000F2BE0" w:rsidRPr="008D6FC3" w14:paraId="7CC71FDD" w14:textId="77777777" w:rsidTr="0073112E">
        <w:trPr>
          <w:trHeight w:val="232"/>
        </w:trPr>
        <w:tc>
          <w:tcPr>
            <w:tcW w:w="1155" w:type="pct"/>
            <w:tcBorders>
              <w:top w:val="nil"/>
              <w:left w:val="nil"/>
              <w:bottom w:val="nil"/>
              <w:right w:val="nil"/>
            </w:tcBorders>
            <w:shd w:val="clear" w:color="auto" w:fill="auto"/>
            <w:noWrap/>
            <w:vAlign w:val="bottom"/>
            <w:hideMark/>
          </w:tcPr>
          <w:p w14:paraId="0A02BF8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67B0BA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SD1_temp</w:t>
            </w:r>
          </w:p>
        </w:tc>
        <w:tc>
          <w:tcPr>
            <w:tcW w:w="1014" w:type="pct"/>
            <w:tcBorders>
              <w:top w:val="nil"/>
              <w:left w:val="nil"/>
              <w:bottom w:val="nil"/>
              <w:right w:val="nil"/>
            </w:tcBorders>
            <w:shd w:val="clear" w:color="auto" w:fill="auto"/>
            <w:noWrap/>
            <w:vAlign w:val="bottom"/>
            <w:hideMark/>
          </w:tcPr>
          <w:p w14:paraId="597A6BB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4455442</w:t>
            </w:r>
          </w:p>
        </w:tc>
        <w:tc>
          <w:tcPr>
            <w:tcW w:w="1014" w:type="pct"/>
            <w:tcBorders>
              <w:top w:val="nil"/>
              <w:left w:val="nil"/>
              <w:bottom w:val="nil"/>
              <w:right w:val="nil"/>
            </w:tcBorders>
            <w:shd w:val="clear" w:color="auto" w:fill="auto"/>
            <w:noWrap/>
            <w:vAlign w:val="bottom"/>
            <w:hideMark/>
          </w:tcPr>
          <w:p w14:paraId="488437B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1745783</w:t>
            </w:r>
          </w:p>
        </w:tc>
        <w:tc>
          <w:tcPr>
            <w:tcW w:w="800" w:type="pct"/>
            <w:tcBorders>
              <w:top w:val="nil"/>
              <w:left w:val="nil"/>
              <w:bottom w:val="nil"/>
              <w:right w:val="nil"/>
            </w:tcBorders>
            <w:shd w:val="clear" w:color="auto" w:fill="auto"/>
            <w:noWrap/>
            <w:vAlign w:val="bottom"/>
            <w:hideMark/>
          </w:tcPr>
          <w:p w14:paraId="1359F2D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67.34%</w:t>
            </w:r>
          </w:p>
        </w:tc>
      </w:tr>
      <w:tr w:rsidR="000F2BE0" w:rsidRPr="008D6FC3" w14:paraId="1738057A" w14:textId="77777777" w:rsidTr="0073112E">
        <w:trPr>
          <w:trHeight w:val="232"/>
        </w:trPr>
        <w:tc>
          <w:tcPr>
            <w:tcW w:w="1155" w:type="pct"/>
            <w:tcBorders>
              <w:top w:val="nil"/>
              <w:left w:val="nil"/>
              <w:bottom w:val="nil"/>
              <w:right w:val="nil"/>
            </w:tcBorders>
            <w:shd w:val="clear" w:color="auto" w:fill="auto"/>
            <w:noWrap/>
            <w:vAlign w:val="bottom"/>
            <w:hideMark/>
          </w:tcPr>
          <w:p w14:paraId="7E1E4CB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6B728E0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SD2_temp</w:t>
            </w:r>
          </w:p>
        </w:tc>
        <w:tc>
          <w:tcPr>
            <w:tcW w:w="1014" w:type="pct"/>
            <w:tcBorders>
              <w:top w:val="nil"/>
              <w:left w:val="nil"/>
              <w:bottom w:val="nil"/>
              <w:right w:val="nil"/>
            </w:tcBorders>
            <w:shd w:val="clear" w:color="auto" w:fill="auto"/>
            <w:noWrap/>
            <w:vAlign w:val="bottom"/>
            <w:hideMark/>
          </w:tcPr>
          <w:p w14:paraId="24C08D1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25755969</w:t>
            </w:r>
          </w:p>
        </w:tc>
        <w:tc>
          <w:tcPr>
            <w:tcW w:w="1014" w:type="pct"/>
            <w:tcBorders>
              <w:top w:val="nil"/>
              <w:left w:val="nil"/>
              <w:bottom w:val="nil"/>
              <w:right w:val="nil"/>
            </w:tcBorders>
            <w:shd w:val="clear" w:color="auto" w:fill="auto"/>
            <w:noWrap/>
            <w:vAlign w:val="bottom"/>
            <w:hideMark/>
          </w:tcPr>
          <w:p w14:paraId="09F2B69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9499485</w:t>
            </w:r>
          </w:p>
        </w:tc>
        <w:tc>
          <w:tcPr>
            <w:tcW w:w="800" w:type="pct"/>
            <w:tcBorders>
              <w:top w:val="nil"/>
              <w:left w:val="nil"/>
              <w:bottom w:val="nil"/>
              <w:right w:val="nil"/>
            </w:tcBorders>
            <w:shd w:val="clear" w:color="auto" w:fill="auto"/>
            <w:noWrap/>
            <w:vAlign w:val="bottom"/>
            <w:hideMark/>
          </w:tcPr>
          <w:p w14:paraId="3F5411B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70.81%</w:t>
            </w:r>
          </w:p>
        </w:tc>
      </w:tr>
      <w:tr w:rsidR="000F2BE0" w:rsidRPr="008D6FC3" w14:paraId="3ACE88D2" w14:textId="77777777" w:rsidTr="0073112E">
        <w:trPr>
          <w:trHeight w:val="232"/>
        </w:trPr>
        <w:tc>
          <w:tcPr>
            <w:tcW w:w="1155" w:type="pct"/>
            <w:tcBorders>
              <w:top w:val="nil"/>
              <w:left w:val="nil"/>
              <w:bottom w:val="nil"/>
              <w:right w:val="nil"/>
            </w:tcBorders>
            <w:shd w:val="clear" w:color="auto" w:fill="auto"/>
            <w:noWrap/>
            <w:vAlign w:val="bottom"/>
            <w:hideMark/>
          </w:tcPr>
          <w:p w14:paraId="5B36E00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633E3E8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SD11_ph</w:t>
            </w:r>
          </w:p>
        </w:tc>
        <w:tc>
          <w:tcPr>
            <w:tcW w:w="1014" w:type="pct"/>
            <w:tcBorders>
              <w:top w:val="nil"/>
              <w:left w:val="nil"/>
              <w:bottom w:val="nil"/>
              <w:right w:val="nil"/>
            </w:tcBorders>
            <w:shd w:val="clear" w:color="auto" w:fill="auto"/>
            <w:noWrap/>
            <w:vAlign w:val="bottom"/>
            <w:hideMark/>
          </w:tcPr>
          <w:p w14:paraId="65F242F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9239774</w:t>
            </w:r>
          </w:p>
        </w:tc>
        <w:tc>
          <w:tcPr>
            <w:tcW w:w="1014" w:type="pct"/>
            <w:tcBorders>
              <w:top w:val="nil"/>
              <w:left w:val="nil"/>
              <w:bottom w:val="nil"/>
              <w:right w:val="nil"/>
            </w:tcBorders>
            <w:shd w:val="clear" w:color="auto" w:fill="auto"/>
            <w:noWrap/>
            <w:vAlign w:val="bottom"/>
            <w:hideMark/>
          </w:tcPr>
          <w:p w14:paraId="19FF1FB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3644235</w:t>
            </w:r>
          </w:p>
        </w:tc>
        <w:tc>
          <w:tcPr>
            <w:tcW w:w="800" w:type="pct"/>
            <w:tcBorders>
              <w:top w:val="nil"/>
              <w:left w:val="nil"/>
              <w:bottom w:val="nil"/>
              <w:right w:val="nil"/>
            </w:tcBorders>
            <w:shd w:val="clear" w:color="auto" w:fill="auto"/>
            <w:noWrap/>
            <w:vAlign w:val="bottom"/>
            <w:hideMark/>
          </w:tcPr>
          <w:p w14:paraId="6B6FCB1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69.84%</w:t>
            </w:r>
          </w:p>
        </w:tc>
      </w:tr>
      <w:tr w:rsidR="000F2BE0" w:rsidRPr="008D6FC3" w14:paraId="0379F649" w14:textId="77777777" w:rsidTr="0073112E">
        <w:trPr>
          <w:trHeight w:val="232"/>
        </w:trPr>
        <w:tc>
          <w:tcPr>
            <w:tcW w:w="1155" w:type="pct"/>
            <w:tcBorders>
              <w:top w:val="nil"/>
              <w:left w:val="nil"/>
              <w:bottom w:val="nil"/>
              <w:right w:val="nil"/>
            </w:tcBorders>
            <w:shd w:val="clear" w:color="auto" w:fill="auto"/>
            <w:noWrap/>
            <w:vAlign w:val="bottom"/>
            <w:hideMark/>
          </w:tcPr>
          <w:p w14:paraId="2063AFF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B61674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SD12_tph</w:t>
            </w:r>
          </w:p>
        </w:tc>
        <w:tc>
          <w:tcPr>
            <w:tcW w:w="1014" w:type="pct"/>
            <w:tcBorders>
              <w:top w:val="nil"/>
              <w:left w:val="nil"/>
              <w:bottom w:val="nil"/>
              <w:right w:val="nil"/>
            </w:tcBorders>
            <w:shd w:val="clear" w:color="auto" w:fill="auto"/>
            <w:noWrap/>
            <w:vAlign w:val="bottom"/>
            <w:hideMark/>
          </w:tcPr>
          <w:p w14:paraId="52C2CCA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2052150</w:t>
            </w:r>
          </w:p>
        </w:tc>
        <w:tc>
          <w:tcPr>
            <w:tcW w:w="1014" w:type="pct"/>
            <w:tcBorders>
              <w:top w:val="nil"/>
              <w:left w:val="nil"/>
              <w:bottom w:val="nil"/>
              <w:right w:val="nil"/>
            </w:tcBorders>
            <w:shd w:val="clear" w:color="auto" w:fill="auto"/>
            <w:noWrap/>
            <w:vAlign w:val="bottom"/>
            <w:hideMark/>
          </w:tcPr>
          <w:p w14:paraId="16320AA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775382</w:t>
            </w:r>
          </w:p>
        </w:tc>
        <w:tc>
          <w:tcPr>
            <w:tcW w:w="800" w:type="pct"/>
            <w:tcBorders>
              <w:top w:val="nil"/>
              <w:left w:val="nil"/>
              <w:bottom w:val="nil"/>
              <w:right w:val="nil"/>
            </w:tcBorders>
            <w:shd w:val="clear" w:color="auto" w:fill="auto"/>
            <w:noWrap/>
            <w:vAlign w:val="bottom"/>
            <w:hideMark/>
          </w:tcPr>
          <w:p w14:paraId="18D0207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65.55%</w:t>
            </w:r>
          </w:p>
        </w:tc>
      </w:tr>
      <w:tr w:rsidR="000F2BE0" w:rsidRPr="008D6FC3" w14:paraId="144FE9FA" w14:textId="77777777" w:rsidTr="0073112E">
        <w:trPr>
          <w:trHeight w:val="232"/>
        </w:trPr>
        <w:tc>
          <w:tcPr>
            <w:tcW w:w="1155" w:type="pct"/>
            <w:tcBorders>
              <w:top w:val="nil"/>
              <w:left w:val="nil"/>
              <w:bottom w:val="nil"/>
              <w:right w:val="nil"/>
            </w:tcBorders>
            <w:shd w:val="clear" w:color="auto" w:fill="auto"/>
            <w:noWrap/>
            <w:vAlign w:val="bottom"/>
            <w:hideMark/>
          </w:tcPr>
          <w:p w14:paraId="78E9F07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41BAC39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SD13_amb</w:t>
            </w:r>
          </w:p>
        </w:tc>
        <w:tc>
          <w:tcPr>
            <w:tcW w:w="1014" w:type="pct"/>
            <w:tcBorders>
              <w:top w:val="nil"/>
              <w:left w:val="nil"/>
              <w:bottom w:val="nil"/>
              <w:right w:val="nil"/>
            </w:tcBorders>
            <w:shd w:val="clear" w:color="auto" w:fill="auto"/>
            <w:noWrap/>
            <w:vAlign w:val="bottom"/>
            <w:hideMark/>
          </w:tcPr>
          <w:p w14:paraId="34ED96A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4700800</w:t>
            </w:r>
          </w:p>
        </w:tc>
        <w:tc>
          <w:tcPr>
            <w:tcW w:w="1014" w:type="pct"/>
            <w:tcBorders>
              <w:top w:val="nil"/>
              <w:left w:val="nil"/>
              <w:bottom w:val="nil"/>
              <w:right w:val="nil"/>
            </w:tcBorders>
            <w:shd w:val="clear" w:color="auto" w:fill="auto"/>
            <w:noWrap/>
            <w:vAlign w:val="bottom"/>
            <w:hideMark/>
          </w:tcPr>
          <w:p w14:paraId="19BA2E2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1497574</w:t>
            </w:r>
          </w:p>
        </w:tc>
        <w:tc>
          <w:tcPr>
            <w:tcW w:w="800" w:type="pct"/>
            <w:tcBorders>
              <w:top w:val="nil"/>
              <w:left w:val="nil"/>
              <w:bottom w:val="nil"/>
              <w:right w:val="nil"/>
            </w:tcBorders>
            <w:shd w:val="clear" w:color="auto" w:fill="auto"/>
            <w:noWrap/>
            <w:vAlign w:val="bottom"/>
            <w:hideMark/>
          </w:tcPr>
          <w:p w14:paraId="1688AC8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62.54%</w:t>
            </w:r>
          </w:p>
        </w:tc>
      </w:tr>
      <w:tr w:rsidR="000F2BE0" w:rsidRPr="008D6FC3" w14:paraId="521A45F7" w14:textId="77777777" w:rsidTr="0073112E">
        <w:trPr>
          <w:trHeight w:val="232"/>
        </w:trPr>
        <w:tc>
          <w:tcPr>
            <w:tcW w:w="1155" w:type="pct"/>
            <w:tcBorders>
              <w:top w:val="nil"/>
              <w:left w:val="nil"/>
              <w:bottom w:val="nil"/>
              <w:right w:val="nil"/>
            </w:tcBorders>
            <w:shd w:val="clear" w:color="auto" w:fill="auto"/>
            <w:noWrap/>
            <w:vAlign w:val="bottom"/>
            <w:hideMark/>
          </w:tcPr>
          <w:p w14:paraId="58CFC60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35EBF85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SD14_ph</w:t>
            </w:r>
          </w:p>
        </w:tc>
        <w:tc>
          <w:tcPr>
            <w:tcW w:w="1014" w:type="pct"/>
            <w:tcBorders>
              <w:top w:val="nil"/>
              <w:left w:val="nil"/>
              <w:bottom w:val="nil"/>
              <w:right w:val="nil"/>
            </w:tcBorders>
            <w:shd w:val="clear" w:color="auto" w:fill="auto"/>
            <w:noWrap/>
            <w:vAlign w:val="bottom"/>
            <w:hideMark/>
          </w:tcPr>
          <w:p w14:paraId="38A2211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13025010</w:t>
            </w:r>
          </w:p>
        </w:tc>
        <w:tc>
          <w:tcPr>
            <w:tcW w:w="1014" w:type="pct"/>
            <w:tcBorders>
              <w:top w:val="nil"/>
              <w:left w:val="nil"/>
              <w:bottom w:val="nil"/>
              <w:right w:val="nil"/>
            </w:tcBorders>
            <w:shd w:val="clear" w:color="auto" w:fill="auto"/>
            <w:noWrap/>
            <w:vAlign w:val="bottom"/>
            <w:hideMark/>
          </w:tcPr>
          <w:p w14:paraId="3EDCCEF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2709167</w:t>
            </w:r>
          </w:p>
        </w:tc>
        <w:tc>
          <w:tcPr>
            <w:tcW w:w="800" w:type="pct"/>
            <w:tcBorders>
              <w:top w:val="nil"/>
              <w:left w:val="nil"/>
              <w:bottom w:val="nil"/>
              <w:right w:val="nil"/>
            </w:tcBorders>
            <w:shd w:val="clear" w:color="auto" w:fill="auto"/>
            <w:noWrap/>
            <w:vAlign w:val="bottom"/>
            <w:hideMark/>
          </w:tcPr>
          <w:p w14:paraId="37FBCDF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73.76%</w:t>
            </w:r>
          </w:p>
        </w:tc>
      </w:tr>
      <w:tr w:rsidR="000F2BE0" w:rsidRPr="008D6FC3" w14:paraId="347749FF" w14:textId="77777777" w:rsidTr="0073112E">
        <w:trPr>
          <w:trHeight w:val="232"/>
        </w:trPr>
        <w:tc>
          <w:tcPr>
            <w:tcW w:w="1155" w:type="pct"/>
            <w:tcBorders>
              <w:top w:val="nil"/>
              <w:left w:val="nil"/>
              <w:bottom w:val="nil"/>
              <w:right w:val="nil"/>
            </w:tcBorders>
            <w:shd w:val="clear" w:color="auto" w:fill="auto"/>
            <w:noWrap/>
            <w:vAlign w:val="bottom"/>
            <w:hideMark/>
          </w:tcPr>
          <w:p w14:paraId="54FAF38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3A5CE02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SD15_tph</w:t>
            </w:r>
          </w:p>
        </w:tc>
        <w:tc>
          <w:tcPr>
            <w:tcW w:w="1014" w:type="pct"/>
            <w:tcBorders>
              <w:top w:val="nil"/>
              <w:left w:val="nil"/>
              <w:bottom w:val="nil"/>
              <w:right w:val="nil"/>
            </w:tcBorders>
            <w:shd w:val="clear" w:color="auto" w:fill="auto"/>
            <w:noWrap/>
            <w:vAlign w:val="bottom"/>
            <w:hideMark/>
          </w:tcPr>
          <w:p w14:paraId="1810F44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10015974</w:t>
            </w:r>
          </w:p>
        </w:tc>
        <w:tc>
          <w:tcPr>
            <w:tcW w:w="1014" w:type="pct"/>
            <w:tcBorders>
              <w:top w:val="nil"/>
              <w:left w:val="nil"/>
              <w:bottom w:val="nil"/>
              <w:right w:val="nil"/>
            </w:tcBorders>
            <w:shd w:val="clear" w:color="auto" w:fill="auto"/>
            <w:noWrap/>
            <w:vAlign w:val="bottom"/>
            <w:hideMark/>
          </w:tcPr>
          <w:p w14:paraId="5D78A1D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3138109</w:t>
            </w:r>
          </w:p>
        </w:tc>
        <w:tc>
          <w:tcPr>
            <w:tcW w:w="800" w:type="pct"/>
            <w:tcBorders>
              <w:top w:val="nil"/>
              <w:left w:val="nil"/>
              <w:bottom w:val="nil"/>
              <w:right w:val="nil"/>
            </w:tcBorders>
            <w:shd w:val="clear" w:color="auto" w:fill="auto"/>
            <w:noWrap/>
            <w:vAlign w:val="bottom"/>
            <w:hideMark/>
          </w:tcPr>
          <w:p w14:paraId="77E5583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61.05%</w:t>
            </w:r>
          </w:p>
        </w:tc>
      </w:tr>
      <w:tr w:rsidR="000F2BE0" w:rsidRPr="008D6FC3" w14:paraId="372E7B65" w14:textId="77777777" w:rsidTr="0073112E">
        <w:trPr>
          <w:trHeight w:val="232"/>
        </w:trPr>
        <w:tc>
          <w:tcPr>
            <w:tcW w:w="1155" w:type="pct"/>
            <w:tcBorders>
              <w:top w:val="nil"/>
              <w:left w:val="nil"/>
              <w:bottom w:val="nil"/>
              <w:right w:val="nil"/>
            </w:tcBorders>
            <w:shd w:val="clear" w:color="auto" w:fill="auto"/>
            <w:noWrap/>
            <w:vAlign w:val="bottom"/>
            <w:hideMark/>
          </w:tcPr>
          <w:p w14:paraId="5F5E7EB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472F624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SD17_amb</w:t>
            </w:r>
          </w:p>
        </w:tc>
        <w:tc>
          <w:tcPr>
            <w:tcW w:w="1014" w:type="pct"/>
            <w:tcBorders>
              <w:top w:val="nil"/>
              <w:left w:val="nil"/>
              <w:bottom w:val="nil"/>
              <w:right w:val="nil"/>
            </w:tcBorders>
            <w:shd w:val="clear" w:color="auto" w:fill="auto"/>
            <w:noWrap/>
            <w:vAlign w:val="bottom"/>
            <w:hideMark/>
          </w:tcPr>
          <w:p w14:paraId="7FDB3CE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12483294</w:t>
            </w:r>
          </w:p>
        </w:tc>
        <w:tc>
          <w:tcPr>
            <w:tcW w:w="1014" w:type="pct"/>
            <w:tcBorders>
              <w:top w:val="nil"/>
              <w:left w:val="nil"/>
              <w:bottom w:val="nil"/>
              <w:right w:val="nil"/>
            </w:tcBorders>
            <w:shd w:val="clear" w:color="auto" w:fill="auto"/>
            <w:noWrap/>
            <w:vAlign w:val="bottom"/>
            <w:hideMark/>
          </w:tcPr>
          <w:p w14:paraId="18BC395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3784547</w:t>
            </w:r>
          </w:p>
        </w:tc>
        <w:tc>
          <w:tcPr>
            <w:tcW w:w="800" w:type="pct"/>
            <w:tcBorders>
              <w:top w:val="nil"/>
              <w:left w:val="nil"/>
              <w:bottom w:val="nil"/>
              <w:right w:val="nil"/>
            </w:tcBorders>
            <w:shd w:val="clear" w:color="auto" w:fill="auto"/>
            <w:noWrap/>
            <w:vAlign w:val="bottom"/>
            <w:hideMark/>
          </w:tcPr>
          <w:p w14:paraId="07F0AD2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71.55%</w:t>
            </w:r>
          </w:p>
        </w:tc>
      </w:tr>
      <w:tr w:rsidR="000F2BE0" w:rsidRPr="008D6FC3" w14:paraId="295759B1" w14:textId="77777777" w:rsidTr="0073112E">
        <w:trPr>
          <w:trHeight w:val="232"/>
        </w:trPr>
        <w:tc>
          <w:tcPr>
            <w:tcW w:w="1155" w:type="pct"/>
            <w:tcBorders>
              <w:top w:val="nil"/>
              <w:left w:val="nil"/>
              <w:bottom w:val="nil"/>
              <w:right w:val="nil"/>
            </w:tcBorders>
            <w:shd w:val="clear" w:color="auto" w:fill="auto"/>
            <w:noWrap/>
            <w:vAlign w:val="bottom"/>
            <w:hideMark/>
          </w:tcPr>
          <w:p w14:paraId="0D40923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0135BDC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SD18_temp</w:t>
            </w:r>
          </w:p>
        </w:tc>
        <w:tc>
          <w:tcPr>
            <w:tcW w:w="1014" w:type="pct"/>
            <w:tcBorders>
              <w:top w:val="nil"/>
              <w:left w:val="nil"/>
              <w:bottom w:val="nil"/>
              <w:right w:val="nil"/>
            </w:tcBorders>
            <w:shd w:val="clear" w:color="auto" w:fill="auto"/>
            <w:noWrap/>
            <w:vAlign w:val="bottom"/>
            <w:hideMark/>
          </w:tcPr>
          <w:p w14:paraId="05BED39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75371988</w:t>
            </w:r>
          </w:p>
        </w:tc>
        <w:tc>
          <w:tcPr>
            <w:tcW w:w="1014" w:type="pct"/>
            <w:tcBorders>
              <w:top w:val="nil"/>
              <w:left w:val="nil"/>
              <w:bottom w:val="nil"/>
              <w:right w:val="nil"/>
            </w:tcBorders>
            <w:shd w:val="clear" w:color="auto" w:fill="auto"/>
            <w:noWrap/>
            <w:vAlign w:val="bottom"/>
            <w:hideMark/>
          </w:tcPr>
          <w:p w14:paraId="04C8F0B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21542260</w:t>
            </w:r>
          </w:p>
        </w:tc>
        <w:tc>
          <w:tcPr>
            <w:tcW w:w="800" w:type="pct"/>
            <w:tcBorders>
              <w:top w:val="nil"/>
              <w:left w:val="nil"/>
              <w:bottom w:val="nil"/>
              <w:right w:val="nil"/>
            </w:tcBorders>
            <w:shd w:val="clear" w:color="auto" w:fill="auto"/>
            <w:noWrap/>
            <w:vAlign w:val="bottom"/>
            <w:hideMark/>
          </w:tcPr>
          <w:p w14:paraId="2BC7C18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63.91%</w:t>
            </w:r>
          </w:p>
        </w:tc>
      </w:tr>
      <w:tr w:rsidR="000F2BE0" w:rsidRPr="008D6FC3" w14:paraId="5D97F1D7" w14:textId="77777777" w:rsidTr="0073112E">
        <w:trPr>
          <w:trHeight w:val="232"/>
        </w:trPr>
        <w:tc>
          <w:tcPr>
            <w:tcW w:w="1155" w:type="pct"/>
            <w:tcBorders>
              <w:top w:val="nil"/>
              <w:left w:val="nil"/>
              <w:bottom w:val="nil"/>
              <w:right w:val="nil"/>
            </w:tcBorders>
            <w:shd w:val="clear" w:color="auto" w:fill="auto"/>
            <w:noWrap/>
            <w:vAlign w:val="bottom"/>
            <w:hideMark/>
          </w:tcPr>
          <w:p w14:paraId="1718ABE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88867A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SD19_tph</w:t>
            </w:r>
          </w:p>
        </w:tc>
        <w:tc>
          <w:tcPr>
            <w:tcW w:w="1014" w:type="pct"/>
            <w:tcBorders>
              <w:top w:val="nil"/>
              <w:left w:val="nil"/>
              <w:bottom w:val="nil"/>
              <w:right w:val="nil"/>
            </w:tcBorders>
            <w:shd w:val="clear" w:color="auto" w:fill="auto"/>
            <w:noWrap/>
            <w:vAlign w:val="bottom"/>
            <w:hideMark/>
          </w:tcPr>
          <w:p w14:paraId="13FD799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14555346</w:t>
            </w:r>
          </w:p>
        </w:tc>
        <w:tc>
          <w:tcPr>
            <w:tcW w:w="1014" w:type="pct"/>
            <w:tcBorders>
              <w:top w:val="nil"/>
              <w:left w:val="nil"/>
              <w:bottom w:val="nil"/>
              <w:right w:val="nil"/>
            </w:tcBorders>
            <w:shd w:val="clear" w:color="auto" w:fill="auto"/>
            <w:noWrap/>
            <w:vAlign w:val="bottom"/>
            <w:hideMark/>
          </w:tcPr>
          <w:p w14:paraId="7E2E5C5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2556820</w:t>
            </w:r>
          </w:p>
        </w:tc>
        <w:tc>
          <w:tcPr>
            <w:tcW w:w="800" w:type="pct"/>
            <w:tcBorders>
              <w:top w:val="nil"/>
              <w:left w:val="nil"/>
              <w:bottom w:val="nil"/>
              <w:right w:val="nil"/>
            </w:tcBorders>
            <w:shd w:val="clear" w:color="auto" w:fill="auto"/>
            <w:noWrap/>
            <w:vAlign w:val="bottom"/>
            <w:hideMark/>
          </w:tcPr>
          <w:p w14:paraId="539A32B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71.85%</w:t>
            </w:r>
          </w:p>
        </w:tc>
      </w:tr>
      <w:tr w:rsidR="000F2BE0" w:rsidRPr="008D6FC3" w14:paraId="4CC27B66" w14:textId="77777777" w:rsidTr="0073112E">
        <w:trPr>
          <w:trHeight w:val="232"/>
        </w:trPr>
        <w:tc>
          <w:tcPr>
            <w:tcW w:w="1155" w:type="pct"/>
            <w:tcBorders>
              <w:top w:val="nil"/>
              <w:left w:val="nil"/>
              <w:bottom w:val="nil"/>
              <w:right w:val="nil"/>
            </w:tcBorders>
            <w:shd w:val="clear" w:color="auto" w:fill="auto"/>
            <w:noWrap/>
            <w:vAlign w:val="bottom"/>
            <w:hideMark/>
          </w:tcPr>
          <w:p w14:paraId="2925A5C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S.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durum</w:t>
            </w:r>
          </w:p>
        </w:tc>
        <w:tc>
          <w:tcPr>
            <w:tcW w:w="1016" w:type="pct"/>
            <w:tcBorders>
              <w:top w:val="nil"/>
              <w:left w:val="nil"/>
              <w:bottom w:val="nil"/>
              <w:right w:val="nil"/>
            </w:tcBorders>
            <w:shd w:val="clear" w:color="auto" w:fill="auto"/>
            <w:noWrap/>
            <w:vAlign w:val="bottom"/>
            <w:hideMark/>
          </w:tcPr>
          <w:p w14:paraId="24550FD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SD20_temp</w:t>
            </w:r>
          </w:p>
        </w:tc>
        <w:tc>
          <w:tcPr>
            <w:tcW w:w="1014" w:type="pct"/>
            <w:tcBorders>
              <w:top w:val="nil"/>
              <w:left w:val="nil"/>
              <w:bottom w:val="nil"/>
              <w:right w:val="nil"/>
            </w:tcBorders>
            <w:shd w:val="clear" w:color="auto" w:fill="auto"/>
            <w:noWrap/>
            <w:vAlign w:val="bottom"/>
            <w:hideMark/>
          </w:tcPr>
          <w:p w14:paraId="6E4CA6E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6520222</w:t>
            </w:r>
          </w:p>
        </w:tc>
        <w:tc>
          <w:tcPr>
            <w:tcW w:w="1014" w:type="pct"/>
            <w:tcBorders>
              <w:top w:val="nil"/>
              <w:left w:val="nil"/>
              <w:bottom w:val="nil"/>
              <w:right w:val="nil"/>
            </w:tcBorders>
            <w:shd w:val="clear" w:color="auto" w:fill="auto"/>
            <w:noWrap/>
            <w:vAlign w:val="bottom"/>
            <w:hideMark/>
          </w:tcPr>
          <w:p w14:paraId="0DACE8C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2365847</w:t>
            </w:r>
          </w:p>
        </w:tc>
        <w:tc>
          <w:tcPr>
            <w:tcW w:w="800" w:type="pct"/>
            <w:tcBorders>
              <w:top w:val="nil"/>
              <w:left w:val="nil"/>
              <w:bottom w:val="nil"/>
              <w:right w:val="nil"/>
            </w:tcBorders>
            <w:shd w:val="clear" w:color="auto" w:fill="auto"/>
            <w:noWrap/>
            <w:vAlign w:val="bottom"/>
            <w:hideMark/>
          </w:tcPr>
          <w:p w14:paraId="3D6AFEE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50.66%</w:t>
            </w:r>
          </w:p>
        </w:tc>
      </w:tr>
      <w:tr w:rsidR="000F2BE0" w:rsidRPr="008D6FC3" w14:paraId="20DDF720" w14:textId="77777777" w:rsidTr="0073112E">
        <w:trPr>
          <w:trHeight w:val="232"/>
        </w:trPr>
        <w:tc>
          <w:tcPr>
            <w:tcW w:w="1155" w:type="pct"/>
            <w:tcBorders>
              <w:top w:val="nil"/>
              <w:left w:val="nil"/>
              <w:bottom w:val="nil"/>
              <w:right w:val="nil"/>
            </w:tcBorders>
            <w:shd w:val="clear" w:color="auto" w:fill="auto"/>
            <w:noWrap/>
            <w:vAlign w:val="bottom"/>
            <w:hideMark/>
          </w:tcPr>
          <w:p w14:paraId="5C04E5D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42F1AD7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PO10_amb</w:t>
            </w:r>
          </w:p>
        </w:tc>
        <w:tc>
          <w:tcPr>
            <w:tcW w:w="1014" w:type="pct"/>
            <w:tcBorders>
              <w:top w:val="nil"/>
              <w:left w:val="nil"/>
              <w:bottom w:val="nil"/>
              <w:right w:val="nil"/>
            </w:tcBorders>
            <w:shd w:val="clear" w:color="auto" w:fill="auto"/>
            <w:noWrap/>
            <w:vAlign w:val="bottom"/>
            <w:hideMark/>
          </w:tcPr>
          <w:p w14:paraId="4C98719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11693266</w:t>
            </w:r>
          </w:p>
        </w:tc>
        <w:tc>
          <w:tcPr>
            <w:tcW w:w="1014" w:type="pct"/>
            <w:tcBorders>
              <w:top w:val="nil"/>
              <w:left w:val="nil"/>
              <w:bottom w:val="nil"/>
              <w:right w:val="nil"/>
            </w:tcBorders>
            <w:shd w:val="clear" w:color="auto" w:fill="auto"/>
            <w:noWrap/>
            <w:vAlign w:val="bottom"/>
            <w:hideMark/>
          </w:tcPr>
          <w:p w14:paraId="0F4A930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2629626</w:t>
            </w:r>
          </w:p>
        </w:tc>
        <w:tc>
          <w:tcPr>
            <w:tcW w:w="800" w:type="pct"/>
            <w:tcBorders>
              <w:top w:val="nil"/>
              <w:left w:val="nil"/>
              <w:bottom w:val="nil"/>
              <w:right w:val="nil"/>
            </w:tcBorders>
            <w:shd w:val="clear" w:color="auto" w:fill="auto"/>
            <w:noWrap/>
            <w:vAlign w:val="bottom"/>
            <w:hideMark/>
          </w:tcPr>
          <w:p w14:paraId="3AF695C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49.28%</w:t>
            </w:r>
          </w:p>
        </w:tc>
      </w:tr>
      <w:tr w:rsidR="000F2BE0" w:rsidRPr="008D6FC3" w14:paraId="10664377" w14:textId="77777777" w:rsidTr="0073112E">
        <w:trPr>
          <w:trHeight w:val="232"/>
        </w:trPr>
        <w:tc>
          <w:tcPr>
            <w:tcW w:w="1155" w:type="pct"/>
            <w:tcBorders>
              <w:top w:val="nil"/>
              <w:left w:val="nil"/>
              <w:bottom w:val="nil"/>
              <w:right w:val="nil"/>
            </w:tcBorders>
            <w:shd w:val="clear" w:color="auto" w:fill="auto"/>
            <w:noWrap/>
            <w:vAlign w:val="bottom"/>
            <w:hideMark/>
          </w:tcPr>
          <w:p w14:paraId="7E5E40B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00E4BDB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PO11_ph</w:t>
            </w:r>
          </w:p>
        </w:tc>
        <w:tc>
          <w:tcPr>
            <w:tcW w:w="1014" w:type="pct"/>
            <w:tcBorders>
              <w:top w:val="nil"/>
              <w:left w:val="nil"/>
              <w:bottom w:val="nil"/>
              <w:right w:val="nil"/>
            </w:tcBorders>
            <w:shd w:val="clear" w:color="auto" w:fill="auto"/>
            <w:noWrap/>
            <w:vAlign w:val="bottom"/>
            <w:hideMark/>
          </w:tcPr>
          <w:p w14:paraId="624FC3D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958480</w:t>
            </w:r>
          </w:p>
        </w:tc>
        <w:tc>
          <w:tcPr>
            <w:tcW w:w="1014" w:type="pct"/>
            <w:tcBorders>
              <w:top w:val="nil"/>
              <w:left w:val="nil"/>
              <w:bottom w:val="nil"/>
              <w:right w:val="nil"/>
            </w:tcBorders>
            <w:shd w:val="clear" w:color="auto" w:fill="auto"/>
            <w:noWrap/>
            <w:vAlign w:val="bottom"/>
            <w:hideMark/>
          </w:tcPr>
          <w:p w14:paraId="2917FFB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159937</w:t>
            </w:r>
          </w:p>
        </w:tc>
        <w:tc>
          <w:tcPr>
            <w:tcW w:w="800" w:type="pct"/>
            <w:tcBorders>
              <w:top w:val="nil"/>
              <w:left w:val="nil"/>
              <w:bottom w:val="nil"/>
              <w:right w:val="nil"/>
            </w:tcBorders>
            <w:shd w:val="clear" w:color="auto" w:fill="auto"/>
            <w:noWrap/>
            <w:vAlign w:val="bottom"/>
            <w:hideMark/>
          </w:tcPr>
          <w:p w14:paraId="18B91BA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47.18%</w:t>
            </w:r>
          </w:p>
        </w:tc>
      </w:tr>
      <w:tr w:rsidR="000F2BE0" w:rsidRPr="008D6FC3" w14:paraId="301B6D37" w14:textId="77777777" w:rsidTr="0073112E">
        <w:trPr>
          <w:trHeight w:val="232"/>
        </w:trPr>
        <w:tc>
          <w:tcPr>
            <w:tcW w:w="1155" w:type="pct"/>
            <w:tcBorders>
              <w:top w:val="nil"/>
              <w:left w:val="nil"/>
              <w:bottom w:val="nil"/>
              <w:right w:val="nil"/>
            </w:tcBorders>
            <w:shd w:val="clear" w:color="auto" w:fill="auto"/>
            <w:noWrap/>
            <w:vAlign w:val="bottom"/>
            <w:hideMark/>
          </w:tcPr>
          <w:p w14:paraId="3E36DA6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5964DD9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PO12_tph</w:t>
            </w:r>
          </w:p>
        </w:tc>
        <w:tc>
          <w:tcPr>
            <w:tcW w:w="1014" w:type="pct"/>
            <w:tcBorders>
              <w:top w:val="nil"/>
              <w:left w:val="nil"/>
              <w:bottom w:val="nil"/>
              <w:right w:val="nil"/>
            </w:tcBorders>
            <w:shd w:val="clear" w:color="auto" w:fill="auto"/>
            <w:noWrap/>
            <w:vAlign w:val="bottom"/>
            <w:hideMark/>
          </w:tcPr>
          <w:p w14:paraId="0D9674C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1813570</w:t>
            </w:r>
          </w:p>
        </w:tc>
        <w:tc>
          <w:tcPr>
            <w:tcW w:w="1014" w:type="pct"/>
            <w:tcBorders>
              <w:top w:val="nil"/>
              <w:left w:val="nil"/>
              <w:bottom w:val="nil"/>
              <w:right w:val="nil"/>
            </w:tcBorders>
            <w:shd w:val="clear" w:color="auto" w:fill="auto"/>
            <w:noWrap/>
            <w:vAlign w:val="bottom"/>
            <w:hideMark/>
          </w:tcPr>
          <w:p w14:paraId="6009C3B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1256101</w:t>
            </w:r>
          </w:p>
        </w:tc>
        <w:tc>
          <w:tcPr>
            <w:tcW w:w="800" w:type="pct"/>
            <w:tcBorders>
              <w:top w:val="nil"/>
              <w:left w:val="nil"/>
              <w:bottom w:val="nil"/>
              <w:right w:val="nil"/>
            </w:tcBorders>
            <w:shd w:val="clear" w:color="auto" w:fill="auto"/>
            <w:noWrap/>
            <w:vAlign w:val="bottom"/>
            <w:hideMark/>
          </w:tcPr>
          <w:p w14:paraId="71A7094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51.77%</w:t>
            </w:r>
          </w:p>
        </w:tc>
      </w:tr>
      <w:tr w:rsidR="000F2BE0" w:rsidRPr="008D6FC3" w14:paraId="52D53CE4" w14:textId="77777777" w:rsidTr="0073112E">
        <w:trPr>
          <w:trHeight w:val="232"/>
        </w:trPr>
        <w:tc>
          <w:tcPr>
            <w:tcW w:w="1155" w:type="pct"/>
            <w:tcBorders>
              <w:top w:val="nil"/>
              <w:left w:val="nil"/>
              <w:bottom w:val="nil"/>
              <w:right w:val="nil"/>
            </w:tcBorders>
            <w:shd w:val="clear" w:color="auto" w:fill="auto"/>
            <w:noWrap/>
            <w:vAlign w:val="bottom"/>
            <w:hideMark/>
          </w:tcPr>
          <w:p w14:paraId="2739A60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69A34C95" w14:textId="47AD233C"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PO14_ph</w:t>
            </w:r>
          </w:p>
        </w:tc>
        <w:tc>
          <w:tcPr>
            <w:tcW w:w="1014" w:type="pct"/>
            <w:tcBorders>
              <w:top w:val="nil"/>
              <w:left w:val="nil"/>
              <w:bottom w:val="nil"/>
              <w:right w:val="nil"/>
            </w:tcBorders>
            <w:shd w:val="clear" w:color="auto" w:fill="auto"/>
            <w:noWrap/>
            <w:vAlign w:val="bottom"/>
            <w:hideMark/>
          </w:tcPr>
          <w:p w14:paraId="38BDDB80" w14:textId="77777777" w:rsidR="000F2BE0" w:rsidRPr="008D6FC3" w:rsidRDefault="000F2BE0" w:rsidP="00DF1EE8">
            <w:pPr>
              <w:rPr>
                <w:rFonts w:eastAsia="Times New Roman"/>
                <w:b/>
                <w:bCs w:val="0"/>
                <w:color w:val="000000"/>
                <w:sz w:val="19"/>
                <w:szCs w:val="19"/>
                <w:lang w:eastAsia="en-GB"/>
              </w:rPr>
            </w:pPr>
            <w:r>
              <w:rPr>
                <w:rFonts w:eastAsia="Times New Roman"/>
                <w:bCs w:val="0"/>
                <w:color w:val="000000"/>
                <w:sz w:val="19"/>
                <w:szCs w:val="19"/>
                <w:lang w:eastAsia="en-GB"/>
              </w:rPr>
              <w:t>9</w:t>
            </w:r>
            <w:r w:rsidRPr="008D6FC3">
              <w:rPr>
                <w:rFonts w:eastAsia="Times New Roman"/>
                <w:bCs w:val="0"/>
                <w:color w:val="000000"/>
                <w:sz w:val="19"/>
                <w:szCs w:val="19"/>
                <w:lang w:eastAsia="en-GB"/>
              </w:rPr>
              <w:t>70230</w:t>
            </w:r>
          </w:p>
        </w:tc>
        <w:tc>
          <w:tcPr>
            <w:tcW w:w="1014" w:type="pct"/>
            <w:tcBorders>
              <w:top w:val="nil"/>
              <w:left w:val="nil"/>
              <w:bottom w:val="nil"/>
              <w:right w:val="nil"/>
            </w:tcBorders>
            <w:shd w:val="clear" w:color="auto" w:fill="auto"/>
            <w:noWrap/>
            <w:vAlign w:val="bottom"/>
            <w:hideMark/>
          </w:tcPr>
          <w:p w14:paraId="669AA28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177249</w:t>
            </w:r>
          </w:p>
        </w:tc>
        <w:tc>
          <w:tcPr>
            <w:tcW w:w="800" w:type="pct"/>
            <w:tcBorders>
              <w:top w:val="nil"/>
              <w:left w:val="nil"/>
              <w:bottom w:val="nil"/>
              <w:right w:val="nil"/>
            </w:tcBorders>
            <w:shd w:val="clear" w:color="auto" w:fill="auto"/>
            <w:noWrap/>
            <w:vAlign w:val="bottom"/>
            <w:hideMark/>
          </w:tcPr>
          <w:p w14:paraId="5559030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43.78%</w:t>
            </w:r>
          </w:p>
        </w:tc>
      </w:tr>
      <w:tr w:rsidR="000F2BE0" w:rsidRPr="008D6FC3" w14:paraId="394BD9C2" w14:textId="77777777" w:rsidTr="0073112E">
        <w:trPr>
          <w:trHeight w:val="232"/>
        </w:trPr>
        <w:tc>
          <w:tcPr>
            <w:tcW w:w="1155" w:type="pct"/>
            <w:tcBorders>
              <w:top w:val="nil"/>
              <w:left w:val="nil"/>
              <w:bottom w:val="nil"/>
              <w:right w:val="nil"/>
            </w:tcBorders>
            <w:shd w:val="clear" w:color="auto" w:fill="auto"/>
            <w:noWrap/>
            <w:vAlign w:val="bottom"/>
            <w:hideMark/>
          </w:tcPr>
          <w:p w14:paraId="598DD68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316B37B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PO15_tph</w:t>
            </w:r>
          </w:p>
        </w:tc>
        <w:tc>
          <w:tcPr>
            <w:tcW w:w="1014" w:type="pct"/>
            <w:tcBorders>
              <w:top w:val="nil"/>
              <w:left w:val="nil"/>
              <w:bottom w:val="nil"/>
              <w:right w:val="nil"/>
            </w:tcBorders>
            <w:shd w:val="clear" w:color="auto" w:fill="auto"/>
            <w:noWrap/>
            <w:vAlign w:val="bottom"/>
            <w:hideMark/>
          </w:tcPr>
          <w:p w14:paraId="7944E59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16810993</w:t>
            </w:r>
          </w:p>
        </w:tc>
        <w:tc>
          <w:tcPr>
            <w:tcW w:w="1014" w:type="pct"/>
            <w:tcBorders>
              <w:top w:val="nil"/>
              <w:left w:val="nil"/>
              <w:bottom w:val="nil"/>
              <w:right w:val="nil"/>
            </w:tcBorders>
            <w:shd w:val="clear" w:color="auto" w:fill="auto"/>
            <w:noWrap/>
            <w:vAlign w:val="bottom"/>
            <w:hideMark/>
          </w:tcPr>
          <w:p w14:paraId="632956C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3012292</w:t>
            </w:r>
          </w:p>
        </w:tc>
        <w:tc>
          <w:tcPr>
            <w:tcW w:w="800" w:type="pct"/>
            <w:tcBorders>
              <w:top w:val="nil"/>
              <w:left w:val="nil"/>
              <w:bottom w:val="nil"/>
              <w:right w:val="nil"/>
            </w:tcBorders>
            <w:shd w:val="clear" w:color="auto" w:fill="auto"/>
            <w:noWrap/>
            <w:vAlign w:val="bottom"/>
            <w:hideMark/>
          </w:tcPr>
          <w:p w14:paraId="43F2163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57.63%</w:t>
            </w:r>
          </w:p>
        </w:tc>
      </w:tr>
      <w:tr w:rsidR="000F2BE0" w:rsidRPr="008D6FC3" w14:paraId="34F39DA9" w14:textId="77777777" w:rsidTr="0073112E">
        <w:trPr>
          <w:trHeight w:val="232"/>
        </w:trPr>
        <w:tc>
          <w:tcPr>
            <w:tcW w:w="1155" w:type="pct"/>
            <w:tcBorders>
              <w:top w:val="nil"/>
              <w:left w:val="nil"/>
              <w:bottom w:val="nil"/>
              <w:right w:val="nil"/>
            </w:tcBorders>
            <w:shd w:val="clear" w:color="auto" w:fill="auto"/>
            <w:noWrap/>
            <w:vAlign w:val="bottom"/>
            <w:hideMark/>
          </w:tcPr>
          <w:p w14:paraId="2DEDB8C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13D660D8" w14:textId="6024E23D"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PO16_amb</w:t>
            </w:r>
          </w:p>
        </w:tc>
        <w:tc>
          <w:tcPr>
            <w:tcW w:w="1014" w:type="pct"/>
            <w:tcBorders>
              <w:top w:val="nil"/>
              <w:left w:val="nil"/>
              <w:bottom w:val="nil"/>
              <w:right w:val="nil"/>
            </w:tcBorders>
            <w:shd w:val="clear" w:color="auto" w:fill="auto"/>
            <w:noWrap/>
            <w:vAlign w:val="bottom"/>
            <w:hideMark/>
          </w:tcPr>
          <w:p w14:paraId="224DFAF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2638715</w:t>
            </w:r>
          </w:p>
        </w:tc>
        <w:tc>
          <w:tcPr>
            <w:tcW w:w="1014" w:type="pct"/>
            <w:tcBorders>
              <w:top w:val="nil"/>
              <w:left w:val="nil"/>
              <w:bottom w:val="nil"/>
              <w:right w:val="nil"/>
            </w:tcBorders>
            <w:shd w:val="clear" w:color="auto" w:fill="auto"/>
            <w:noWrap/>
            <w:vAlign w:val="bottom"/>
            <w:hideMark/>
          </w:tcPr>
          <w:p w14:paraId="24A0931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532955</w:t>
            </w:r>
          </w:p>
        </w:tc>
        <w:tc>
          <w:tcPr>
            <w:tcW w:w="800" w:type="pct"/>
            <w:tcBorders>
              <w:top w:val="nil"/>
              <w:left w:val="nil"/>
              <w:bottom w:val="nil"/>
              <w:right w:val="nil"/>
            </w:tcBorders>
            <w:shd w:val="clear" w:color="auto" w:fill="auto"/>
            <w:noWrap/>
            <w:vAlign w:val="bottom"/>
            <w:hideMark/>
          </w:tcPr>
          <w:p w14:paraId="3F36D0C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39.93%</w:t>
            </w:r>
          </w:p>
        </w:tc>
      </w:tr>
      <w:tr w:rsidR="000F2BE0" w:rsidRPr="008D6FC3" w14:paraId="60FB7F1B" w14:textId="77777777" w:rsidTr="0073112E">
        <w:trPr>
          <w:trHeight w:val="232"/>
        </w:trPr>
        <w:tc>
          <w:tcPr>
            <w:tcW w:w="1155" w:type="pct"/>
            <w:tcBorders>
              <w:top w:val="nil"/>
              <w:left w:val="nil"/>
              <w:bottom w:val="nil"/>
              <w:right w:val="nil"/>
            </w:tcBorders>
            <w:shd w:val="clear" w:color="auto" w:fill="auto"/>
            <w:noWrap/>
            <w:vAlign w:val="bottom"/>
            <w:hideMark/>
          </w:tcPr>
          <w:p w14:paraId="00F4278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319E06D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PO17_amb</w:t>
            </w:r>
          </w:p>
        </w:tc>
        <w:tc>
          <w:tcPr>
            <w:tcW w:w="1014" w:type="pct"/>
            <w:tcBorders>
              <w:top w:val="nil"/>
              <w:left w:val="nil"/>
              <w:bottom w:val="nil"/>
              <w:right w:val="nil"/>
            </w:tcBorders>
            <w:shd w:val="clear" w:color="auto" w:fill="auto"/>
            <w:noWrap/>
            <w:vAlign w:val="bottom"/>
            <w:hideMark/>
          </w:tcPr>
          <w:p w14:paraId="16785B6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1338205</w:t>
            </w:r>
          </w:p>
        </w:tc>
        <w:tc>
          <w:tcPr>
            <w:tcW w:w="1014" w:type="pct"/>
            <w:tcBorders>
              <w:top w:val="nil"/>
              <w:left w:val="nil"/>
              <w:bottom w:val="nil"/>
              <w:right w:val="nil"/>
            </w:tcBorders>
            <w:shd w:val="clear" w:color="auto" w:fill="auto"/>
            <w:noWrap/>
            <w:vAlign w:val="bottom"/>
            <w:hideMark/>
          </w:tcPr>
          <w:p w14:paraId="2257CE8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257316</w:t>
            </w:r>
          </w:p>
        </w:tc>
        <w:tc>
          <w:tcPr>
            <w:tcW w:w="800" w:type="pct"/>
            <w:tcBorders>
              <w:top w:val="nil"/>
              <w:left w:val="nil"/>
              <w:bottom w:val="nil"/>
              <w:right w:val="nil"/>
            </w:tcBorders>
            <w:shd w:val="clear" w:color="auto" w:fill="auto"/>
            <w:noWrap/>
            <w:vAlign w:val="bottom"/>
            <w:hideMark/>
          </w:tcPr>
          <w:p w14:paraId="1D9B118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51.17%</w:t>
            </w:r>
          </w:p>
        </w:tc>
      </w:tr>
      <w:tr w:rsidR="000F2BE0" w:rsidRPr="008D6FC3" w14:paraId="2282517E" w14:textId="77777777" w:rsidTr="0073112E">
        <w:trPr>
          <w:trHeight w:val="232"/>
        </w:trPr>
        <w:tc>
          <w:tcPr>
            <w:tcW w:w="1155" w:type="pct"/>
            <w:tcBorders>
              <w:top w:val="nil"/>
              <w:left w:val="nil"/>
              <w:bottom w:val="nil"/>
              <w:right w:val="nil"/>
            </w:tcBorders>
            <w:shd w:val="clear" w:color="auto" w:fill="auto"/>
            <w:noWrap/>
            <w:vAlign w:val="bottom"/>
            <w:hideMark/>
          </w:tcPr>
          <w:p w14:paraId="2B480CF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0625E295"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PO18_temp</w:t>
            </w:r>
          </w:p>
        </w:tc>
        <w:tc>
          <w:tcPr>
            <w:tcW w:w="1014" w:type="pct"/>
            <w:tcBorders>
              <w:top w:val="nil"/>
              <w:left w:val="nil"/>
              <w:bottom w:val="nil"/>
              <w:right w:val="nil"/>
            </w:tcBorders>
            <w:shd w:val="clear" w:color="auto" w:fill="auto"/>
            <w:noWrap/>
            <w:vAlign w:val="bottom"/>
            <w:hideMark/>
          </w:tcPr>
          <w:p w14:paraId="76721DD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910868</w:t>
            </w:r>
          </w:p>
        </w:tc>
        <w:tc>
          <w:tcPr>
            <w:tcW w:w="1014" w:type="pct"/>
            <w:tcBorders>
              <w:top w:val="nil"/>
              <w:left w:val="nil"/>
              <w:bottom w:val="nil"/>
              <w:right w:val="nil"/>
            </w:tcBorders>
            <w:shd w:val="clear" w:color="auto" w:fill="auto"/>
            <w:noWrap/>
            <w:vAlign w:val="bottom"/>
            <w:hideMark/>
          </w:tcPr>
          <w:p w14:paraId="12F04F7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191000</w:t>
            </w:r>
          </w:p>
        </w:tc>
        <w:tc>
          <w:tcPr>
            <w:tcW w:w="800" w:type="pct"/>
            <w:tcBorders>
              <w:top w:val="nil"/>
              <w:left w:val="nil"/>
              <w:bottom w:val="nil"/>
              <w:right w:val="nil"/>
            </w:tcBorders>
            <w:shd w:val="clear" w:color="auto" w:fill="auto"/>
            <w:noWrap/>
            <w:vAlign w:val="bottom"/>
            <w:hideMark/>
          </w:tcPr>
          <w:p w14:paraId="2824B00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50.01%</w:t>
            </w:r>
          </w:p>
        </w:tc>
      </w:tr>
      <w:tr w:rsidR="000F2BE0" w:rsidRPr="008D6FC3" w14:paraId="6FC7D596" w14:textId="77777777" w:rsidTr="0073112E">
        <w:trPr>
          <w:trHeight w:val="232"/>
        </w:trPr>
        <w:tc>
          <w:tcPr>
            <w:tcW w:w="1155" w:type="pct"/>
            <w:tcBorders>
              <w:top w:val="nil"/>
              <w:left w:val="nil"/>
              <w:bottom w:val="nil"/>
              <w:right w:val="nil"/>
            </w:tcBorders>
            <w:shd w:val="clear" w:color="auto" w:fill="auto"/>
            <w:noWrap/>
            <w:vAlign w:val="bottom"/>
            <w:hideMark/>
          </w:tcPr>
          <w:p w14:paraId="7C7D0AC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6413D42D"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PO1_temp</w:t>
            </w:r>
          </w:p>
        </w:tc>
        <w:tc>
          <w:tcPr>
            <w:tcW w:w="1014" w:type="pct"/>
            <w:tcBorders>
              <w:top w:val="nil"/>
              <w:left w:val="nil"/>
              <w:bottom w:val="nil"/>
              <w:right w:val="nil"/>
            </w:tcBorders>
            <w:shd w:val="clear" w:color="auto" w:fill="auto"/>
            <w:noWrap/>
            <w:vAlign w:val="bottom"/>
            <w:hideMark/>
          </w:tcPr>
          <w:p w14:paraId="67BFB8A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1338887</w:t>
            </w:r>
          </w:p>
        </w:tc>
        <w:tc>
          <w:tcPr>
            <w:tcW w:w="1014" w:type="pct"/>
            <w:tcBorders>
              <w:top w:val="nil"/>
              <w:left w:val="nil"/>
              <w:bottom w:val="nil"/>
              <w:right w:val="nil"/>
            </w:tcBorders>
            <w:shd w:val="clear" w:color="auto" w:fill="auto"/>
            <w:noWrap/>
            <w:vAlign w:val="bottom"/>
            <w:hideMark/>
          </w:tcPr>
          <w:p w14:paraId="411BFDF7"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244611</w:t>
            </w:r>
          </w:p>
        </w:tc>
        <w:tc>
          <w:tcPr>
            <w:tcW w:w="800" w:type="pct"/>
            <w:tcBorders>
              <w:top w:val="nil"/>
              <w:left w:val="nil"/>
              <w:bottom w:val="nil"/>
              <w:right w:val="nil"/>
            </w:tcBorders>
            <w:shd w:val="clear" w:color="auto" w:fill="auto"/>
            <w:noWrap/>
            <w:vAlign w:val="bottom"/>
            <w:hideMark/>
          </w:tcPr>
          <w:p w14:paraId="69EACD0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49.36%</w:t>
            </w:r>
          </w:p>
        </w:tc>
      </w:tr>
      <w:tr w:rsidR="000F2BE0" w:rsidRPr="008D6FC3" w14:paraId="42EB47EB" w14:textId="77777777" w:rsidTr="0073112E">
        <w:trPr>
          <w:trHeight w:val="232"/>
        </w:trPr>
        <w:tc>
          <w:tcPr>
            <w:tcW w:w="1155" w:type="pct"/>
            <w:tcBorders>
              <w:top w:val="nil"/>
              <w:left w:val="nil"/>
              <w:bottom w:val="nil"/>
              <w:right w:val="nil"/>
            </w:tcBorders>
            <w:shd w:val="clear" w:color="auto" w:fill="auto"/>
            <w:noWrap/>
            <w:vAlign w:val="bottom"/>
            <w:hideMark/>
          </w:tcPr>
          <w:p w14:paraId="6059D21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70DE1DF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PO2_temp</w:t>
            </w:r>
          </w:p>
        </w:tc>
        <w:tc>
          <w:tcPr>
            <w:tcW w:w="1014" w:type="pct"/>
            <w:tcBorders>
              <w:top w:val="nil"/>
              <w:left w:val="nil"/>
              <w:bottom w:val="nil"/>
              <w:right w:val="nil"/>
            </w:tcBorders>
            <w:shd w:val="clear" w:color="auto" w:fill="auto"/>
            <w:noWrap/>
            <w:vAlign w:val="bottom"/>
            <w:hideMark/>
          </w:tcPr>
          <w:p w14:paraId="1430638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13190073</w:t>
            </w:r>
          </w:p>
        </w:tc>
        <w:tc>
          <w:tcPr>
            <w:tcW w:w="1014" w:type="pct"/>
            <w:tcBorders>
              <w:top w:val="nil"/>
              <w:left w:val="nil"/>
              <w:bottom w:val="nil"/>
              <w:right w:val="nil"/>
            </w:tcBorders>
            <w:shd w:val="clear" w:color="auto" w:fill="auto"/>
            <w:noWrap/>
            <w:vAlign w:val="bottom"/>
            <w:hideMark/>
          </w:tcPr>
          <w:p w14:paraId="1F65E62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2874863</w:t>
            </w:r>
          </w:p>
        </w:tc>
        <w:tc>
          <w:tcPr>
            <w:tcW w:w="800" w:type="pct"/>
            <w:tcBorders>
              <w:top w:val="nil"/>
              <w:left w:val="nil"/>
              <w:bottom w:val="nil"/>
              <w:right w:val="nil"/>
            </w:tcBorders>
            <w:shd w:val="clear" w:color="auto" w:fill="auto"/>
            <w:noWrap/>
            <w:vAlign w:val="bottom"/>
            <w:hideMark/>
          </w:tcPr>
          <w:p w14:paraId="233BA9B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50.56%</w:t>
            </w:r>
          </w:p>
        </w:tc>
      </w:tr>
      <w:tr w:rsidR="000F2BE0" w:rsidRPr="008D6FC3" w14:paraId="10F605F1" w14:textId="77777777" w:rsidTr="0073112E">
        <w:trPr>
          <w:trHeight w:val="232"/>
        </w:trPr>
        <w:tc>
          <w:tcPr>
            <w:tcW w:w="1155" w:type="pct"/>
            <w:tcBorders>
              <w:top w:val="nil"/>
              <w:left w:val="nil"/>
              <w:bottom w:val="nil"/>
              <w:right w:val="nil"/>
            </w:tcBorders>
            <w:shd w:val="clear" w:color="auto" w:fill="auto"/>
            <w:noWrap/>
            <w:vAlign w:val="bottom"/>
            <w:hideMark/>
          </w:tcPr>
          <w:p w14:paraId="5732EC2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579B19BE"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PO3_ph</w:t>
            </w:r>
          </w:p>
        </w:tc>
        <w:tc>
          <w:tcPr>
            <w:tcW w:w="1014" w:type="pct"/>
            <w:tcBorders>
              <w:top w:val="nil"/>
              <w:left w:val="nil"/>
              <w:bottom w:val="nil"/>
              <w:right w:val="nil"/>
            </w:tcBorders>
            <w:shd w:val="clear" w:color="auto" w:fill="auto"/>
            <w:noWrap/>
            <w:vAlign w:val="bottom"/>
            <w:hideMark/>
          </w:tcPr>
          <w:p w14:paraId="74376BFB"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3767250</w:t>
            </w:r>
          </w:p>
        </w:tc>
        <w:tc>
          <w:tcPr>
            <w:tcW w:w="1014" w:type="pct"/>
            <w:tcBorders>
              <w:top w:val="nil"/>
              <w:left w:val="nil"/>
              <w:bottom w:val="nil"/>
              <w:right w:val="nil"/>
            </w:tcBorders>
            <w:shd w:val="clear" w:color="auto" w:fill="auto"/>
            <w:noWrap/>
            <w:vAlign w:val="bottom"/>
            <w:hideMark/>
          </w:tcPr>
          <w:p w14:paraId="0D3673D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625636</w:t>
            </w:r>
          </w:p>
        </w:tc>
        <w:tc>
          <w:tcPr>
            <w:tcW w:w="800" w:type="pct"/>
            <w:tcBorders>
              <w:top w:val="nil"/>
              <w:left w:val="nil"/>
              <w:bottom w:val="nil"/>
              <w:right w:val="nil"/>
            </w:tcBorders>
            <w:shd w:val="clear" w:color="auto" w:fill="auto"/>
            <w:noWrap/>
            <w:vAlign w:val="bottom"/>
            <w:hideMark/>
          </w:tcPr>
          <w:p w14:paraId="7D07027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57.24%</w:t>
            </w:r>
          </w:p>
        </w:tc>
      </w:tr>
      <w:tr w:rsidR="000F2BE0" w:rsidRPr="008D6FC3" w14:paraId="51A5488C" w14:textId="77777777" w:rsidTr="0073112E">
        <w:trPr>
          <w:trHeight w:val="232"/>
        </w:trPr>
        <w:tc>
          <w:tcPr>
            <w:tcW w:w="1155" w:type="pct"/>
            <w:tcBorders>
              <w:top w:val="nil"/>
              <w:left w:val="nil"/>
              <w:bottom w:val="nil"/>
              <w:right w:val="nil"/>
            </w:tcBorders>
            <w:shd w:val="clear" w:color="auto" w:fill="auto"/>
            <w:noWrap/>
            <w:vAlign w:val="bottom"/>
            <w:hideMark/>
          </w:tcPr>
          <w:p w14:paraId="494EB44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6B6818A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PO4_amb</w:t>
            </w:r>
          </w:p>
        </w:tc>
        <w:tc>
          <w:tcPr>
            <w:tcW w:w="1014" w:type="pct"/>
            <w:tcBorders>
              <w:top w:val="nil"/>
              <w:left w:val="nil"/>
              <w:bottom w:val="nil"/>
              <w:right w:val="nil"/>
            </w:tcBorders>
            <w:shd w:val="clear" w:color="auto" w:fill="auto"/>
            <w:noWrap/>
            <w:vAlign w:val="bottom"/>
            <w:hideMark/>
          </w:tcPr>
          <w:p w14:paraId="1386DCB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1209823</w:t>
            </w:r>
          </w:p>
        </w:tc>
        <w:tc>
          <w:tcPr>
            <w:tcW w:w="1014" w:type="pct"/>
            <w:tcBorders>
              <w:top w:val="nil"/>
              <w:left w:val="nil"/>
              <w:bottom w:val="nil"/>
              <w:right w:val="nil"/>
            </w:tcBorders>
            <w:shd w:val="clear" w:color="auto" w:fill="auto"/>
            <w:noWrap/>
            <w:vAlign w:val="bottom"/>
            <w:hideMark/>
          </w:tcPr>
          <w:p w14:paraId="37CD4F4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205975</w:t>
            </w:r>
          </w:p>
        </w:tc>
        <w:tc>
          <w:tcPr>
            <w:tcW w:w="800" w:type="pct"/>
            <w:tcBorders>
              <w:top w:val="nil"/>
              <w:left w:val="nil"/>
              <w:bottom w:val="nil"/>
              <w:right w:val="nil"/>
            </w:tcBorders>
            <w:shd w:val="clear" w:color="auto" w:fill="auto"/>
            <w:noWrap/>
            <w:vAlign w:val="bottom"/>
            <w:hideMark/>
          </w:tcPr>
          <w:p w14:paraId="5A678D51"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56.76%</w:t>
            </w:r>
          </w:p>
        </w:tc>
      </w:tr>
      <w:tr w:rsidR="000F2BE0" w:rsidRPr="008D6FC3" w14:paraId="1227BA94" w14:textId="77777777" w:rsidTr="0073112E">
        <w:trPr>
          <w:trHeight w:val="232"/>
        </w:trPr>
        <w:tc>
          <w:tcPr>
            <w:tcW w:w="1155" w:type="pct"/>
            <w:tcBorders>
              <w:top w:val="nil"/>
              <w:left w:val="nil"/>
              <w:bottom w:val="nil"/>
              <w:right w:val="nil"/>
            </w:tcBorders>
            <w:shd w:val="clear" w:color="auto" w:fill="auto"/>
            <w:noWrap/>
            <w:vAlign w:val="bottom"/>
            <w:hideMark/>
          </w:tcPr>
          <w:p w14:paraId="4CDD00D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55754996"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PO5_ph</w:t>
            </w:r>
          </w:p>
        </w:tc>
        <w:tc>
          <w:tcPr>
            <w:tcW w:w="1014" w:type="pct"/>
            <w:tcBorders>
              <w:top w:val="nil"/>
              <w:left w:val="nil"/>
              <w:bottom w:val="nil"/>
              <w:right w:val="nil"/>
            </w:tcBorders>
            <w:shd w:val="clear" w:color="auto" w:fill="auto"/>
            <w:noWrap/>
            <w:vAlign w:val="bottom"/>
            <w:hideMark/>
          </w:tcPr>
          <w:p w14:paraId="0F94DC6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5228592</w:t>
            </w:r>
          </w:p>
        </w:tc>
        <w:tc>
          <w:tcPr>
            <w:tcW w:w="1014" w:type="pct"/>
            <w:tcBorders>
              <w:top w:val="nil"/>
              <w:left w:val="nil"/>
              <w:bottom w:val="nil"/>
              <w:right w:val="nil"/>
            </w:tcBorders>
            <w:shd w:val="clear" w:color="auto" w:fill="auto"/>
            <w:noWrap/>
            <w:vAlign w:val="bottom"/>
            <w:hideMark/>
          </w:tcPr>
          <w:p w14:paraId="5CD83E3F"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988016</w:t>
            </w:r>
          </w:p>
        </w:tc>
        <w:tc>
          <w:tcPr>
            <w:tcW w:w="800" w:type="pct"/>
            <w:tcBorders>
              <w:top w:val="nil"/>
              <w:left w:val="nil"/>
              <w:bottom w:val="nil"/>
              <w:right w:val="nil"/>
            </w:tcBorders>
            <w:shd w:val="clear" w:color="auto" w:fill="auto"/>
            <w:noWrap/>
            <w:vAlign w:val="bottom"/>
            <w:hideMark/>
          </w:tcPr>
          <w:p w14:paraId="6ED8E72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49.91%</w:t>
            </w:r>
          </w:p>
        </w:tc>
      </w:tr>
      <w:tr w:rsidR="000F2BE0" w:rsidRPr="008D6FC3" w14:paraId="63213756" w14:textId="77777777" w:rsidTr="0073112E">
        <w:trPr>
          <w:trHeight w:val="232"/>
        </w:trPr>
        <w:tc>
          <w:tcPr>
            <w:tcW w:w="1155" w:type="pct"/>
            <w:tcBorders>
              <w:top w:val="nil"/>
              <w:left w:val="nil"/>
              <w:bottom w:val="nil"/>
              <w:right w:val="nil"/>
            </w:tcBorders>
            <w:shd w:val="clear" w:color="auto" w:fill="auto"/>
            <w:noWrap/>
            <w:vAlign w:val="bottom"/>
            <w:hideMark/>
          </w:tcPr>
          <w:p w14:paraId="192D6E4C"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7EED2BBA"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PO6_tph</w:t>
            </w:r>
          </w:p>
        </w:tc>
        <w:tc>
          <w:tcPr>
            <w:tcW w:w="1014" w:type="pct"/>
            <w:tcBorders>
              <w:top w:val="nil"/>
              <w:left w:val="nil"/>
              <w:bottom w:val="nil"/>
              <w:right w:val="nil"/>
            </w:tcBorders>
            <w:shd w:val="clear" w:color="auto" w:fill="auto"/>
            <w:noWrap/>
            <w:vAlign w:val="bottom"/>
            <w:hideMark/>
          </w:tcPr>
          <w:p w14:paraId="6BB381C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7691073</w:t>
            </w:r>
          </w:p>
        </w:tc>
        <w:tc>
          <w:tcPr>
            <w:tcW w:w="1014" w:type="pct"/>
            <w:tcBorders>
              <w:top w:val="nil"/>
              <w:left w:val="nil"/>
              <w:bottom w:val="nil"/>
              <w:right w:val="nil"/>
            </w:tcBorders>
            <w:shd w:val="clear" w:color="auto" w:fill="auto"/>
            <w:noWrap/>
            <w:vAlign w:val="bottom"/>
            <w:hideMark/>
          </w:tcPr>
          <w:p w14:paraId="60863E8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1530097</w:t>
            </w:r>
          </w:p>
        </w:tc>
        <w:tc>
          <w:tcPr>
            <w:tcW w:w="800" w:type="pct"/>
            <w:tcBorders>
              <w:top w:val="nil"/>
              <w:left w:val="nil"/>
              <w:bottom w:val="nil"/>
              <w:right w:val="nil"/>
            </w:tcBorders>
            <w:shd w:val="clear" w:color="auto" w:fill="auto"/>
            <w:noWrap/>
            <w:vAlign w:val="bottom"/>
            <w:hideMark/>
          </w:tcPr>
          <w:p w14:paraId="1918AFE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50.63%</w:t>
            </w:r>
          </w:p>
        </w:tc>
      </w:tr>
      <w:tr w:rsidR="000F2BE0" w:rsidRPr="008D6FC3" w14:paraId="72CF5117" w14:textId="77777777" w:rsidTr="0073112E">
        <w:trPr>
          <w:trHeight w:val="232"/>
        </w:trPr>
        <w:tc>
          <w:tcPr>
            <w:tcW w:w="1155" w:type="pct"/>
            <w:tcBorders>
              <w:top w:val="nil"/>
              <w:left w:val="nil"/>
              <w:bottom w:val="nil"/>
              <w:right w:val="nil"/>
            </w:tcBorders>
            <w:shd w:val="clear" w:color="auto" w:fill="auto"/>
            <w:noWrap/>
            <w:vAlign w:val="bottom"/>
            <w:hideMark/>
          </w:tcPr>
          <w:p w14:paraId="0C54D93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nil"/>
              <w:right w:val="nil"/>
            </w:tcBorders>
            <w:shd w:val="clear" w:color="auto" w:fill="auto"/>
            <w:noWrap/>
            <w:vAlign w:val="bottom"/>
            <w:hideMark/>
          </w:tcPr>
          <w:p w14:paraId="2E1D562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PO7_tph</w:t>
            </w:r>
          </w:p>
        </w:tc>
        <w:tc>
          <w:tcPr>
            <w:tcW w:w="1014" w:type="pct"/>
            <w:tcBorders>
              <w:top w:val="nil"/>
              <w:left w:val="nil"/>
              <w:bottom w:val="nil"/>
              <w:right w:val="nil"/>
            </w:tcBorders>
            <w:shd w:val="clear" w:color="auto" w:fill="auto"/>
            <w:noWrap/>
            <w:vAlign w:val="bottom"/>
            <w:hideMark/>
          </w:tcPr>
          <w:p w14:paraId="367E6A09"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5316967</w:t>
            </w:r>
          </w:p>
        </w:tc>
        <w:tc>
          <w:tcPr>
            <w:tcW w:w="1014" w:type="pct"/>
            <w:tcBorders>
              <w:top w:val="nil"/>
              <w:left w:val="nil"/>
              <w:bottom w:val="nil"/>
              <w:right w:val="nil"/>
            </w:tcBorders>
            <w:shd w:val="clear" w:color="auto" w:fill="auto"/>
            <w:noWrap/>
            <w:vAlign w:val="bottom"/>
            <w:hideMark/>
          </w:tcPr>
          <w:p w14:paraId="2AB6B5A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861006</w:t>
            </w:r>
          </w:p>
        </w:tc>
        <w:tc>
          <w:tcPr>
            <w:tcW w:w="800" w:type="pct"/>
            <w:tcBorders>
              <w:top w:val="nil"/>
              <w:left w:val="nil"/>
              <w:bottom w:val="nil"/>
              <w:right w:val="nil"/>
            </w:tcBorders>
            <w:shd w:val="clear" w:color="auto" w:fill="auto"/>
            <w:noWrap/>
            <w:vAlign w:val="bottom"/>
            <w:hideMark/>
          </w:tcPr>
          <w:p w14:paraId="3E62E3F0"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60.67%</w:t>
            </w:r>
          </w:p>
        </w:tc>
      </w:tr>
      <w:tr w:rsidR="000F2BE0" w:rsidRPr="008D6FC3" w14:paraId="031BE35D" w14:textId="77777777" w:rsidTr="0073112E">
        <w:trPr>
          <w:trHeight w:val="232"/>
        </w:trPr>
        <w:tc>
          <w:tcPr>
            <w:tcW w:w="1155" w:type="pct"/>
            <w:tcBorders>
              <w:top w:val="nil"/>
              <w:left w:val="nil"/>
              <w:bottom w:val="single" w:sz="4" w:space="0" w:color="auto"/>
              <w:right w:val="nil"/>
            </w:tcBorders>
            <w:shd w:val="clear" w:color="auto" w:fill="auto"/>
            <w:noWrap/>
            <w:vAlign w:val="bottom"/>
            <w:hideMark/>
          </w:tcPr>
          <w:p w14:paraId="1666D692"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i/>
                <w:iCs/>
                <w:color w:val="000000"/>
                <w:sz w:val="19"/>
                <w:szCs w:val="19"/>
                <w:lang w:eastAsia="en-GB"/>
              </w:rPr>
              <w:t xml:space="preserve">P. </w:t>
            </w:r>
            <w:r w:rsidRPr="008D6FC3">
              <w:rPr>
                <w:rFonts w:eastAsia="Times New Roman"/>
                <w:bCs w:val="0"/>
                <w:color w:val="000000"/>
                <w:sz w:val="19"/>
                <w:szCs w:val="19"/>
                <w:lang w:eastAsia="en-GB"/>
              </w:rPr>
              <w:t xml:space="preserve">cf. </w:t>
            </w:r>
            <w:r w:rsidRPr="008D6FC3">
              <w:rPr>
                <w:rFonts w:eastAsia="Times New Roman"/>
                <w:bCs w:val="0"/>
                <w:i/>
                <w:iCs/>
                <w:color w:val="000000"/>
                <w:sz w:val="19"/>
                <w:szCs w:val="19"/>
                <w:lang w:eastAsia="en-GB"/>
              </w:rPr>
              <w:t>onkodes</w:t>
            </w:r>
          </w:p>
        </w:tc>
        <w:tc>
          <w:tcPr>
            <w:tcW w:w="1016" w:type="pct"/>
            <w:tcBorders>
              <w:top w:val="nil"/>
              <w:left w:val="nil"/>
              <w:bottom w:val="single" w:sz="4" w:space="0" w:color="auto"/>
              <w:right w:val="nil"/>
            </w:tcBorders>
            <w:shd w:val="clear" w:color="auto" w:fill="auto"/>
            <w:noWrap/>
            <w:vAlign w:val="bottom"/>
            <w:hideMark/>
          </w:tcPr>
          <w:p w14:paraId="02425238"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PO8_temp</w:t>
            </w:r>
          </w:p>
        </w:tc>
        <w:tc>
          <w:tcPr>
            <w:tcW w:w="1014" w:type="pct"/>
            <w:tcBorders>
              <w:top w:val="nil"/>
              <w:left w:val="nil"/>
              <w:bottom w:val="single" w:sz="4" w:space="0" w:color="auto"/>
              <w:right w:val="nil"/>
            </w:tcBorders>
            <w:shd w:val="clear" w:color="auto" w:fill="auto"/>
            <w:noWrap/>
            <w:vAlign w:val="bottom"/>
            <w:hideMark/>
          </w:tcPr>
          <w:p w14:paraId="4558E424"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4164386</w:t>
            </w:r>
          </w:p>
        </w:tc>
        <w:tc>
          <w:tcPr>
            <w:tcW w:w="1014" w:type="pct"/>
            <w:tcBorders>
              <w:top w:val="nil"/>
              <w:left w:val="nil"/>
              <w:bottom w:val="single" w:sz="4" w:space="0" w:color="auto"/>
              <w:right w:val="nil"/>
            </w:tcBorders>
            <w:shd w:val="clear" w:color="auto" w:fill="auto"/>
            <w:noWrap/>
            <w:vAlign w:val="bottom"/>
            <w:hideMark/>
          </w:tcPr>
          <w:p w14:paraId="7E3522F3" w14:textId="77777777" w:rsidR="000F2BE0" w:rsidRPr="008D6FC3" w:rsidRDefault="000F2BE0" w:rsidP="00DF1EE8">
            <w:pPr>
              <w:rPr>
                <w:rFonts w:eastAsia="Times New Roman"/>
                <w:b/>
                <w:bCs w:val="0"/>
                <w:color w:val="000000"/>
                <w:sz w:val="19"/>
                <w:szCs w:val="19"/>
                <w:lang w:eastAsia="en-GB"/>
              </w:rPr>
            </w:pPr>
            <w:r w:rsidRPr="008D6FC3">
              <w:rPr>
                <w:rFonts w:eastAsia="Times New Roman"/>
                <w:bCs w:val="0"/>
                <w:color w:val="000000"/>
                <w:sz w:val="19"/>
                <w:szCs w:val="19"/>
                <w:lang w:eastAsia="en-GB"/>
              </w:rPr>
              <w:t>739996</w:t>
            </w:r>
          </w:p>
        </w:tc>
        <w:tc>
          <w:tcPr>
            <w:tcW w:w="800" w:type="pct"/>
            <w:tcBorders>
              <w:top w:val="nil"/>
              <w:left w:val="nil"/>
              <w:bottom w:val="single" w:sz="4" w:space="0" w:color="auto"/>
              <w:right w:val="nil"/>
            </w:tcBorders>
            <w:shd w:val="clear" w:color="auto" w:fill="auto"/>
            <w:noWrap/>
            <w:vAlign w:val="bottom"/>
            <w:hideMark/>
          </w:tcPr>
          <w:p w14:paraId="578ACE5E" w14:textId="1ACA8031" w:rsidR="00E412EE" w:rsidRPr="00A62BA6" w:rsidRDefault="000F2BE0" w:rsidP="00DF1EE8">
            <w:pPr>
              <w:rPr>
                <w:rFonts w:eastAsia="Times New Roman"/>
                <w:bCs w:val="0"/>
                <w:color w:val="000000"/>
                <w:sz w:val="19"/>
                <w:szCs w:val="19"/>
                <w:lang w:eastAsia="en-GB"/>
              </w:rPr>
            </w:pPr>
            <w:r w:rsidRPr="008D6FC3">
              <w:rPr>
                <w:rFonts w:eastAsia="Times New Roman"/>
                <w:bCs w:val="0"/>
                <w:color w:val="000000"/>
                <w:sz w:val="19"/>
                <w:szCs w:val="19"/>
                <w:lang w:eastAsia="en-GB"/>
              </w:rPr>
              <w:t>52.81%</w:t>
            </w:r>
          </w:p>
        </w:tc>
      </w:tr>
    </w:tbl>
    <w:p w14:paraId="1A02112B" w14:textId="02C9CB9D" w:rsidR="00926D57" w:rsidRDefault="00926D57" w:rsidP="00DF1EE8"/>
    <w:p w14:paraId="116ECFC7" w14:textId="4BF19026" w:rsidR="000263C8" w:rsidRPr="00E03B4E" w:rsidRDefault="00DD4750" w:rsidP="00A62BA6">
      <w:pPr>
        <w:spacing w:line="276" w:lineRule="auto"/>
        <w:rPr>
          <w:b/>
          <w:bCs w:val="0"/>
          <w:sz w:val="20"/>
          <w:szCs w:val="20"/>
        </w:rPr>
      </w:pPr>
      <w:r w:rsidRPr="00FC0540">
        <w:lastRenderedPageBreak/>
        <w:t xml:space="preserve">Table </w:t>
      </w:r>
      <w:r w:rsidR="006868AD" w:rsidRPr="00FC0540">
        <w:t>S</w:t>
      </w:r>
      <w:r w:rsidR="000365BC" w:rsidRPr="00FC0540">
        <w:t>7</w:t>
      </w:r>
      <w:r w:rsidR="00CC67FF" w:rsidRPr="00FC0540">
        <w:t>.</w:t>
      </w:r>
      <w:r w:rsidR="00A05325" w:rsidRPr="00FC0540">
        <w:t xml:space="preserve"> </w:t>
      </w:r>
      <w:r w:rsidR="00A05325" w:rsidRPr="00FC0540">
        <w:rPr>
          <w:bCs w:val="0"/>
        </w:rPr>
        <w:t>Transcripts used for RT-qPCR validation of CEL-Seq expression profiles. Primers for housekeeping</w:t>
      </w:r>
      <w:r w:rsidR="00A46005" w:rsidRPr="00FC0540">
        <w:rPr>
          <w:bCs w:val="0"/>
        </w:rPr>
        <w:t xml:space="preserve"> (HK)</w:t>
      </w:r>
      <w:r w:rsidR="00A05325" w:rsidRPr="00FC0540">
        <w:rPr>
          <w:bCs w:val="0"/>
        </w:rPr>
        <w:t xml:space="preserve"> genes and genes of interest (GOI) were designed and used for validation. Table has accession number for transcripts, species, BLASTX annotation of sequence, primer sequences, expected amplicon size (bp), primer </w:t>
      </w:r>
      <w:r w:rsidR="00BA40DC" w:rsidRPr="00FC0540">
        <w:rPr>
          <w:bCs w:val="0"/>
        </w:rPr>
        <w:t xml:space="preserve">optimal </w:t>
      </w:r>
      <w:r w:rsidR="00563A4C" w:rsidRPr="00FC0540">
        <w:rPr>
          <w:bCs w:val="0"/>
        </w:rPr>
        <w:t>annealing</w:t>
      </w:r>
      <w:r w:rsidR="00A05325" w:rsidRPr="00FC0540">
        <w:rPr>
          <w:bCs w:val="0"/>
        </w:rPr>
        <w:t xml:space="preserve"> temperature (T</w:t>
      </w:r>
      <w:r w:rsidR="00B52370" w:rsidRPr="00FC0540">
        <w:rPr>
          <w:bCs w:val="0"/>
        </w:rPr>
        <w:t>m</w:t>
      </w:r>
      <w:r w:rsidR="00563A4C" w:rsidRPr="00FC0540">
        <w:rPr>
          <w:bCs w:val="0"/>
        </w:rPr>
        <w:t>)</w:t>
      </w:r>
      <w:r w:rsidR="00A05325" w:rsidRPr="00FC0540">
        <w:rPr>
          <w:bCs w:val="0"/>
        </w:rPr>
        <w:t xml:space="preserve"> ºC, and PCR efficiency (%) and coefficient</w:t>
      </w:r>
      <w:r w:rsidR="00FB50AF" w:rsidRPr="00FC0540">
        <w:rPr>
          <w:bCs w:val="0"/>
        </w:rPr>
        <w:t xml:space="preserve"> of determination</w:t>
      </w:r>
      <w:r w:rsidR="00A05325" w:rsidRPr="00FC0540">
        <w:rPr>
          <w:bCs w:val="0"/>
        </w:rPr>
        <w:t xml:space="preserve"> (R</w:t>
      </w:r>
      <w:r w:rsidR="00A05325" w:rsidRPr="00FC0540">
        <w:rPr>
          <w:bCs w:val="0"/>
          <w:vertAlign w:val="superscript"/>
        </w:rPr>
        <w:t>2</w:t>
      </w:r>
      <w:r w:rsidR="00A05325" w:rsidRPr="00FC0540">
        <w:rPr>
          <w:bCs w:val="0"/>
        </w:rPr>
        <w:t xml:space="preserve">) from qPCR standard curve analysis. </w:t>
      </w:r>
      <w:r w:rsidR="00BA4231" w:rsidRPr="00FC0540">
        <w:rPr>
          <w:bCs w:val="0"/>
        </w:rPr>
        <w:t>HK</w:t>
      </w:r>
      <w:r w:rsidR="00A46005" w:rsidRPr="00FC0540">
        <w:rPr>
          <w:bCs w:val="0"/>
        </w:rPr>
        <w:t xml:space="preserve"> genes</w:t>
      </w:r>
      <w:r w:rsidR="00BA4231" w:rsidRPr="00FC0540">
        <w:rPr>
          <w:bCs w:val="0"/>
        </w:rPr>
        <w:t xml:space="preserve"> were chosen from commonly used HKGs, such as </w:t>
      </w:r>
      <w:r w:rsidR="009937A1" w:rsidRPr="00FC0540">
        <w:rPr>
          <w:bCs w:val="0"/>
        </w:rPr>
        <w:t>beta-tubulin (</w:t>
      </w:r>
      <w:r w:rsidR="009937A1" w:rsidRPr="00FC0540">
        <w:rPr>
          <w:bCs w:val="0"/>
          <w:color w:val="202124"/>
          <w:shd w:val="clear" w:color="auto" w:fill="FFFFFF"/>
        </w:rPr>
        <w:t>β-</w:t>
      </w:r>
      <w:r w:rsidR="009937A1" w:rsidRPr="00FC0540">
        <w:rPr>
          <w:bCs w:val="0"/>
        </w:rPr>
        <w:t>t</w:t>
      </w:r>
      <w:proofErr w:type="spellStart"/>
      <w:r w:rsidR="009937A1" w:rsidRPr="00FC0540">
        <w:rPr>
          <w:bCs w:val="0"/>
          <w:color w:val="000000"/>
          <w:lang w:val="en-GB"/>
        </w:rPr>
        <w:t>ubulin</w:t>
      </w:r>
      <w:proofErr w:type="spellEnd"/>
      <w:r w:rsidR="009937A1" w:rsidRPr="00FC0540">
        <w:rPr>
          <w:bCs w:val="0"/>
          <w:color w:val="000000"/>
          <w:lang w:val="en-GB"/>
        </w:rPr>
        <w:t xml:space="preserve">), </w:t>
      </w:r>
      <w:r w:rsidR="009937A1" w:rsidRPr="00FC0540">
        <w:rPr>
          <w:bCs w:val="0"/>
        </w:rPr>
        <w:t>g</w:t>
      </w:r>
      <w:r w:rsidR="00BA4231" w:rsidRPr="00FC0540">
        <w:rPr>
          <w:bCs w:val="0"/>
        </w:rPr>
        <w:t>lyceraldehyde 3-phosphate dehydrogenase (</w:t>
      </w:r>
      <w:r w:rsidR="00CD7953" w:rsidRPr="00FC0540">
        <w:rPr>
          <w:bCs w:val="0"/>
        </w:rPr>
        <w:t>GAPDH</w:t>
      </w:r>
      <w:r w:rsidR="00BA4231" w:rsidRPr="00FC0540">
        <w:rPr>
          <w:bCs w:val="0"/>
        </w:rPr>
        <w:t>) and</w:t>
      </w:r>
      <w:r w:rsidR="00CD7953" w:rsidRPr="00FC0540">
        <w:rPr>
          <w:bCs w:val="0"/>
        </w:rPr>
        <w:t xml:space="preserve"> </w:t>
      </w:r>
      <w:r w:rsidR="00BA4231" w:rsidRPr="00FC0540">
        <w:rPr>
          <w:bCs w:val="0"/>
        </w:rPr>
        <w:t>ubiquitin C (</w:t>
      </w:r>
      <w:r w:rsidR="00CD7953" w:rsidRPr="00FC0540">
        <w:rPr>
          <w:bCs w:val="0"/>
        </w:rPr>
        <w:t>UBC</w:t>
      </w:r>
      <w:r w:rsidR="00BA4231" w:rsidRPr="00FC0540">
        <w:rPr>
          <w:bCs w:val="0"/>
        </w:rPr>
        <w:t xml:space="preserve">), and through investigation of transcripts with low standard deviation and that were not significantly differentially expressed through </w:t>
      </w:r>
      <w:proofErr w:type="spellStart"/>
      <w:r w:rsidR="00AE04BF" w:rsidRPr="00FC0540">
        <w:rPr>
          <w:bCs w:val="0"/>
        </w:rPr>
        <w:t>edgeR</w:t>
      </w:r>
      <w:proofErr w:type="spellEnd"/>
      <w:r w:rsidR="00BA4231" w:rsidRPr="00FC0540">
        <w:rPr>
          <w:bCs w:val="0"/>
        </w:rPr>
        <w:t xml:space="preserve"> analysis (i.e., heme oxygenase). </w:t>
      </w:r>
    </w:p>
    <w:tbl>
      <w:tblPr>
        <w:tblW w:w="8360" w:type="dxa"/>
        <w:tblInd w:w="-30" w:type="dxa"/>
        <w:tblLayout w:type="fixed"/>
        <w:tblLook w:val="0000" w:firstRow="0" w:lastRow="0" w:firstColumn="0" w:lastColumn="0" w:noHBand="0" w:noVBand="0"/>
      </w:tblPr>
      <w:tblGrid>
        <w:gridCol w:w="881"/>
        <w:gridCol w:w="992"/>
        <w:gridCol w:w="1276"/>
        <w:gridCol w:w="2977"/>
        <w:gridCol w:w="850"/>
        <w:gridCol w:w="504"/>
        <w:gridCol w:w="880"/>
      </w:tblGrid>
      <w:tr w:rsidR="00913272" w:rsidRPr="0097639A" w14:paraId="21B3C131" w14:textId="77777777" w:rsidTr="003417E7">
        <w:trPr>
          <w:trHeight w:val="232"/>
        </w:trPr>
        <w:tc>
          <w:tcPr>
            <w:tcW w:w="881" w:type="dxa"/>
            <w:vMerge w:val="restart"/>
            <w:tcBorders>
              <w:top w:val="single" w:sz="6" w:space="0" w:color="auto"/>
              <w:left w:val="nil"/>
              <w:right w:val="nil"/>
            </w:tcBorders>
            <w:vAlign w:val="center"/>
          </w:tcPr>
          <w:p w14:paraId="57C8BF6D" w14:textId="1D423C7B" w:rsidR="00913272" w:rsidRPr="0097639A" w:rsidRDefault="00913272" w:rsidP="00DF1EE8">
            <w:pPr>
              <w:autoSpaceDE w:val="0"/>
              <w:autoSpaceDN w:val="0"/>
              <w:adjustRightInd w:val="0"/>
              <w:jc w:val="center"/>
              <w:rPr>
                <w:b/>
                <w:bCs w:val="0"/>
                <w:color w:val="000000"/>
                <w:sz w:val="16"/>
                <w:szCs w:val="16"/>
                <w:vertAlign w:val="superscript"/>
                <w:lang w:val="en-GB"/>
              </w:rPr>
            </w:pPr>
            <w:r w:rsidRPr="0097639A">
              <w:rPr>
                <w:bCs w:val="0"/>
                <w:color w:val="000000"/>
                <w:sz w:val="16"/>
                <w:szCs w:val="16"/>
                <w:lang w:val="en-GB"/>
              </w:rPr>
              <w:t>Trinity accession number</w:t>
            </w:r>
          </w:p>
        </w:tc>
        <w:tc>
          <w:tcPr>
            <w:tcW w:w="992" w:type="dxa"/>
            <w:vMerge w:val="restart"/>
            <w:tcBorders>
              <w:top w:val="single" w:sz="6" w:space="0" w:color="auto"/>
              <w:left w:val="nil"/>
              <w:right w:val="nil"/>
            </w:tcBorders>
            <w:vAlign w:val="center"/>
          </w:tcPr>
          <w:p w14:paraId="4B649FEC" w14:textId="77777777" w:rsidR="00913272" w:rsidRPr="0097639A" w:rsidRDefault="00913272" w:rsidP="00DF1EE8">
            <w:pPr>
              <w:autoSpaceDE w:val="0"/>
              <w:autoSpaceDN w:val="0"/>
              <w:adjustRightInd w:val="0"/>
              <w:jc w:val="center"/>
              <w:rPr>
                <w:b/>
                <w:bCs w:val="0"/>
                <w:color w:val="000000"/>
                <w:sz w:val="16"/>
                <w:szCs w:val="16"/>
                <w:lang w:val="en-GB"/>
              </w:rPr>
            </w:pPr>
            <w:r w:rsidRPr="0097639A">
              <w:rPr>
                <w:bCs w:val="0"/>
                <w:color w:val="000000"/>
                <w:sz w:val="16"/>
                <w:szCs w:val="16"/>
                <w:lang w:val="en-GB"/>
              </w:rPr>
              <w:t>Species</w:t>
            </w:r>
          </w:p>
        </w:tc>
        <w:tc>
          <w:tcPr>
            <w:tcW w:w="1276" w:type="dxa"/>
            <w:vMerge w:val="restart"/>
            <w:tcBorders>
              <w:top w:val="single" w:sz="6" w:space="0" w:color="auto"/>
              <w:left w:val="nil"/>
              <w:right w:val="nil"/>
            </w:tcBorders>
            <w:vAlign w:val="center"/>
          </w:tcPr>
          <w:p w14:paraId="6E580D14" w14:textId="77777777" w:rsidR="00913272" w:rsidRPr="0097639A" w:rsidRDefault="00913272" w:rsidP="00DF1EE8">
            <w:pPr>
              <w:autoSpaceDE w:val="0"/>
              <w:autoSpaceDN w:val="0"/>
              <w:adjustRightInd w:val="0"/>
              <w:jc w:val="center"/>
              <w:rPr>
                <w:b/>
                <w:bCs w:val="0"/>
                <w:color w:val="000000"/>
                <w:sz w:val="16"/>
                <w:szCs w:val="16"/>
                <w:lang w:val="en-GB"/>
              </w:rPr>
            </w:pPr>
            <w:r w:rsidRPr="0097639A">
              <w:rPr>
                <w:bCs w:val="0"/>
                <w:color w:val="000000"/>
                <w:sz w:val="16"/>
                <w:szCs w:val="16"/>
                <w:lang w:val="en-GB"/>
              </w:rPr>
              <w:t>BLASTX Annotation</w:t>
            </w:r>
          </w:p>
        </w:tc>
        <w:tc>
          <w:tcPr>
            <w:tcW w:w="2977" w:type="dxa"/>
            <w:vMerge w:val="restart"/>
            <w:tcBorders>
              <w:top w:val="single" w:sz="6" w:space="0" w:color="auto"/>
              <w:left w:val="nil"/>
              <w:right w:val="nil"/>
            </w:tcBorders>
            <w:vAlign w:val="center"/>
          </w:tcPr>
          <w:p w14:paraId="42FAAB21" w14:textId="77777777" w:rsidR="00913272" w:rsidRPr="0097639A" w:rsidRDefault="00913272" w:rsidP="00DF1EE8">
            <w:pPr>
              <w:autoSpaceDE w:val="0"/>
              <w:autoSpaceDN w:val="0"/>
              <w:adjustRightInd w:val="0"/>
              <w:jc w:val="center"/>
              <w:rPr>
                <w:b/>
                <w:bCs w:val="0"/>
                <w:color w:val="000000"/>
                <w:sz w:val="16"/>
                <w:szCs w:val="16"/>
                <w:lang w:val="en-GB"/>
              </w:rPr>
            </w:pPr>
            <w:r w:rsidRPr="0097639A">
              <w:rPr>
                <w:bCs w:val="0"/>
                <w:color w:val="000000"/>
                <w:sz w:val="16"/>
                <w:szCs w:val="16"/>
                <w:lang w:val="en-GB"/>
              </w:rPr>
              <w:t>Primer sequence (5’-3’)</w:t>
            </w:r>
            <w:r w:rsidRPr="0097639A">
              <w:rPr>
                <w:bCs w:val="0"/>
                <w:color w:val="000000"/>
                <w:sz w:val="16"/>
                <w:szCs w:val="16"/>
                <w:vertAlign w:val="superscript"/>
                <w:lang w:val="en-GB"/>
              </w:rPr>
              <w:t>a</w:t>
            </w:r>
          </w:p>
        </w:tc>
        <w:tc>
          <w:tcPr>
            <w:tcW w:w="850" w:type="dxa"/>
            <w:vMerge w:val="restart"/>
            <w:tcBorders>
              <w:top w:val="single" w:sz="6" w:space="0" w:color="auto"/>
              <w:left w:val="nil"/>
              <w:right w:val="nil"/>
            </w:tcBorders>
            <w:vAlign w:val="center"/>
          </w:tcPr>
          <w:p w14:paraId="2583FC5D" w14:textId="77777777" w:rsidR="00913272" w:rsidRPr="0097639A" w:rsidRDefault="00913272" w:rsidP="00DF1EE8">
            <w:pPr>
              <w:autoSpaceDE w:val="0"/>
              <w:autoSpaceDN w:val="0"/>
              <w:adjustRightInd w:val="0"/>
              <w:jc w:val="center"/>
              <w:rPr>
                <w:b/>
                <w:bCs w:val="0"/>
                <w:color w:val="000000"/>
                <w:sz w:val="16"/>
                <w:szCs w:val="16"/>
                <w:lang w:val="en-GB"/>
              </w:rPr>
            </w:pPr>
            <w:r w:rsidRPr="0097639A">
              <w:rPr>
                <w:bCs w:val="0"/>
                <w:color w:val="000000"/>
                <w:sz w:val="16"/>
                <w:szCs w:val="16"/>
                <w:lang w:val="en-GB"/>
              </w:rPr>
              <w:t>Expected amplicon size (bp)</w:t>
            </w:r>
          </w:p>
        </w:tc>
        <w:tc>
          <w:tcPr>
            <w:tcW w:w="504" w:type="dxa"/>
            <w:vMerge w:val="restart"/>
            <w:tcBorders>
              <w:top w:val="single" w:sz="6" w:space="0" w:color="auto"/>
              <w:left w:val="nil"/>
              <w:right w:val="nil"/>
            </w:tcBorders>
            <w:vAlign w:val="center"/>
          </w:tcPr>
          <w:p w14:paraId="53753A6D" w14:textId="6714DDBC" w:rsidR="00913272" w:rsidRPr="0097639A" w:rsidRDefault="00913272" w:rsidP="00DF1EE8">
            <w:pPr>
              <w:autoSpaceDE w:val="0"/>
              <w:autoSpaceDN w:val="0"/>
              <w:adjustRightInd w:val="0"/>
              <w:jc w:val="center"/>
              <w:rPr>
                <w:b/>
                <w:bCs w:val="0"/>
                <w:color w:val="000000"/>
                <w:sz w:val="16"/>
                <w:szCs w:val="16"/>
                <w:lang w:val="en-GB"/>
              </w:rPr>
            </w:pPr>
            <w:r w:rsidRPr="0097639A">
              <w:rPr>
                <w:bCs w:val="0"/>
                <w:color w:val="000000"/>
                <w:sz w:val="16"/>
                <w:szCs w:val="16"/>
                <w:lang w:val="en-GB"/>
              </w:rPr>
              <w:t>T</w:t>
            </w:r>
            <w:r w:rsidR="00B52370">
              <w:rPr>
                <w:bCs w:val="0"/>
                <w:color w:val="000000"/>
                <w:sz w:val="16"/>
                <w:szCs w:val="16"/>
                <w:lang w:val="en-GB"/>
              </w:rPr>
              <w:t>m</w:t>
            </w:r>
            <w:r w:rsidRPr="0097639A">
              <w:rPr>
                <w:bCs w:val="0"/>
                <w:color w:val="000000"/>
                <w:sz w:val="16"/>
                <w:szCs w:val="16"/>
                <w:lang w:val="en-GB"/>
              </w:rPr>
              <w:t xml:space="preserve"> (°C)</w:t>
            </w:r>
          </w:p>
        </w:tc>
        <w:tc>
          <w:tcPr>
            <w:tcW w:w="880" w:type="dxa"/>
            <w:tcBorders>
              <w:top w:val="single" w:sz="6" w:space="0" w:color="auto"/>
              <w:left w:val="nil"/>
              <w:bottom w:val="nil"/>
              <w:right w:val="nil"/>
            </w:tcBorders>
          </w:tcPr>
          <w:p w14:paraId="534F3BBE" w14:textId="77777777" w:rsidR="00913272" w:rsidRPr="0097639A" w:rsidRDefault="00913272" w:rsidP="00DF1EE8">
            <w:pPr>
              <w:autoSpaceDE w:val="0"/>
              <w:autoSpaceDN w:val="0"/>
              <w:adjustRightInd w:val="0"/>
              <w:rPr>
                <w:b/>
                <w:bCs w:val="0"/>
                <w:color w:val="000000"/>
                <w:sz w:val="16"/>
                <w:szCs w:val="16"/>
                <w:lang w:val="en-GB"/>
              </w:rPr>
            </w:pPr>
            <w:r w:rsidRPr="0097639A">
              <w:rPr>
                <w:bCs w:val="0"/>
                <w:color w:val="000000"/>
                <w:sz w:val="16"/>
                <w:szCs w:val="16"/>
                <w:lang w:val="en-GB"/>
              </w:rPr>
              <w:t>PCR efficiency (%)</w:t>
            </w:r>
          </w:p>
        </w:tc>
      </w:tr>
      <w:tr w:rsidR="00913272" w:rsidRPr="0097639A" w14:paraId="1FD3B4A4" w14:textId="77777777" w:rsidTr="003417E7">
        <w:trPr>
          <w:trHeight w:val="64"/>
        </w:trPr>
        <w:tc>
          <w:tcPr>
            <w:tcW w:w="881" w:type="dxa"/>
            <w:vMerge/>
            <w:tcBorders>
              <w:left w:val="nil"/>
              <w:bottom w:val="single" w:sz="6" w:space="0" w:color="auto"/>
              <w:right w:val="nil"/>
            </w:tcBorders>
            <w:vAlign w:val="center"/>
          </w:tcPr>
          <w:p w14:paraId="08072E20" w14:textId="77777777" w:rsidR="00913272" w:rsidRPr="0097639A" w:rsidRDefault="00913272" w:rsidP="00DF1EE8">
            <w:pPr>
              <w:autoSpaceDE w:val="0"/>
              <w:autoSpaceDN w:val="0"/>
              <w:adjustRightInd w:val="0"/>
              <w:jc w:val="center"/>
              <w:rPr>
                <w:b/>
                <w:bCs w:val="0"/>
                <w:color w:val="000000"/>
                <w:sz w:val="16"/>
                <w:szCs w:val="16"/>
                <w:lang w:val="en-GB"/>
              </w:rPr>
            </w:pPr>
          </w:p>
        </w:tc>
        <w:tc>
          <w:tcPr>
            <w:tcW w:w="992" w:type="dxa"/>
            <w:vMerge/>
            <w:tcBorders>
              <w:left w:val="nil"/>
              <w:bottom w:val="single" w:sz="6" w:space="0" w:color="auto"/>
              <w:right w:val="nil"/>
            </w:tcBorders>
            <w:vAlign w:val="center"/>
          </w:tcPr>
          <w:p w14:paraId="16813361" w14:textId="77777777" w:rsidR="00913272" w:rsidRPr="0097639A" w:rsidRDefault="00913272" w:rsidP="00DF1EE8">
            <w:pPr>
              <w:autoSpaceDE w:val="0"/>
              <w:autoSpaceDN w:val="0"/>
              <w:adjustRightInd w:val="0"/>
              <w:jc w:val="center"/>
              <w:rPr>
                <w:b/>
                <w:bCs w:val="0"/>
                <w:color w:val="000000"/>
                <w:sz w:val="16"/>
                <w:szCs w:val="16"/>
                <w:lang w:val="en-GB"/>
              </w:rPr>
            </w:pPr>
          </w:p>
        </w:tc>
        <w:tc>
          <w:tcPr>
            <w:tcW w:w="1276" w:type="dxa"/>
            <w:vMerge/>
            <w:tcBorders>
              <w:left w:val="nil"/>
              <w:bottom w:val="single" w:sz="6" w:space="0" w:color="auto"/>
              <w:right w:val="nil"/>
            </w:tcBorders>
            <w:vAlign w:val="center"/>
          </w:tcPr>
          <w:p w14:paraId="759CDB17" w14:textId="77777777" w:rsidR="00913272" w:rsidRPr="0097639A" w:rsidRDefault="00913272" w:rsidP="00DF1EE8">
            <w:pPr>
              <w:autoSpaceDE w:val="0"/>
              <w:autoSpaceDN w:val="0"/>
              <w:adjustRightInd w:val="0"/>
              <w:jc w:val="center"/>
              <w:rPr>
                <w:b/>
                <w:bCs w:val="0"/>
                <w:color w:val="000000"/>
                <w:sz w:val="16"/>
                <w:szCs w:val="16"/>
                <w:lang w:val="en-GB"/>
              </w:rPr>
            </w:pPr>
          </w:p>
        </w:tc>
        <w:tc>
          <w:tcPr>
            <w:tcW w:w="2977" w:type="dxa"/>
            <w:vMerge/>
            <w:tcBorders>
              <w:left w:val="nil"/>
              <w:bottom w:val="single" w:sz="6" w:space="0" w:color="auto"/>
              <w:right w:val="nil"/>
            </w:tcBorders>
            <w:vAlign w:val="center"/>
          </w:tcPr>
          <w:p w14:paraId="1D8DECCE" w14:textId="77777777" w:rsidR="00913272" w:rsidRPr="0097639A" w:rsidRDefault="00913272" w:rsidP="00DF1EE8">
            <w:pPr>
              <w:autoSpaceDE w:val="0"/>
              <w:autoSpaceDN w:val="0"/>
              <w:adjustRightInd w:val="0"/>
              <w:jc w:val="center"/>
              <w:rPr>
                <w:b/>
                <w:bCs w:val="0"/>
                <w:color w:val="000000"/>
                <w:sz w:val="16"/>
                <w:szCs w:val="16"/>
                <w:lang w:val="en-GB"/>
              </w:rPr>
            </w:pPr>
          </w:p>
        </w:tc>
        <w:tc>
          <w:tcPr>
            <w:tcW w:w="850" w:type="dxa"/>
            <w:vMerge/>
            <w:tcBorders>
              <w:left w:val="nil"/>
              <w:bottom w:val="single" w:sz="6" w:space="0" w:color="auto"/>
              <w:right w:val="nil"/>
            </w:tcBorders>
            <w:vAlign w:val="center"/>
          </w:tcPr>
          <w:p w14:paraId="68C26098" w14:textId="77777777" w:rsidR="00913272" w:rsidRPr="0097639A" w:rsidRDefault="00913272" w:rsidP="00DF1EE8">
            <w:pPr>
              <w:autoSpaceDE w:val="0"/>
              <w:autoSpaceDN w:val="0"/>
              <w:adjustRightInd w:val="0"/>
              <w:jc w:val="center"/>
              <w:rPr>
                <w:b/>
                <w:bCs w:val="0"/>
                <w:color w:val="000000"/>
                <w:sz w:val="16"/>
                <w:szCs w:val="16"/>
                <w:lang w:val="en-GB"/>
              </w:rPr>
            </w:pPr>
          </w:p>
        </w:tc>
        <w:tc>
          <w:tcPr>
            <w:tcW w:w="504" w:type="dxa"/>
            <w:vMerge/>
            <w:tcBorders>
              <w:left w:val="nil"/>
              <w:bottom w:val="single" w:sz="6" w:space="0" w:color="auto"/>
              <w:right w:val="nil"/>
            </w:tcBorders>
          </w:tcPr>
          <w:p w14:paraId="0400852F" w14:textId="77777777" w:rsidR="00913272" w:rsidRPr="0097639A" w:rsidRDefault="00913272" w:rsidP="00DF1EE8">
            <w:pPr>
              <w:autoSpaceDE w:val="0"/>
              <w:autoSpaceDN w:val="0"/>
              <w:adjustRightInd w:val="0"/>
              <w:rPr>
                <w:b/>
                <w:bCs w:val="0"/>
                <w:color w:val="000000"/>
                <w:sz w:val="16"/>
                <w:szCs w:val="16"/>
                <w:lang w:val="en-GB"/>
              </w:rPr>
            </w:pPr>
          </w:p>
        </w:tc>
        <w:tc>
          <w:tcPr>
            <w:tcW w:w="880" w:type="dxa"/>
            <w:tcBorders>
              <w:top w:val="nil"/>
              <w:left w:val="nil"/>
              <w:bottom w:val="single" w:sz="6" w:space="0" w:color="auto"/>
              <w:right w:val="nil"/>
            </w:tcBorders>
          </w:tcPr>
          <w:p w14:paraId="23020703" w14:textId="47FC93D0" w:rsidR="00913272" w:rsidRPr="0097639A" w:rsidRDefault="00913272" w:rsidP="00DF1EE8">
            <w:pPr>
              <w:autoSpaceDE w:val="0"/>
              <w:autoSpaceDN w:val="0"/>
              <w:adjustRightInd w:val="0"/>
              <w:rPr>
                <w:b/>
                <w:bCs w:val="0"/>
                <w:color w:val="000000"/>
                <w:sz w:val="16"/>
                <w:szCs w:val="16"/>
                <w:lang w:val="en-GB"/>
              </w:rPr>
            </w:pPr>
            <w:r w:rsidRPr="0097639A">
              <w:rPr>
                <w:bCs w:val="0"/>
                <w:color w:val="000000"/>
                <w:sz w:val="16"/>
                <w:szCs w:val="16"/>
                <w:lang w:val="en-GB"/>
              </w:rPr>
              <w:t>(</w:t>
            </w:r>
            <w:r w:rsidR="00752E49">
              <w:rPr>
                <w:bCs w:val="0"/>
                <w:color w:val="000000"/>
                <w:sz w:val="16"/>
                <w:szCs w:val="16"/>
                <w:lang w:val="en-GB"/>
              </w:rPr>
              <w:t>R</w:t>
            </w:r>
            <w:r w:rsidR="00752E49">
              <w:rPr>
                <w:bCs w:val="0"/>
                <w:color w:val="000000"/>
                <w:sz w:val="16"/>
                <w:szCs w:val="16"/>
                <w:vertAlign w:val="superscript"/>
                <w:lang w:val="en-GB"/>
              </w:rPr>
              <w:t>2</w:t>
            </w:r>
            <w:r w:rsidRPr="0097639A">
              <w:rPr>
                <w:bCs w:val="0"/>
                <w:color w:val="000000"/>
                <w:sz w:val="16"/>
                <w:szCs w:val="16"/>
                <w:lang w:val="en-GB"/>
              </w:rPr>
              <w:t>)</w:t>
            </w:r>
          </w:p>
        </w:tc>
      </w:tr>
      <w:tr w:rsidR="0097639A" w:rsidRPr="0097639A" w14:paraId="2F900038" w14:textId="77777777" w:rsidTr="003417E7">
        <w:trPr>
          <w:trHeight w:val="232"/>
        </w:trPr>
        <w:tc>
          <w:tcPr>
            <w:tcW w:w="881" w:type="dxa"/>
            <w:tcBorders>
              <w:top w:val="nil"/>
              <w:left w:val="nil"/>
              <w:bottom w:val="nil"/>
              <w:right w:val="nil"/>
            </w:tcBorders>
            <w:vAlign w:val="bottom"/>
          </w:tcPr>
          <w:p w14:paraId="17C5B40C" w14:textId="509F26E2"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DN76782_c6_g1_i1</w:t>
            </w:r>
          </w:p>
        </w:tc>
        <w:tc>
          <w:tcPr>
            <w:tcW w:w="992" w:type="dxa"/>
            <w:tcBorders>
              <w:top w:val="single" w:sz="6" w:space="0" w:color="auto"/>
              <w:left w:val="nil"/>
              <w:bottom w:val="nil"/>
              <w:right w:val="nil"/>
            </w:tcBorders>
            <w:vAlign w:val="bottom"/>
          </w:tcPr>
          <w:p w14:paraId="1698FA3E"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14A57397" w14:textId="3AB8B36A" w:rsidR="009937A1" w:rsidRPr="009937A1" w:rsidRDefault="009937A1" w:rsidP="00DF1EE8">
            <w:pPr>
              <w:rPr>
                <w:sz w:val="16"/>
                <w:szCs w:val="16"/>
              </w:rPr>
            </w:pPr>
            <w:r w:rsidRPr="009937A1">
              <w:rPr>
                <w:bCs w:val="0"/>
                <w:color w:val="202124"/>
                <w:sz w:val="16"/>
                <w:szCs w:val="16"/>
                <w:shd w:val="clear" w:color="auto" w:fill="FFFFFF"/>
              </w:rPr>
              <w:t>β-</w:t>
            </w:r>
          </w:p>
          <w:p w14:paraId="05C4D3C0" w14:textId="0337F458" w:rsidR="0097639A" w:rsidRPr="0097639A" w:rsidRDefault="0097639A" w:rsidP="00DF1EE8">
            <w:pPr>
              <w:autoSpaceDE w:val="0"/>
              <w:autoSpaceDN w:val="0"/>
              <w:adjustRightInd w:val="0"/>
              <w:rPr>
                <w:b/>
                <w:bCs w:val="0"/>
                <w:color w:val="000000"/>
                <w:sz w:val="16"/>
                <w:szCs w:val="16"/>
                <w:lang w:val="en-GB"/>
              </w:rPr>
            </w:pPr>
            <w:r w:rsidRPr="009937A1">
              <w:rPr>
                <w:bCs w:val="0"/>
                <w:color w:val="000000"/>
                <w:sz w:val="16"/>
                <w:szCs w:val="16"/>
                <w:lang w:val="en-GB"/>
              </w:rPr>
              <w:t>tubulin (HKG)</w:t>
            </w:r>
          </w:p>
        </w:tc>
        <w:tc>
          <w:tcPr>
            <w:tcW w:w="2977" w:type="dxa"/>
            <w:tcBorders>
              <w:top w:val="nil"/>
              <w:left w:val="nil"/>
              <w:bottom w:val="nil"/>
              <w:right w:val="nil"/>
            </w:tcBorders>
            <w:vAlign w:val="bottom"/>
          </w:tcPr>
          <w:p w14:paraId="6AFC1B3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TCGGCCCTACTGAGTCGATT</w:t>
            </w:r>
          </w:p>
        </w:tc>
        <w:tc>
          <w:tcPr>
            <w:tcW w:w="850" w:type="dxa"/>
            <w:tcBorders>
              <w:top w:val="nil"/>
              <w:left w:val="nil"/>
              <w:bottom w:val="nil"/>
              <w:right w:val="nil"/>
            </w:tcBorders>
            <w:vAlign w:val="bottom"/>
          </w:tcPr>
          <w:p w14:paraId="64AC8B6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182</w:t>
            </w:r>
          </w:p>
        </w:tc>
        <w:tc>
          <w:tcPr>
            <w:tcW w:w="504" w:type="dxa"/>
            <w:tcBorders>
              <w:top w:val="nil"/>
              <w:left w:val="nil"/>
              <w:bottom w:val="nil"/>
              <w:right w:val="nil"/>
            </w:tcBorders>
            <w:vAlign w:val="bottom"/>
          </w:tcPr>
          <w:p w14:paraId="4A6CF5D0" w14:textId="080098AC"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57.2</w:t>
            </w:r>
          </w:p>
        </w:tc>
        <w:tc>
          <w:tcPr>
            <w:tcW w:w="880" w:type="dxa"/>
            <w:tcBorders>
              <w:top w:val="nil"/>
              <w:left w:val="nil"/>
              <w:bottom w:val="nil"/>
              <w:right w:val="nil"/>
            </w:tcBorders>
            <w:vAlign w:val="bottom"/>
          </w:tcPr>
          <w:p w14:paraId="511F0F0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99.8</w:t>
            </w:r>
          </w:p>
        </w:tc>
      </w:tr>
      <w:tr w:rsidR="0097639A" w:rsidRPr="0097639A" w14:paraId="57C7C7EB" w14:textId="77777777" w:rsidTr="003417E7">
        <w:trPr>
          <w:trHeight w:val="232"/>
        </w:trPr>
        <w:tc>
          <w:tcPr>
            <w:tcW w:w="881" w:type="dxa"/>
            <w:tcBorders>
              <w:top w:val="nil"/>
              <w:left w:val="nil"/>
              <w:bottom w:val="nil"/>
              <w:right w:val="nil"/>
            </w:tcBorders>
            <w:vAlign w:val="bottom"/>
          </w:tcPr>
          <w:p w14:paraId="4265302C"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3EF5DAEE"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78DCB938"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46BA949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CTGGAGAAGGCATGGACGAG</w:t>
            </w:r>
          </w:p>
        </w:tc>
        <w:tc>
          <w:tcPr>
            <w:tcW w:w="504" w:type="dxa"/>
            <w:tcBorders>
              <w:top w:val="nil"/>
              <w:left w:val="nil"/>
              <w:bottom w:val="nil"/>
              <w:right w:val="nil"/>
            </w:tcBorders>
          </w:tcPr>
          <w:p w14:paraId="7F030AE1"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32C557D8" w14:textId="1DB81FF5"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(0.989)</w:t>
            </w:r>
          </w:p>
        </w:tc>
      </w:tr>
      <w:tr w:rsidR="0097639A" w:rsidRPr="0097639A" w14:paraId="41D40E16" w14:textId="77777777" w:rsidTr="003417E7">
        <w:trPr>
          <w:trHeight w:val="232"/>
        </w:trPr>
        <w:tc>
          <w:tcPr>
            <w:tcW w:w="881" w:type="dxa"/>
            <w:tcBorders>
              <w:top w:val="nil"/>
              <w:left w:val="nil"/>
              <w:bottom w:val="nil"/>
              <w:right w:val="nil"/>
            </w:tcBorders>
            <w:vAlign w:val="bottom"/>
          </w:tcPr>
          <w:p w14:paraId="264D6308" w14:textId="04A37AC8"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DN95780_c0_g1_i1</w:t>
            </w:r>
          </w:p>
        </w:tc>
        <w:tc>
          <w:tcPr>
            <w:tcW w:w="992" w:type="dxa"/>
            <w:tcBorders>
              <w:top w:val="nil"/>
              <w:left w:val="nil"/>
              <w:bottom w:val="nil"/>
              <w:right w:val="nil"/>
            </w:tcBorders>
            <w:vAlign w:val="bottom"/>
          </w:tcPr>
          <w:p w14:paraId="01DCE986"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12F77553" w14:textId="77777777" w:rsidR="0097639A" w:rsidRPr="0097639A" w:rsidRDefault="0097639A" w:rsidP="00DF1EE8">
            <w:pPr>
              <w:autoSpaceDE w:val="0"/>
              <w:autoSpaceDN w:val="0"/>
              <w:adjustRightInd w:val="0"/>
              <w:rPr>
                <w:b/>
                <w:bCs w:val="0"/>
                <w:color w:val="000000"/>
                <w:sz w:val="16"/>
                <w:szCs w:val="16"/>
                <w:lang w:val="en-GB"/>
              </w:rPr>
            </w:pPr>
            <w:proofErr w:type="spellStart"/>
            <w:r w:rsidRPr="0097639A">
              <w:rPr>
                <w:bCs w:val="0"/>
                <w:color w:val="000000"/>
                <w:sz w:val="16"/>
                <w:szCs w:val="16"/>
                <w:lang w:val="en-GB"/>
              </w:rPr>
              <w:t>heme</w:t>
            </w:r>
            <w:proofErr w:type="spellEnd"/>
            <w:r w:rsidRPr="0097639A">
              <w:rPr>
                <w:bCs w:val="0"/>
                <w:color w:val="000000"/>
                <w:sz w:val="16"/>
                <w:szCs w:val="16"/>
                <w:lang w:val="en-GB"/>
              </w:rPr>
              <w:t xml:space="preserve"> oxygenase (HKG)</w:t>
            </w:r>
          </w:p>
        </w:tc>
        <w:tc>
          <w:tcPr>
            <w:tcW w:w="2977" w:type="dxa"/>
            <w:tcBorders>
              <w:top w:val="nil"/>
              <w:left w:val="nil"/>
              <w:bottom w:val="nil"/>
              <w:right w:val="nil"/>
            </w:tcBorders>
            <w:vAlign w:val="bottom"/>
          </w:tcPr>
          <w:p w14:paraId="3A5CBB1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AACCAGAATTACTTGTGTCGCA</w:t>
            </w:r>
          </w:p>
        </w:tc>
        <w:tc>
          <w:tcPr>
            <w:tcW w:w="850" w:type="dxa"/>
            <w:tcBorders>
              <w:top w:val="nil"/>
              <w:left w:val="nil"/>
              <w:bottom w:val="nil"/>
              <w:right w:val="nil"/>
            </w:tcBorders>
            <w:vAlign w:val="bottom"/>
          </w:tcPr>
          <w:p w14:paraId="1282F65E"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117</w:t>
            </w:r>
          </w:p>
        </w:tc>
        <w:tc>
          <w:tcPr>
            <w:tcW w:w="504" w:type="dxa"/>
            <w:tcBorders>
              <w:top w:val="nil"/>
              <w:left w:val="nil"/>
              <w:bottom w:val="nil"/>
              <w:right w:val="nil"/>
            </w:tcBorders>
            <w:vAlign w:val="bottom"/>
          </w:tcPr>
          <w:p w14:paraId="45323BC8" w14:textId="09C77A5B"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55.1</w:t>
            </w:r>
          </w:p>
        </w:tc>
        <w:tc>
          <w:tcPr>
            <w:tcW w:w="880" w:type="dxa"/>
            <w:tcBorders>
              <w:top w:val="nil"/>
              <w:left w:val="nil"/>
              <w:bottom w:val="nil"/>
              <w:right w:val="nil"/>
            </w:tcBorders>
            <w:vAlign w:val="bottom"/>
          </w:tcPr>
          <w:p w14:paraId="332C3402"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96</w:t>
            </w:r>
          </w:p>
        </w:tc>
      </w:tr>
      <w:tr w:rsidR="0097639A" w:rsidRPr="0097639A" w14:paraId="71C6F21C" w14:textId="77777777" w:rsidTr="003417E7">
        <w:trPr>
          <w:trHeight w:val="232"/>
        </w:trPr>
        <w:tc>
          <w:tcPr>
            <w:tcW w:w="881" w:type="dxa"/>
            <w:tcBorders>
              <w:top w:val="nil"/>
              <w:left w:val="nil"/>
              <w:bottom w:val="nil"/>
              <w:right w:val="nil"/>
            </w:tcBorders>
            <w:vAlign w:val="bottom"/>
          </w:tcPr>
          <w:p w14:paraId="7F2D4844"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073A5696"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641871F6" w14:textId="77777777" w:rsidR="0097639A" w:rsidRPr="0097639A" w:rsidRDefault="0097639A" w:rsidP="00DF1EE8">
            <w:pPr>
              <w:autoSpaceDE w:val="0"/>
              <w:autoSpaceDN w:val="0"/>
              <w:adjustRightInd w:val="0"/>
              <w:rPr>
                <w:b/>
                <w:bCs w:val="0"/>
                <w:color w:val="000000"/>
                <w:sz w:val="16"/>
                <w:szCs w:val="16"/>
                <w:lang w:val="en-GB"/>
              </w:rPr>
            </w:pPr>
          </w:p>
        </w:tc>
        <w:tc>
          <w:tcPr>
            <w:tcW w:w="4331" w:type="dxa"/>
            <w:gridSpan w:val="3"/>
            <w:tcBorders>
              <w:top w:val="nil"/>
              <w:left w:val="nil"/>
              <w:bottom w:val="nil"/>
              <w:right w:val="nil"/>
            </w:tcBorders>
          </w:tcPr>
          <w:p w14:paraId="18D8D06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CTGTACCTTCATTGCCAGAAAGT</w:t>
            </w:r>
          </w:p>
        </w:tc>
        <w:tc>
          <w:tcPr>
            <w:tcW w:w="880" w:type="dxa"/>
            <w:tcBorders>
              <w:top w:val="nil"/>
              <w:left w:val="nil"/>
              <w:bottom w:val="nil"/>
              <w:right w:val="nil"/>
            </w:tcBorders>
          </w:tcPr>
          <w:p w14:paraId="78F889AF" w14:textId="3BAEB473"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(0.89)</w:t>
            </w:r>
          </w:p>
        </w:tc>
      </w:tr>
      <w:tr w:rsidR="0097639A" w:rsidRPr="0097639A" w14:paraId="539E90A6" w14:textId="77777777" w:rsidTr="003417E7">
        <w:trPr>
          <w:trHeight w:val="232"/>
        </w:trPr>
        <w:tc>
          <w:tcPr>
            <w:tcW w:w="881" w:type="dxa"/>
            <w:tcBorders>
              <w:top w:val="nil"/>
              <w:left w:val="nil"/>
              <w:bottom w:val="nil"/>
              <w:right w:val="nil"/>
            </w:tcBorders>
            <w:vAlign w:val="bottom"/>
          </w:tcPr>
          <w:p w14:paraId="78431FF8" w14:textId="0EA9F37F"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DN74877_c1_g1_i1</w:t>
            </w:r>
          </w:p>
        </w:tc>
        <w:tc>
          <w:tcPr>
            <w:tcW w:w="992" w:type="dxa"/>
            <w:tcBorders>
              <w:top w:val="nil"/>
              <w:left w:val="nil"/>
              <w:bottom w:val="nil"/>
              <w:right w:val="nil"/>
            </w:tcBorders>
            <w:vAlign w:val="bottom"/>
          </w:tcPr>
          <w:p w14:paraId="422E5A6A"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074F6EF3" w14:textId="4880391D"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GAPDH (</w:t>
            </w:r>
            <w:r w:rsidR="0094341C">
              <w:rPr>
                <w:bCs w:val="0"/>
                <w:color w:val="000000"/>
                <w:sz w:val="16"/>
                <w:szCs w:val="16"/>
                <w:lang w:val="en-GB"/>
              </w:rPr>
              <w:t>GOI</w:t>
            </w:r>
            <w:r w:rsidRPr="0097639A">
              <w:rPr>
                <w:bCs w:val="0"/>
                <w:color w:val="000000"/>
                <w:sz w:val="16"/>
                <w:szCs w:val="16"/>
                <w:lang w:val="en-GB"/>
              </w:rPr>
              <w:t>)</w:t>
            </w:r>
          </w:p>
        </w:tc>
        <w:tc>
          <w:tcPr>
            <w:tcW w:w="2977" w:type="dxa"/>
            <w:tcBorders>
              <w:top w:val="nil"/>
              <w:left w:val="nil"/>
              <w:bottom w:val="nil"/>
              <w:right w:val="nil"/>
            </w:tcBorders>
            <w:vAlign w:val="bottom"/>
          </w:tcPr>
          <w:p w14:paraId="0D601CF9"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TGTCATTGCTGGCGAGGATT</w:t>
            </w:r>
          </w:p>
        </w:tc>
        <w:tc>
          <w:tcPr>
            <w:tcW w:w="850" w:type="dxa"/>
            <w:tcBorders>
              <w:top w:val="nil"/>
              <w:left w:val="nil"/>
              <w:bottom w:val="nil"/>
              <w:right w:val="nil"/>
            </w:tcBorders>
            <w:vAlign w:val="bottom"/>
          </w:tcPr>
          <w:p w14:paraId="3B4434E1"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175</w:t>
            </w:r>
          </w:p>
        </w:tc>
        <w:tc>
          <w:tcPr>
            <w:tcW w:w="504" w:type="dxa"/>
            <w:tcBorders>
              <w:top w:val="nil"/>
              <w:left w:val="nil"/>
              <w:bottom w:val="nil"/>
              <w:right w:val="nil"/>
            </w:tcBorders>
            <w:vAlign w:val="bottom"/>
          </w:tcPr>
          <w:p w14:paraId="42AD6CF6" w14:textId="01B4060B"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59.7</w:t>
            </w:r>
          </w:p>
        </w:tc>
        <w:tc>
          <w:tcPr>
            <w:tcW w:w="880" w:type="dxa"/>
            <w:tcBorders>
              <w:top w:val="nil"/>
              <w:left w:val="nil"/>
              <w:bottom w:val="nil"/>
              <w:right w:val="nil"/>
            </w:tcBorders>
            <w:vAlign w:val="bottom"/>
          </w:tcPr>
          <w:p w14:paraId="1239EF50"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95.5</w:t>
            </w:r>
          </w:p>
        </w:tc>
      </w:tr>
      <w:tr w:rsidR="0097639A" w:rsidRPr="0097639A" w14:paraId="62CBA53D" w14:textId="77777777" w:rsidTr="003417E7">
        <w:trPr>
          <w:trHeight w:val="232"/>
        </w:trPr>
        <w:tc>
          <w:tcPr>
            <w:tcW w:w="881" w:type="dxa"/>
            <w:tcBorders>
              <w:top w:val="nil"/>
              <w:left w:val="nil"/>
              <w:bottom w:val="nil"/>
              <w:right w:val="nil"/>
            </w:tcBorders>
            <w:vAlign w:val="bottom"/>
          </w:tcPr>
          <w:p w14:paraId="0520202D"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3C7F1918"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72F270C7"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59DD71EF"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CTTCGCTCCCGCCTGAATAT</w:t>
            </w:r>
          </w:p>
        </w:tc>
        <w:tc>
          <w:tcPr>
            <w:tcW w:w="504" w:type="dxa"/>
            <w:tcBorders>
              <w:top w:val="nil"/>
              <w:left w:val="nil"/>
              <w:bottom w:val="nil"/>
              <w:right w:val="nil"/>
            </w:tcBorders>
          </w:tcPr>
          <w:p w14:paraId="13151B7F"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2BCC970D" w14:textId="7F0AAA6E"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(0.91)</w:t>
            </w:r>
          </w:p>
        </w:tc>
      </w:tr>
      <w:tr w:rsidR="0097639A" w:rsidRPr="0097639A" w14:paraId="2350D242" w14:textId="77777777" w:rsidTr="003417E7">
        <w:trPr>
          <w:trHeight w:val="232"/>
        </w:trPr>
        <w:tc>
          <w:tcPr>
            <w:tcW w:w="881" w:type="dxa"/>
            <w:tcBorders>
              <w:top w:val="nil"/>
              <w:left w:val="nil"/>
              <w:bottom w:val="nil"/>
              <w:right w:val="nil"/>
            </w:tcBorders>
            <w:vAlign w:val="bottom"/>
          </w:tcPr>
          <w:p w14:paraId="398EF4FF" w14:textId="28EF0264"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DN72227_c0_g4_i1</w:t>
            </w:r>
          </w:p>
        </w:tc>
        <w:tc>
          <w:tcPr>
            <w:tcW w:w="992" w:type="dxa"/>
            <w:tcBorders>
              <w:top w:val="nil"/>
              <w:left w:val="nil"/>
              <w:bottom w:val="nil"/>
              <w:right w:val="nil"/>
            </w:tcBorders>
            <w:vAlign w:val="bottom"/>
          </w:tcPr>
          <w:p w14:paraId="3C599A54"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54824B20"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HSP33 (GOI)</w:t>
            </w:r>
          </w:p>
        </w:tc>
        <w:tc>
          <w:tcPr>
            <w:tcW w:w="2977" w:type="dxa"/>
            <w:tcBorders>
              <w:top w:val="nil"/>
              <w:left w:val="nil"/>
              <w:bottom w:val="nil"/>
              <w:right w:val="nil"/>
            </w:tcBorders>
            <w:vAlign w:val="bottom"/>
          </w:tcPr>
          <w:p w14:paraId="2588F6D3"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AGGTACGAACTTTGCGGTGT</w:t>
            </w:r>
          </w:p>
        </w:tc>
        <w:tc>
          <w:tcPr>
            <w:tcW w:w="850" w:type="dxa"/>
            <w:tcBorders>
              <w:top w:val="nil"/>
              <w:left w:val="nil"/>
              <w:bottom w:val="nil"/>
              <w:right w:val="nil"/>
            </w:tcBorders>
            <w:vAlign w:val="bottom"/>
          </w:tcPr>
          <w:p w14:paraId="1271BB3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166</w:t>
            </w:r>
          </w:p>
        </w:tc>
        <w:tc>
          <w:tcPr>
            <w:tcW w:w="504" w:type="dxa"/>
            <w:tcBorders>
              <w:top w:val="nil"/>
              <w:left w:val="nil"/>
              <w:bottom w:val="nil"/>
              <w:right w:val="nil"/>
            </w:tcBorders>
            <w:vAlign w:val="bottom"/>
          </w:tcPr>
          <w:p w14:paraId="30282085" w14:textId="5D3D97E7"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57.2</w:t>
            </w:r>
          </w:p>
        </w:tc>
        <w:tc>
          <w:tcPr>
            <w:tcW w:w="880" w:type="dxa"/>
            <w:tcBorders>
              <w:top w:val="nil"/>
              <w:left w:val="nil"/>
              <w:bottom w:val="nil"/>
              <w:right w:val="nil"/>
            </w:tcBorders>
            <w:vAlign w:val="bottom"/>
          </w:tcPr>
          <w:p w14:paraId="0E746B9B"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100.1</w:t>
            </w:r>
          </w:p>
        </w:tc>
      </w:tr>
      <w:tr w:rsidR="0097639A" w:rsidRPr="0097639A" w14:paraId="5CD033F6" w14:textId="77777777" w:rsidTr="003417E7">
        <w:trPr>
          <w:trHeight w:val="232"/>
        </w:trPr>
        <w:tc>
          <w:tcPr>
            <w:tcW w:w="881" w:type="dxa"/>
            <w:tcBorders>
              <w:top w:val="nil"/>
              <w:left w:val="nil"/>
              <w:bottom w:val="nil"/>
              <w:right w:val="nil"/>
            </w:tcBorders>
            <w:vAlign w:val="bottom"/>
          </w:tcPr>
          <w:p w14:paraId="6E9EE340"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6080EDB5"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4D2C227A"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3133877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TGCCAAACCCATGCATTTCG</w:t>
            </w:r>
          </w:p>
        </w:tc>
        <w:tc>
          <w:tcPr>
            <w:tcW w:w="504" w:type="dxa"/>
            <w:tcBorders>
              <w:top w:val="nil"/>
              <w:left w:val="nil"/>
              <w:bottom w:val="nil"/>
              <w:right w:val="nil"/>
            </w:tcBorders>
          </w:tcPr>
          <w:p w14:paraId="750AC38D"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38FCFF05" w14:textId="5739322C"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(0.96)</w:t>
            </w:r>
          </w:p>
        </w:tc>
      </w:tr>
      <w:tr w:rsidR="0097639A" w:rsidRPr="0097639A" w14:paraId="647E8988" w14:textId="77777777" w:rsidTr="003417E7">
        <w:trPr>
          <w:trHeight w:val="232"/>
        </w:trPr>
        <w:tc>
          <w:tcPr>
            <w:tcW w:w="881" w:type="dxa"/>
            <w:tcBorders>
              <w:top w:val="nil"/>
              <w:left w:val="nil"/>
              <w:bottom w:val="nil"/>
              <w:right w:val="nil"/>
            </w:tcBorders>
            <w:vAlign w:val="bottom"/>
          </w:tcPr>
          <w:p w14:paraId="3A6659B5" w14:textId="743B7318"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DN73640_c0_g1_i1</w:t>
            </w:r>
          </w:p>
        </w:tc>
        <w:tc>
          <w:tcPr>
            <w:tcW w:w="992" w:type="dxa"/>
            <w:tcBorders>
              <w:top w:val="nil"/>
              <w:left w:val="nil"/>
              <w:bottom w:val="nil"/>
              <w:right w:val="nil"/>
            </w:tcBorders>
            <w:vAlign w:val="bottom"/>
          </w:tcPr>
          <w:p w14:paraId="038C3978"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3585535D"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photosystem II CP47 (GOI)</w:t>
            </w:r>
          </w:p>
        </w:tc>
        <w:tc>
          <w:tcPr>
            <w:tcW w:w="2977" w:type="dxa"/>
            <w:tcBorders>
              <w:top w:val="nil"/>
              <w:left w:val="nil"/>
              <w:bottom w:val="nil"/>
              <w:right w:val="nil"/>
            </w:tcBorders>
            <w:vAlign w:val="bottom"/>
          </w:tcPr>
          <w:p w14:paraId="56DBD50D"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CCTATGGACAAAGGCGATGG</w:t>
            </w:r>
          </w:p>
        </w:tc>
        <w:tc>
          <w:tcPr>
            <w:tcW w:w="850" w:type="dxa"/>
            <w:tcBorders>
              <w:top w:val="nil"/>
              <w:left w:val="nil"/>
              <w:bottom w:val="nil"/>
              <w:right w:val="nil"/>
            </w:tcBorders>
            <w:vAlign w:val="bottom"/>
          </w:tcPr>
          <w:p w14:paraId="4A892B63"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214</w:t>
            </w:r>
          </w:p>
        </w:tc>
        <w:tc>
          <w:tcPr>
            <w:tcW w:w="504" w:type="dxa"/>
            <w:tcBorders>
              <w:top w:val="nil"/>
              <w:left w:val="nil"/>
              <w:bottom w:val="nil"/>
              <w:right w:val="nil"/>
            </w:tcBorders>
            <w:vAlign w:val="bottom"/>
          </w:tcPr>
          <w:p w14:paraId="0B5262BD" w14:textId="7347D26D"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55.1</w:t>
            </w:r>
          </w:p>
        </w:tc>
        <w:tc>
          <w:tcPr>
            <w:tcW w:w="880" w:type="dxa"/>
            <w:tcBorders>
              <w:top w:val="nil"/>
              <w:left w:val="nil"/>
              <w:bottom w:val="nil"/>
              <w:right w:val="nil"/>
            </w:tcBorders>
            <w:vAlign w:val="bottom"/>
          </w:tcPr>
          <w:p w14:paraId="72A2A41B"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95</w:t>
            </w:r>
          </w:p>
        </w:tc>
      </w:tr>
      <w:tr w:rsidR="0097639A" w:rsidRPr="0097639A" w14:paraId="3B8E2741" w14:textId="77777777" w:rsidTr="003417E7">
        <w:trPr>
          <w:trHeight w:val="232"/>
        </w:trPr>
        <w:tc>
          <w:tcPr>
            <w:tcW w:w="881" w:type="dxa"/>
            <w:tcBorders>
              <w:top w:val="nil"/>
              <w:left w:val="nil"/>
              <w:bottom w:val="nil"/>
              <w:right w:val="nil"/>
            </w:tcBorders>
            <w:vAlign w:val="bottom"/>
          </w:tcPr>
          <w:p w14:paraId="656F0BA2"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701E2EE6"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50FA20B8"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26C613B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TGACGCTAACACCAACTTGC</w:t>
            </w:r>
          </w:p>
        </w:tc>
        <w:tc>
          <w:tcPr>
            <w:tcW w:w="504" w:type="dxa"/>
            <w:tcBorders>
              <w:top w:val="nil"/>
              <w:left w:val="nil"/>
              <w:bottom w:val="nil"/>
              <w:right w:val="nil"/>
            </w:tcBorders>
          </w:tcPr>
          <w:p w14:paraId="5E1D96FF"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3036A614" w14:textId="4846B7B2"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(0.99)</w:t>
            </w:r>
          </w:p>
        </w:tc>
      </w:tr>
      <w:tr w:rsidR="0097639A" w:rsidRPr="0097639A" w14:paraId="618CF000" w14:textId="77777777" w:rsidTr="003417E7">
        <w:trPr>
          <w:trHeight w:val="232"/>
        </w:trPr>
        <w:tc>
          <w:tcPr>
            <w:tcW w:w="881" w:type="dxa"/>
            <w:tcBorders>
              <w:top w:val="nil"/>
              <w:left w:val="nil"/>
              <w:bottom w:val="nil"/>
              <w:right w:val="nil"/>
            </w:tcBorders>
            <w:vAlign w:val="bottom"/>
          </w:tcPr>
          <w:p w14:paraId="5784C838" w14:textId="27BB4579"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DN71939_c0_g6_i1</w:t>
            </w:r>
          </w:p>
        </w:tc>
        <w:tc>
          <w:tcPr>
            <w:tcW w:w="992" w:type="dxa"/>
            <w:tcBorders>
              <w:top w:val="nil"/>
              <w:left w:val="nil"/>
              <w:bottom w:val="nil"/>
              <w:right w:val="nil"/>
            </w:tcBorders>
            <w:vAlign w:val="bottom"/>
          </w:tcPr>
          <w:p w14:paraId="1C0203DB"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145AB789"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acetyl-CoA (GOI)</w:t>
            </w:r>
          </w:p>
        </w:tc>
        <w:tc>
          <w:tcPr>
            <w:tcW w:w="2977" w:type="dxa"/>
            <w:tcBorders>
              <w:top w:val="nil"/>
              <w:left w:val="nil"/>
              <w:bottom w:val="nil"/>
              <w:right w:val="nil"/>
            </w:tcBorders>
            <w:vAlign w:val="bottom"/>
          </w:tcPr>
          <w:p w14:paraId="773FC77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ACTCCAACTTCAAACGTGCG</w:t>
            </w:r>
          </w:p>
        </w:tc>
        <w:tc>
          <w:tcPr>
            <w:tcW w:w="850" w:type="dxa"/>
            <w:tcBorders>
              <w:top w:val="nil"/>
              <w:left w:val="nil"/>
              <w:bottom w:val="nil"/>
              <w:right w:val="nil"/>
            </w:tcBorders>
            <w:vAlign w:val="bottom"/>
          </w:tcPr>
          <w:p w14:paraId="64D482D0"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224</w:t>
            </w:r>
          </w:p>
        </w:tc>
        <w:tc>
          <w:tcPr>
            <w:tcW w:w="504" w:type="dxa"/>
            <w:tcBorders>
              <w:top w:val="nil"/>
              <w:left w:val="nil"/>
              <w:bottom w:val="nil"/>
              <w:right w:val="nil"/>
            </w:tcBorders>
            <w:vAlign w:val="bottom"/>
          </w:tcPr>
          <w:p w14:paraId="47AB4A31" w14:textId="00537E05"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59.7</w:t>
            </w:r>
          </w:p>
        </w:tc>
        <w:tc>
          <w:tcPr>
            <w:tcW w:w="880" w:type="dxa"/>
            <w:tcBorders>
              <w:top w:val="nil"/>
              <w:left w:val="nil"/>
              <w:bottom w:val="nil"/>
              <w:right w:val="nil"/>
            </w:tcBorders>
            <w:vAlign w:val="bottom"/>
          </w:tcPr>
          <w:p w14:paraId="114A117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120.5</w:t>
            </w:r>
          </w:p>
        </w:tc>
      </w:tr>
      <w:tr w:rsidR="0097639A" w:rsidRPr="0097639A" w14:paraId="711DC505" w14:textId="77777777" w:rsidTr="003417E7">
        <w:trPr>
          <w:trHeight w:val="232"/>
        </w:trPr>
        <w:tc>
          <w:tcPr>
            <w:tcW w:w="881" w:type="dxa"/>
            <w:tcBorders>
              <w:top w:val="nil"/>
              <w:left w:val="nil"/>
              <w:bottom w:val="nil"/>
              <w:right w:val="nil"/>
            </w:tcBorders>
            <w:vAlign w:val="bottom"/>
          </w:tcPr>
          <w:p w14:paraId="76E00DCF"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0C7EA7ED"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71FCEDF6"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0F41DF6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ATCCACATTCACAGCACCGT</w:t>
            </w:r>
          </w:p>
        </w:tc>
        <w:tc>
          <w:tcPr>
            <w:tcW w:w="504" w:type="dxa"/>
            <w:tcBorders>
              <w:top w:val="nil"/>
              <w:left w:val="nil"/>
              <w:bottom w:val="nil"/>
              <w:right w:val="nil"/>
            </w:tcBorders>
          </w:tcPr>
          <w:p w14:paraId="399EDF09"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1EDF21BB" w14:textId="560E8BDE"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(0.87)</w:t>
            </w:r>
          </w:p>
        </w:tc>
      </w:tr>
      <w:tr w:rsidR="0097639A" w:rsidRPr="0097639A" w14:paraId="4EFBDF31" w14:textId="77777777" w:rsidTr="003417E7">
        <w:trPr>
          <w:trHeight w:val="232"/>
        </w:trPr>
        <w:tc>
          <w:tcPr>
            <w:tcW w:w="881" w:type="dxa"/>
            <w:tcBorders>
              <w:top w:val="nil"/>
              <w:left w:val="nil"/>
              <w:bottom w:val="nil"/>
              <w:right w:val="nil"/>
            </w:tcBorders>
            <w:vAlign w:val="bottom"/>
          </w:tcPr>
          <w:p w14:paraId="1E1C329A" w14:textId="56650035"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DN73238_c10_g1_i1</w:t>
            </w:r>
          </w:p>
        </w:tc>
        <w:tc>
          <w:tcPr>
            <w:tcW w:w="992" w:type="dxa"/>
            <w:tcBorders>
              <w:top w:val="nil"/>
              <w:left w:val="nil"/>
              <w:bottom w:val="nil"/>
              <w:right w:val="nil"/>
            </w:tcBorders>
            <w:vAlign w:val="bottom"/>
          </w:tcPr>
          <w:p w14:paraId="3ACDF312"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Porolithon </w:t>
            </w:r>
            <w:r w:rsidRPr="0097639A">
              <w:rPr>
                <w:bCs w:val="0"/>
                <w:color w:val="000000"/>
                <w:sz w:val="16"/>
                <w:szCs w:val="16"/>
                <w:lang w:val="en-GB"/>
              </w:rPr>
              <w:t>cf.</w:t>
            </w:r>
            <w:r w:rsidRPr="0097639A">
              <w:rPr>
                <w:bCs w:val="0"/>
                <w:i/>
                <w:iCs/>
                <w:color w:val="000000"/>
                <w:sz w:val="16"/>
                <w:szCs w:val="16"/>
                <w:lang w:val="en-GB"/>
              </w:rPr>
              <w:t xml:space="preserve"> onkodes</w:t>
            </w:r>
          </w:p>
        </w:tc>
        <w:tc>
          <w:tcPr>
            <w:tcW w:w="1276" w:type="dxa"/>
            <w:tcBorders>
              <w:top w:val="nil"/>
              <w:left w:val="nil"/>
              <w:bottom w:val="nil"/>
              <w:right w:val="nil"/>
            </w:tcBorders>
            <w:vAlign w:val="bottom"/>
          </w:tcPr>
          <w:p w14:paraId="09F2CB11"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 xml:space="preserve">ferritin-3, </w:t>
            </w:r>
            <w:proofErr w:type="spellStart"/>
            <w:r w:rsidRPr="0097639A">
              <w:rPr>
                <w:bCs w:val="0"/>
                <w:color w:val="000000"/>
                <w:sz w:val="16"/>
                <w:szCs w:val="16"/>
                <w:lang w:val="en-GB"/>
              </w:rPr>
              <w:t>chloroplastic</w:t>
            </w:r>
            <w:proofErr w:type="spellEnd"/>
            <w:r w:rsidRPr="0097639A">
              <w:rPr>
                <w:bCs w:val="0"/>
                <w:color w:val="000000"/>
                <w:sz w:val="16"/>
                <w:szCs w:val="16"/>
                <w:lang w:val="en-GB"/>
              </w:rPr>
              <w:t xml:space="preserve"> (GOI)</w:t>
            </w:r>
          </w:p>
        </w:tc>
        <w:tc>
          <w:tcPr>
            <w:tcW w:w="2977" w:type="dxa"/>
            <w:tcBorders>
              <w:top w:val="nil"/>
              <w:left w:val="nil"/>
              <w:bottom w:val="nil"/>
              <w:right w:val="nil"/>
            </w:tcBorders>
            <w:vAlign w:val="bottom"/>
          </w:tcPr>
          <w:p w14:paraId="4264F04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ATCCACCTTCACAAGCCGAC</w:t>
            </w:r>
          </w:p>
        </w:tc>
        <w:tc>
          <w:tcPr>
            <w:tcW w:w="850" w:type="dxa"/>
            <w:tcBorders>
              <w:top w:val="nil"/>
              <w:left w:val="nil"/>
              <w:bottom w:val="nil"/>
              <w:right w:val="nil"/>
            </w:tcBorders>
            <w:vAlign w:val="bottom"/>
          </w:tcPr>
          <w:p w14:paraId="3562372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154</w:t>
            </w:r>
          </w:p>
        </w:tc>
        <w:tc>
          <w:tcPr>
            <w:tcW w:w="504" w:type="dxa"/>
            <w:tcBorders>
              <w:top w:val="nil"/>
              <w:left w:val="nil"/>
              <w:bottom w:val="nil"/>
              <w:right w:val="nil"/>
            </w:tcBorders>
            <w:vAlign w:val="bottom"/>
          </w:tcPr>
          <w:p w14:paraId="13EB5DFE" w14:textId="70540424"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64</w:t>
            </w:r>
          </w:p>
        </w:tc>
        <w:tc>
          <w:tcPr>
            <w:tcW w:w="880" w:type="dxa"/>
            <w:tcBorders>
              <w:top w:val="nil"/>
              <w:left w:val="nil"/>
              <w:bottom w:val="nil"/>
              <w:right w:val="nil"/>
            </w:tcBorders>
            <w:vAlign w:val="bottom"/>
          </w:tcPr>
          <w:p w14:paraId="478185EE"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85.4</w:t>
            </w:r>
          </w:p>
        </w:tc>
      </w:tr>
      <w:tr w:rsidR="0097639A" w:rsidRPr="0097639A" w14:paraId="21105F2A" w14:textId="77777777" w:rsidTr="003417E7">
        <w:trPr>
          <w:trHeight w:val="232"/>
        </w:trPr>
        <w:tc>
          <w:tcPr>
            <w:tcW w:w="881" w:type="dxa"/>
            <w:tcBorders>
              <w:top w:val="nil"/>
              <w:left w:val="nil"/>
              <w:bottom w:val="nil"/>
              <w:right w:val="nil"/>
            </w:tcBorders>
            <w:vAlign w:val="bottom"/>
          </w:tcPr>
          <w:p w14:paraId="2FAE2B93"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47CA78E6" w14:textId="77777777" w:rsidR="0097639A" w:rsidRPr="0097639A" w:rsidRDefault="0097639A" w:rsidP="00DF1EE8">
            <w:pPr>
              <w:autoSpaceDE w:val="0"/>
              <w:autoSpaceDN w:val="0"/>
              <w:adjustRightInd w:val="0"/>
              <w:rPr>
                <w:b/>
                <w:bCs w:val="0"/>
                <w:color w:val="000000"/>
                <w:sz w:val="16"/>
                <w:szCs w:val="16"/>
                <w:lang w:val="en-GB"/>
              </w:rPr>
            </w:pPr>
          </w:p>
        </w:tc>
        <w:tc>
          <w:tcPr>
            <w:tcW w:w="1276" w:type="dxa"/>
            <w:tcBorders>
              <w:top w:val="nil"/>
              <w:left w:val="nil"/>
              <w:bottom w:val="nil"/>
              <w:right w:val="nil"/>
            </w:tcBorders>
            <w:vAlign w:val="bottom"/>
          </w:tcPr>
          <w:p w14:paraId="3D8CE8DF"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61CE7A4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AACGAAAACGAGCCCTGACA</w:t>
            </w:r>
          </w:p>
        </w:tc>
        <w:tc>
          <w:tcPr>
            <w:tcW w:w="504" w:type="dxa"/>
            <w:tcBorders>
              <w:top w:val="nil"/>
              <w:left w:val="nil"/>
              <w:bottom w:val="nil"/>
              <w:right w:val="nil"/>
            </w:tcBorders>
          </w:tcPr>
          <w:p w14:paraId="236D8128"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3B009993" w14:textId="0C19E950"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w:t>
            </w:r>
            <w:r w:rsidR="00752E49">
              <w:rPr>
                <w:bCs w:val="0"/>
                <w:color w:val="000000"/>
                <w:sz w:val="16"/>
                <w:szCs w:val="16"/>
                <w:lang w:val="en-GB"/>
              </w:rPr>
              <w:t>9</w:t>
            </w:r>
            <w:r w:rsidRPr="0097639A">
              <w:rPr>
                <w:bCs w:val="0"/>
                <w:color w:val="000000"/>
                <w:sz w:val="16"/>
                <w:szCs w:val="16"/>
                <w:lang w:val="en-GB"/>
              </w:rPr>
              <w:t>)</w:t>
            </w:r>
          </w:p>
        </w:tc>
      </w:tr>
      <w:tr w:rsidR="0097639A" w:rsidRPr="0097639A" w14:paraId="477FCB77" w14:textId="77777777" w:rsidTr="003417E7">
        <w:trPr>
          <w:trHeight w:val="232"/>
        </w:trPr>
        <w:tc>
          <w:tcPr>
            <w:tcW w:w="881" w:type="dxa"/>
            <w:tcBorders>
              <w:top w:val="nil"/>
              <w:left w:val="nil"/>
              <w:bottom w:val="nil"/>
              <w:right w:val="nil"/>
            </w:tcBorders>
            <w:vAlign w:val="bottom"/>
          </w:tcPr>
          <w:p w14:paraId="0C1FA208" w14:textId="7BC5D581"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DN199936_c0_g1_i2</w:t>
            </w:r>
          </w:p>
        </w:tc>
        <w:tc>
          <w:tcPr>
            <w:tcW w:w="992" w:type="dxa"/>
            <w:tcBorders>
              <w:top w:val="nil"/>
              <w:left w:val="nil"/>
              <w:bottom w:val="nil"/>
              <w:right w:val="nil"/>
            </w:tcBorders>
            <w:vAlign w:val="bottom"/>
          </w:tcPr>
          <w:p w14:paraId="3497C33B"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Sporolithon </w:t>
            </w:r>
            <w:r w:rsidRPr="0097639A">
              <w:rPr>
                <w:bCs w:val="0"/>
                <w:color w:val="000000"/>
                <w:sz w:val="16"/>
                <w:szCs w:val="16"/>
                <w:lang w:val="en-GB"/>
              </w:rPr>
              <w:t xml:space="preserve">cf. </w:t>
            </w:r>
            <w:r w:rsidRPr="0097639A">
              <w:rPr>
                <w:bCs w:val="0"/>
                <w:i/>
                <w:iCs/>
                <w:color w:val="000000"/>
                <w:sz w:val="16"/>
                <w:szCs w:val="16"/>
                <w:lang w:val="en-GB"/>
              </w:rPr>
              <w:t>durum</w:t>
            </w:r>
          </w:p>
        </w:tc>
        <w:tc>
          <w:tcPr>
            <w:tcW w:w="1276" w:type="dxa"/>
            <w:tcBorders>
              <w:top w:val="nil"/>
              <w:left w:val="nil"/>
              <w:bottom w:val="nil"/>
              <w:right w:val="nil"/>
            </w:tcBorders>
            <w:vAlign w:val="bottom"/>
          </w:tcPr>
          <w:p w14:paraId="3D297C5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GAPDH (HKG)</w:t>
            </w:r>
          </w:p>
        </w:tc>
        <w:tc>
          <w:tcPr>
            <w:tcW w:w="2977" w:type="dxa"/>
            <w:tcBorders>
              <w:top w:val="nil"/>
              <w:left w:val="nil"/>
              <w:bottom w:val="nil"/>
              <w:right w:val="nil"/>
            </w:tcBorders>
            <w:vAlign w:val="bottom"/>
          </w:tcPr>
          <w:p w14:paraId="7B94ABA9"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ACAACTCGCAGGAAAGCTCA</w:t>
            </w:r>
          </w:p>
        </w:tc>
        <w:tc>
          <w:tcPr>
            <w:tcW w:w="850" w:type="dxa"/>
            <w:tcBorders>
              <w:top w:val="nil"/>
              <w:left w:val="nil"/>
              <w:bottom w:val="nil"/>
              <w:right w:val="nil"/>
            </w:tcBorders>
            <w:vAlign w:val="bottom"/>
          </w:tcPr>
          <w:p w14:paraId="118A7539"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212</w:t>
            </w:r>
          </w:p>
        </w:tc>
        <w:tc>
          <w:tcPr>
            <w:tcW w:w="504" w:type="dxa"/>
            <w:tcBorders>
              <w:top w:val="nil"/>
              <w:left w:val="nil"/>
              <w:bottom w:val="nil"/>
              <w:right w:val="nil"/>
            </w:tcBorders>
            <w:vAlign w:val="bottom"/>
          </w:tcPr>
          <w:p w14:paraId="07BFC4E2" w14:textId="19AAD3FF"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55.1</w:t>
            </w:r>
          </w:p>
        </w:tc>
        <w:tc>
          <w:tcPr>
            <w:tcW w:w="880" w:type="dxa"/>
            <w:tcBorders>
              <w:top w:val="nil"/>
              <w:left w:val="nil"/>
              <w:bottom w:val="nil"/>
              <w:right w:val="nil"/>
            </w:tcBorders>
            <w:vAlign w:val="bottom"/>
          </w:tcPr>
          <w:p w14:paraId="62F0B5E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120</w:t>
            </w:r>
          </w:p>
        </w:tc>
      </w:tr>
      <w:tr w:rsidR="0097639A" w:rsidRPr="0097639A" w14:paraId="5A2A6D51" w14:textId="77777777" w:rsidTr="003417E7">
        <w:trPr>
          <w:trHeight w:val="232"/>
        </w:trPr>
        <w:tc>
          <w:tcPr>
            <w:tcW w:w="881" w:type="dxa"/>
            <w:tcBorders>
              <w:top w:val="nil"/>
              <w:left w:val="nil"/>
              <w:bottom w:val="nil"/>
              <w:right w:val="nil"/>
            </w:tcBorders>
            <w:vAlign w:val="bottom"/>
          </w:tcPr>
          <w:p w14:paraId="0CAD7EEF"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76EB3D1C" w14:textId="77777777" w:rsidR="0097639A" w:rsidRPr="0097639A" w:rsidRDefault="0097639A" w:rsidP="00DF1EE8">
            <w:pPr>
              <w:autoSpaceDE w:val="0"/>
              <w:autoSpaceDN w:val="0"/>
              <w:adjustRightInd w:val="0"/>
              <w:rPr>
                <w:b/>
                <w:bCs w:val="0"/>
                <w:i/>
                <w:iCs/>
                <w:color w:val="000000"/>
                <w:sz w:val="16"/>
                <w:szCs w:val="16"/>
                <w:lang w:val="en-GB"/>
              </w:rPr>
            </w:pPr>
          </w:p>
        </w:tc>
        <w:tc>
          <w:tcPr>
            <w:tcW w:w="1276" w:type="dxa"/>
            <w:tcBorders>
              <w:top w:val="nil"/>
              <w:left w:val="nil"/>
              <w:bottom w:val="nil"/>
              <w:right w:val="nil"/>
            </w:tcBorders>
            <w:vAlign w:val="bottom"/>
          </w:tcPr>
          <w:p w14:paraId="39945468"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0A76EFB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TGCTTTCATCGGTGCCCTTA</w:t>
            </w:r>
          </w:p>
        </w:tc>
        <w:tc>
          <w:tcPr>
            <w:tcW w:w="504" w:type="dxa"/>
            <w:tcBorders>
              <w:top w:val="nil"/>
              <w:left w:val="nil"/>
              <w:bottom w:val="nil"/>
              <w:right w:val="nil"/>
            </w:tcBorders>
          </w:tcPr>
          <w:p w14:paraId="5769B566"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0D60EB2A" w14:textId="0BD3D38F" w:rsidR="0097639A" w:rsidRPr="0097639A" w:rsidRDefault="00752E49" w:rsidP="00DF1EE8">
            <w:pPr>
              <w:autoSpaceDE w:val="0"/>
              <w:autoSpaceDN w:val="0"/>
              <w:adjustRightInd w:val="0"/>
              <w:rPr>
                <w:b/>
                <w:bCs w:val="0"/>
                <w:color w:val="000000"/>
                <w:sz w:val="16"/>
                <w:szCs w:val="16"/>
                <w:lang w:val="en-GB"/>
              </w:rPr>
            </w:pPr>
            <w:r>
              <w:rPr>
                <w:bCs w:val="0"/>
                <w:color w:val="000000"/>
                <w:sz w:val="16"/>
                <w:szCs w:val="16"/>
                <w:lang w:val="en-GB"/>
              </w:rPr>
              <w:t>(</w:t>
            </w:r>
            <w:r w:rsidR="0097639A" w:rsidRPr="0097639A">
              <w:rPr>
                <w:bCs w:val="0"/>
                <w:color w:val="000000"/>
                <w:sz w:val="16"/>
                <w:szCs w:val="16"/>
                <w:lang w:val="en-GB"/>
              </w:rPr>
              <w:t>0.99</w:t>
            </w:r>
            <w:r>
              <w:rPr>
                <w:bCs w:val="0"/>
                <w:color w:val="000000"/>
                <w:sz w:val="16"/>
                <w:szCs w:val="16"/>
                <w:lang w:val="en-GB"/>
              </w:rPr>
              <w:t>)</w:t>
            </w:r>
          </w:p>
        </w:tc>
      </w:tr>
      <w:tr w:rsidR="0097639A" w:rsidRPr="0097639A" w14:paraId="0AE95DD0" w14:textId="77777777" w:rsidTr="003417E7">
        <w:trPr>
          <w:trHeight w:val="232"/>
        </w:trPr>
        <w:tc>
          <w:tcPr>
            <w:tcW w:w="881" w:type="dxa"/>
            <w:tcBorders>
              <w:top w:val="nil"/>
              <w:left w:val="nil"/>
              <w:bottom w:val="nil"/>
              <w:right w:val="nil"/>
            </w:tcBorders>
            <w:vAlign w:val="bottom"/>
          </w:tcPr>
          <w:p w14:paraId="28B0AC12" w14:textId="6F9CB769"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lastRenderedPageBreak/>
              <w:t>DN198856_c0_g2_i4</w:t>
            </w:r>
          </w:p>
        </w:tc>
        <w:tc>
          <w:tcPr>
            <w:tcW w:w="992" w:type="dxa"/>
            <w:tcBorders>
              <w:top w:val="nil"/>
              <w:left w:val="nil"/>
              <w:bottom w:val="nil"/>
              <w:right w:val="nil"/>
            </w:tcBorders>
            <w:vAlign w:val="bottom"/>
          </w:tcPr>
          <w:p w14:paraId="1CC5FABE"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Sporolithon </w:t>
            </w:r>
            <w:r w:rsidRPr="0097639A">
              <w:rPr>
                <w:bCs w:val="0"/>
                <w:color w:val="000000"/>
                <w:sz w:val="16"/>
                <w:szCs w:val="16"/>
                <w:lang w:val="en-GB"/>
              </w:rPr>
              <w:t xml:space="preserve">cf. </w:t>
            </w:r>
            <w:r w:rsidRPr="0097639A">
              <w:rPr>
                <w:bCs w:val="0"/>
                <w:i/>
                <w:iCs/>
                <w:color w:val="000000"/>
                <w:sz w:val="16"/>
                <w:szCs w:val="16"/>
                <w:lang w:val="en-GB"/>
              </w:rPr>
              <w:t>durum</w:t>
            </w:r>
          </w:p>
        </w:tc>
        <w:tc>
          <w:tcPr>
            <w:tcW w:w="1276" w:type="dxa"/>
            <w:tcBorders>
              <w:top w:val="nil"/>
              <w:left w:val="nil"/>
              <w:bottom w:val="nil"/>
              <w:right w:val="nil"/>
            </w:tcBorders>
            <w:vAlign w:val="bottom"/>
          </w:tcPr>
          <w:p w14:paraId="72311A72" w14:textId="42A09211"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serine/threonin</w:t>
            </w:r>
            <w:r w:rsidR="00CD7953">
              <w:rPr>
                <w:bCs w:val="0"/>
                <w:color w:val="000000"/>
                <w:sz w:val="16"/>
                <w:szCs w:val="16"/>
                <w:lang w:val="en-GB"/>
              </w:rPr>
              <w:t>e</w:t>
            </w:r>
            <w:r w:rsidRPr="0097639A">
              <w:rPr>
                <w:bCs w:val="0"/>
                <w:color w:val="000000"/>
                <w:sz w:val="16"/>
                <w:szCs w:val="16"/>
                <w:lang w:val="en-GB"/>
              </w:rPr>
              <w:t xml:space="preserve"> protein phosphatase (GOI)</w:t>
            </w:r>
          </w:p>
        </w:tc>
        <w:tc>
          <w:tcPr>
            <w:tcW w:w="2977" w:type="dxa"/>
            <w:tcBorders>
              <w:top w:val="nil"/>
              <w:left w:val="nil"/>
              <w:bottom w:val="nil"/>
              <w:right w:val="nil"/>
            </w:tcBorders>
            <w:vAlign w:val="bottom"/>
          </w:tcPr>
          <w:p w14:paraId="60D075EE"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ATGCAGGCCCTTGAGTTTGT</w:t>
            </w:r>
          </w:p>
        </w:tc>
        <w:tc>
          <w:tcPr>
            <w:tcW w:w="850" w:type="dxa"/>
            <w:tcBorders>
              <w:top w:val="nil"/>
              <w:left w:val="nil"/>
              <w:bottom w:val="nil"/>
              <w:right w:val="nil"/>
            </w:tcBorders>
            <w:vAlign w:val="bottom"/>
          </w:tcPr>
          <w:p w14:paraId="384928AB"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241</w:t>
            </w:r>
          </w:p>
        </w:tc>
        <w:tc>
          <w:tcPr>
            <w:tcW w:w="504" w:type="dxa"/>
            <w:tcBorders>
              <w:top w:val="nil"/>
              <w:left w:val="nil"/>
              <w:bottom w:val="nil"/>
              <w:right w:val="nil"/>
            </w:tcBorders>
            <w:vAlign w:val="bottom"/>
          </w:tcPr>
          <w:p w14:paraId="69A9EF9A" w14:textId="65A91C3C" w:rsidR="0097639A" w:rsidRPr="0097639A" w:rsidRDefault="00563A4C" w:rsidP="00DF1EE8">
            <w:pPr>
              <w:autoSpaceDE w:val="0"/>
              <w:autoSpaceDN w:val="0"/>
              <w:adjustRightInd w:val="0"/>
              <w:rPr>
                <w:b/>
                <w:bCs w:val="0"/>
                <w:color w:val="000000"/>
                <w:sz w:val="16"/>
                <w:szCs w:val="16"/>
                <w:lang w:val="en-GB"/>
              </w:rPr>
            </w:pPr>
            <w:r>
              <w:rPr>
                <w:bCs w:val="0"/>
                <w:color w:val="000000"/>
                <w:sz w:val="16"/>
                <w:szCs w:val="16"/>
                <w:lang w:val="en-GB"/>
              </w:rPr>
              <w:t>64</w:t>
            </w:r>
          </w:p>
        </w:tc>
        <w:tc>
          <w:tcPr>
            <w:tcW w:w="880" w:type="dxa"/>
            <w:tcBorders>
              <w:top w:val="nil"/>
              <w:left w:val="nil"/>
              <w:bottom w:val="nil"/>
              <w:right w:val="nil"/>
            </w:tcBorders>
            <w:vAlign w:val="bottom"/>
          </w:tcPr>
          <w:p w14:paraId="3759CBB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109</w:t>
            </w:r>
          </w:p>
        </w:tc>
      </w:tr>
      <w:tr w:rsidR="0097639A" w:rsidRPr="0097639A" w14:paraId="13266C4F" w14:textId="77777777" w:rsidTr="003417E7">
        <w:trPr>
          <w:trHeight w:val="232"/>
        </w:trPr>
        <w:tc>
          <w:tcPr>
            <w:tcW w:w="881" w:type="dxa"/>
            <w:tcBorders>
              <w:top w:val="nil"/>
              <w:left w:val="nil"/>
              <w:bottom w:val="nil"/>
              <w:right w:val="nil"/>
            </w:tcBorders>
            <w:vAlign w:val="bottom"/>
          </w:tcPr>
          <w:p w14:paraId="35C0B3BA"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3CBBC521" w14:textId="77777777" w:rsidR="0097639A" w:rsidRPr="0097639A" w:rsidRDefault="0097639A" w:rsidP="00DF1EE8">
            <w:pPr>
              <w:autoSpaceDE w:val="0"/>
              <w:autoSpaceDN w:val="0"/>
              <w:adjustRightInd w:val="0"/>
              <w:rPr>
                <w:b/>
                <w:bCs w:val="0"/>
                <w:i/>
                <w:iCs/>
                <w:color w:val="000000"/>
                <w:sz w:val="16"/>
                <w:szCs w:val="16"/>
                <w:lang w:val="en-GB"/>
              </w:rPr>
            </w:pPr>
          </w:p>
        </w:tc>
        <w:tc>
          <w:tcPr>
            <w:tcW w:w="1276" w:type="dxa"/>
            <w:tcBorders>
              <w:top w:val="nil"/>
              <w:left w:val="nil"/>
              <w:bottom w:val="nil"/>
              <w:right w:val="nil"/>
            </w:tcBorders>
            <w:vAlign w:val="bottom"/>
          </w:tcPr>
          <w:p w14:paraId="0A8665AC"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60F7336D"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TGATACCGTTGCTCTGCCAG</w:t>
            </w:r>
          </w:p>
        </w:tc>
        <w:tc>
          <w:tcPr>
            <w:tcW w:w="504" w:type="dxa"/>
            <w:tcBorders>
              <w:top w:val="nil"/>
              <w:left w:val="nil"/>
              <w:bottom w:val="nil"/>
              <w:right w:val="nil"/>
            </w:tcBorders>
          </w:tcPr>
          <w:p w14:paraId="7B3BA3AA"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3A02A951"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(-0.90)</w:t>
            </w:r>
          </w:p>
        </w:tc>
      </w:tr>
      <w:tr w:rsidR="0097639A" w:rsidRPr="0097639A" w14:paraId="025C3A1A" w14:textId="77777777" w:rsidTr="003417E7">
        <w:trPr>
          <w:trHeight w:val="232"/>
        </w:trPr>
        <w:tc>
          <w:tcPr>
            <w:tcW w:w="881" w:type="dxa"/>
            <w:tcBorders>
              <w:top w:val="nil"/>
              <w:left w:val="nil"/>
              <w:bottom w:val="nil"/>
              <w:right w:val="nil"/>
            </w:tcBorders>
            <w:vAlign w:val="bottom"/>
          </w:tcPr>
          <w:p w14:paraId="4415CB0C" w14:textId="6A353998"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DN199578_c0_g1_i2</w:t>
            </w:r>
          </w:p>
        </w:tc>
        <w:tc>
          <w:tcPr>
            <w:tcW w:w="992" w:type="dxa"/>
            <w:tcBorders>
              <w:top w:val="nil"/>
              <w:left w:val="nil"/>
              <w:bottom w:val="nil"/>
              <w:right w:val="nil"/>
            </w:tcBorders>
            <w:vAlign w:val="bottom"/>
          </w:tcPr>
          <w:p w14:paraId="131B559E"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Sporolithon </w:t>
            </w:r>
            <w:r w:rsidRPr="0097639A">
              <w:rPr>
                <w:bCs w:val="0"/>
                <w:color w:val="000000"/>
                <w:sz w:val="16"/>
                <w:szCs w:val="16"/>
                <w:lang w:val="en-GB"/>
              </w:rPr>
              <w:t xml:space="preserve">cf. </w:t>
            </w:r>
            <w:r w:rsidRPr="0097639A">
              <w:rPr>
                <w:bCs w:val="0"/>
                <w:i/>
                <w:iCs/>
                <w:color w:val="000000"/>
                <w:sz w:val="16"/>
                <w:szCs w:val="16"/>
                <w:lang w:val="en-GB"/>
              </w:rPr>
              <w:t>durum</w:t>
            </w:r>
          </w:p>
        </w:tc>
        <w:tc>
          <w:tcPr>
            <w:tcW w:w="1276" w:type="dxa"/>
            <w:tcBorders>
              <w:top w:val="nil"/>
              <w:left w:val="nil"/>
              <w:bottom w:val="nil"/>
              <w:right w:val="nil"/>
            </w:tcBorders>
            <w:vAlign w:val="bottom"/>
          </w:tcPr>
          <w:p w14:paraId="1AB0421A"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acetyl-CoA (GOI)</w:t>
            </w:r>
          </w:p>
        </w:tc>
        <w:tc>
          <w:tcPr>
            <w:tcW w:w="2977" w:type="dxa"/>
            <w:tcBorders>
              <w:top w:val="nil"/>
              <w:left w:val="nil"/>
              <w:bottom w:val="nil"/>
              <w:right w:val="nil"/>
            </w:tcBorders>
            <w:vAlign w:val="bottom"/>
          </w:tcPr>
          <w:p w14:paraId="76E49FA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AGACGGTGCAGTTGGAGATC</w:t>
            </w:r>
          </w:p>
        </w:tc>
        <w:tc>
          <w:tcPr>
            <w:tcW w:w="850" w:type="dxa"/>
            <w:tcBorders>
              <w:top w:val="nil"/>
              <w:left w:val="nil"/>
              <w:bottom w:val="nil"/>
              <w:right w:val="nil"/>
            </w:tcBorders>
            <w:vAlign w:val="bottom"/>
          </w:tcPr>
          <w:p w14:paraId="3BCDE36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219</w:t>
            </w:r>
          </w:p>
        </w:tc>
        <w:tc>
          <w:tcPr>
            <w:tcW w:w="504" w:type="dxa"/>
            <w:tcBorders>
              <w:top w:val="nil"/>
              <w:left w:val="nil"/>
              <w:bottom w:val="nil"/>
              <w:right w:val="nil"/>
            </w:tcBorders>
            <w:vAlign w:val="bottom"/>
          </w:tcPr>
          <w:p w14:paraId="649A7595" w14:textId="2062C166" w:rsidR="0097639A" w:rsidRPr="0097639A" w:rsidRDefault="004B7958" w:rsidP="00DF1EE8">
            <w:pPr>
              <w:autoSpaceDE w:val="0"/>
              <w:autoSpaceDN w:val="0"/>
              <w:adjustRightInd w:val="0"/>
              <w:rPr>
                <w:b/>
                <w:bCs w:val="0"/>
                <w:color w:val="000000"/>
                <w:sz w:val="16"/>
                <w:szCs w:val="16"/>
                <w:lang w:val="en-GB"/>
              </w:rPr>
            </w:pPr>
            <w:r>
              <w:rPr>
                <w:bCs w:val="0"/>
                <w:color w:val="000000"/>
                <w:sz w:val="16"/>
                <w:szCs w:val="16"/>
                <w:lang w:val="en-GB"/>
              </w:rPr>
              <w:t>59</w:t>
            </w:r>
            <w:r w:rsidR="00563A4C">
              <w:rPr>
                <w:bCs w:val="0"/>
                <w:color w:val="000000"/>
                <w:sz w:val="16"/>
                <w:szCs w:val="16"/>
                <w:lang w:val="en-GB"/>
              </w:rPr>
              <w:t>.7</w:t>
            </w:r>
          </w:p>
        </w:tc>
        <w:tc>
          <w:tcPr>
            <w:tcW w:w="880" w:type="dxa"/>
            <w:tcBorders>
              <w:top w:val="nil"/>
              <w:left w:val="nil"/>
              <w:bottom w:val="nil"/>
              <w:right w:val="nil"/>
            </w:tcBorders>
            <w:vAlign w:val="bottom"/>
          </w:tcPr>
          <w:p w14:paraId="149DBCAF"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109</w:t>
            </w:r>
          </w:p>
        </w:tc>
      </w:tr>
      <w:tr w:rsidR="0097639A" w:rsidRPr="0097639A" w14:paraId="4A696B0C" w14:textId="77777777" w:rsidTr="003417E7">
        <w:trPr>
          <w:trHeight w:val="232"/>
        </w:trPr>
        <w:tc>
          <w:tcPr>
            <w:tcW w:w="881" w:type="dxa"/>
            <w:tcBorders>
              <w:top w:val="nil"/>
              <w:left w:val="nil"/>
              <w:bottom w:val="nil"/>
              <w:right w:val="nil"/>
            </w:tcBorders>
            <w:vAlign w:val="bottom"/>
          </w:tcPr>
          <w:p w14:paraId="272DB796"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1FE8BB8E" w14:textId="77777777" w:rsidR="0097639A" w:rsidRPr="0097639A" w:rsidRDefault="0097639A" w:rsidP="00DF1EE8">
            <w:pPr>
              <w:autoSpaceDE w:val="0"/>
              <w:autoSpaceDN w:val="0"/>
              <w:adjustRightInd w:val="0"/>
              <w:rPr>
                <w:b/>
                <w:bCs w:val="0"/>
                <w:i/>
                <w:iCs/>
                <w:color w:val="000000"/>
                <w:sz w:val="16"/>
                <w:szCs w:val="16"/>
                <w:lang w:val="en-GB"/>
              </w:rPr>
            </w:pPr>
          </w:p>
        </w:tc>
        <w:tc>
          <w:tcPr>
            <w:tcW w:w="1276" w:type="dxa"/>
            <w:tcBorders>
              <w:top w:val="nil"/>
              <w:left w:val="nil"/>
              <w:bottom w:val="nil"/>
              <w:right w:val="nil"/>
            </w:tcBorders>
            <w:vAlign w:val="bottom"/>
          </w:tcPr>
          <w:p w14:paraId="3E6FFAB2"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68F15CC6"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ATATCCCCACCTTCCGATGC</w:t>
            </w:r>
          </w:p>
        </w:tc>
        <w:tc>
          <w:tcPr>
            <w:tcW w:w="504" w:type="dxa"/>
            <w:tcBorders>
              <w:top w:val="nil"/>
              <w:left w:val="nil"/>
              <w:bottom w:val="nil"/>
              <w:right w:val="nil"/>
            </w:tcBorders>
          </w:tcPr>
          <w:p w14:paraId="0496DAEE"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2A5999AE" w14:textId="25DE6F0F" w:rsidR="0097639A" w:rsidRPr="0097639A" w:rsidRDefault="00752E49" w:rsidP="00DF1EE8">
            <w:pPr>
              <w:autoSpaceDE w:val="0"/>
              <w:autoSpaceDN w:val="0"/>
              <w:adjustRightInd w:val="0"/>
              <w:rPr>
                <w:b/>
                <w:bCs w:val="0"/>
                <w:color w:val="000000"/>
                <w:sz w:val="16"/>
                <w:szCs w:val="16"/>
                <w:lang w:val="en-GB"/>
              </w:rPr>
            </w:pPr>
            <w:r>
              <w:rPr>
                <w:bCs w:val="0"/>
                <w:color w:val="000000"/>
                <w:sz w:val="16"/>
                <w:szCs w:val="16"/>
                <w:lang w:val="en-GB"/>
              </w:rPr>
              <w:t>(</w:t>
            </w:r>
            <w:r w:rsidR="0097639A" w:rsidRPr="0097639A">
              <w:rPr>
                <w:bCs w:val="0"/>
                <w:color w:val="000000"/>
                <w:sz w:val="16"/>
                <w:szCs w:val="16"/>
                <w:lang w:val="en-GB"/>
              </w:rPr>
              <w:t>0.96</w:t>
            </w:r>
            <w:r>
              <w:rPr>
                <w:bCs w:val="0"/>
                <w:color w:val="000000"/>
                <w:sz w:val="16"/>
                <w:szCs w:val="16"/>
                <w:lang w:val="en-GB"/>
              </w:rPr>
              <w:t>)</w:t>
            </w:r>
          </w:p>
        </w:tc>
      </w:tr>
      <w:tr w:rsidR="0097639A" w:rsidRPr="0097639A" w14:paraId="523DF2BE" w14:textId="77777777" w:rsidTr="003417E7">
        <w:trPr>
          <w:trHeight w:val="232"/>
        </w:trPr>
        <w:tc>
          <w:tcPr>
            <w:tcW w:w="881" w:type="dxa"/>
            <w:tcBorders>
              <w:top w:val="nil"/>
              <w:left w:val="nil"/>
              <w:bottom w:val="nil"/>
              <w:right w:val="nil"/>
            </w:tcBorders>
            <w:vAlign w:val="bottom"/>
          </w:tcPr>
          <w:p w14:paraId="493C8619" w14:textId="7823FF5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DN196675_c0_g3_i7</w:t>
            </w:r>
          </w:p>
        </w:tc>
        <w:tc>
          <w:tcPr>
            <w:tcW w:w="992" w:type="dxa"/>
            <w:tcBorders>
              <w:top w:val="nil"/>
              <w:left w:val="nil"/>
              <w:bottom w:val="nil"/>
              <w:right w:val="nil"/>
            </w:tcBorders>
            <w:vAlign w:val="bottom"/>
          </w:tcPr>
          <w:p w14:paraId="31F145A6"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Sporolithon </w:t>
            </w:r>
            <w:r w:rsidRPr="0097639A">
              <w:rPr>
                <w:bCs w:val="0"/>
                <w:color w:val="000000"/>
                <w:sz w:val="16"/>
                <w:szCs w:val="16"/>
                <w:lang w:val="en-GB"/>
              </w:rPr>
              <w:t xml:space="preserve">cf. </w:t>
            </w:r>
            <w:r w:rsidRPr="0097639A">
              <w:rPr>
                <w:bCs w:val="0"/>
                <w:i/>
                <w:iCs/>
                <w:color w:val="000000"/>
                <w:sz w:val="16"/>
                <w:szCs w:val="16"/>
                <w:lang w:val="en-GB"/>
              </w:rPr>
              <w:t>durum</w:t>
            </w:r>
          </w:p>
        </w:tc>
        <w:tc>
          <w:tcPr>
            <w:tcW w:w="1276" w:type="dxa"/>
            <w:tcBorders>
              <w:top w:val="nil"/>
              <w:left w:val="nil"/>
              <w:bottom w:val="nil"/>
              <w:right w:val="nil"/>
            </w:tcBorders>
            <w:vAlign w:val="bottom"/>
          </w:tcPr>
          <w:p w14:paraId="1009BF9C"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UBC (HKG)</w:t>
            </w:r>
          </w:p>
        </w:tc>
        <w:tc>
          <w:tcPr>
            <w:tcW w:w="2977" w:type="dxa"/>
            <w:tcBorders>
              <w:top w:val="nil"/>
              <w:left w:val="nil"/>
              <w:bottom w:val="nil"/>
              <w:right w:val="nil"/>
            </w:tcBorders>
            <w:vAlign w:val="bottom"/>
          </w:tcPr>
          <w:p w14:paraId="61087007"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TGCACAAACTACCTCACGCA</w:t>
            </w:r>
          </w:p>
        </w:tc>
        <w:tc>
          <w:tcPr>
            <w:tcW w:w="850" w:type="dxa"/>
            <w:tcBorders>
              <w:top w:val="nil"/>
              <w:left w:val="nil"/>
              <w:bottom w:val="nil"/>
              <w:right w:val="nil"/>
            </w:tcBorders>
            <w:vAlign w:val="bottom"/>
          </w:tcPr>
          <w:p w14:paraId="1BBEAAC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192</w:t>
            </w:r>
          </w:p>
        </w:tc>
        <w:tc>
          <w:tcPr>
            <w:tcW w:w="504" w:type="dxa"/>
            <w:tcBorders>
              <w:top w:val="nil"/>
              <w:left w:val="nil"/>
              <w:bottom w:val="nil"/>
              <w:right w:val="nil"/>
            </w:tcBorders>
            <w:vAlign w:val="bottom"/>
          </w:tcPr>
          <w:p w14:paraId="7CA9DC18" w14:textId="1DB620EE" w:rsidR="0097639A" w:rsidRPr="0097639A" w:rsidRDefault="00EB4B30" w:rsidP="00DF1EE8">
            <w:pPr>
              <w:autoSpaceDE w:val="0"/>
              <w:autoSpaceDN w:val="0"/>
              <w:adjustRightInd w:val="0"/>
              <w:rPr>
                <w:b/>
                <w:bCs w:val="0"/>
                <w:color w:val="000000"/>
                <w:sz w:val="16"/>
                <w:szCs w:val="16"/>
                <w:lang w:val="en-GB"/>
              </w:rPr>
            </w:pPr>
            <w:r>
              <w:rPr>
                <w:bCs w:val="0"/>
                <w:color w:val="000000"/>
                <w:sz w:val="16"/>
                <w:szCs w:val="16"/>
                <w:lang w:val="en-GB"/>
              </w:rPr>
              <w:t>5</w:t>
            </w:r>
            <w:r w:rsidR="00563A4C">
              <w:rPr>
                <w:bCs w:val="0"/>
                <w:color w:val="000000"/>
                <w:sz w:val="16"/>
                <w:szCs w:val="16"/>
                <w:lang w:val="en-GB"/>
              </w:rPr>
              <w:t>7.2</w:t>
            </w:r>
          </w:p>
        </w:tc>
        <w:tc>
          <w:tcPr>
            <w:tcW w:w="880" w:type="dxa"/>
            <w:tcBorders>
              <w:top w:val="nil"/>
              <w:left w:val="nil"/>
              <w:bottom w:val="nil"/>
              <w:right w:val="nil"/>
            </w:tcBorders>
            <w:vAlign w:val="bottom"/>
          </w:tcPr>
          <w:p w14:paraId="1B6D7C15"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88.9</w:t>
            </w:r>
          </w:p>
        </w:tc>
      </w:tr>
      <w:tr w:rsidR="0097639A" w:rsidRPr="0097639A" w14:paraId="2AF6BBD0" w14:textId="77777777" w:rsidTr="003417E7">
        <w:trPr>
          <w:trHeight w:val="232"/>
        </w:trPr>
        <w:tc>
          <w:tcPr>
            <w:tcW w:w="881" w:type="dxa"/>
            <w:tcBorders>
              <w:top w:val="nil"/>
              <w:left w:val="nil"/>
              <w:bottom w:val="nil"/>
              <w:right w:val="nil"/>
            </w:tcBorders>
            <w:vAlign w:val="bottom"/>
          </w:tcPr>
          <w:p w14:paraId="2D9636F2"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nil"/>
              <w:right w:val="nil"/>
            </w:tcBorders>
            <w:vAlign w:val="bottom"/>
          </w:tcPr>
          <w:p w14:paraId="76C6A62C" w14:textId="77777777" w:rsidR="0097639A" w:rsidRPr="0097639A" w:rsidRDefault="0097639A" w:rsidP="00DF1EE8">
            <w:pPr>
              <w:autoSpaceDE w:val="0"/>
              <w:autoSpaceDN w:val="0"/>
              <w:adjustRightInd w:val="0"/>
              <w:rPr>
                <w:b/>
                <w:bCs w:val="0"/>
                <w:i/>
                <w:iCs/>
                <w:color w:val="000000"/>
                <w:sz w:val="16"/>
                <w:szCs w:val="16"/>
                <w:lang w:val="en-GB"/>
              </w:rPr>
            </w:pPr>
          </w:p>
        </w:tc>
        <w:tc>
          <w:tcPr>
            <w:tcW w:w="1276" w:type="dxa"/>
            <w:tcBorders>
              <w:top w:val="nil"/>
              <w:left w:val="nil"/>
              <w:bottom w:val="nil"/>
              <w:right w:val="nil"/>
            </w:tcBorders>
            <w:vAlign w:val="bottom"/>
          </w:tcPr>
          <w:p w14:paraId="3DE1D208"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nil"/>
              <w:right w:val="nil"/>
            </w:tcBorders>
          </w:tcPr>
          <w:p w14:paraId="1B43540D"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ATGGTGCTCACTTGCTCACA</w:t>
            </w:r>
          </w:p>
        </w:tc>
        <w:tc>
          <w:tcPr>
            <w:tcW w:w="504" w:type="dxa"/>
            <w:tcBorders>
              <w:top w:val="nil"/>
              <w:left w:val="nil"/>
              <w:bottom w:val="nil"/>
              <w:right w:val="nil"/>
            </w:tcBorders>
          </w:tcPr>
          <w:p w14:paraId="6658C7C6"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76F4DE07" w14:textId="61574C24"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(-0.94)</w:t>
            </w:r>
          </w:p>
        </w:tc>
      </w:tr>
      <w:tr w:rsidR="0097639A" w:rsidRPr="0097639A" w14:paraId="6351F415" w14:textId="77777777" w:rsidTr="003417E7">
        <w:trPr>
          <w:trHeight w:val="232"/>
        </w:trPr>
        <w:tc>
          <w:tcPr>
            <w:tcW w:w="881" w:type="dxa"/>
            <w:tcBorders>
              <w:top w:val="nil"/>
              <w:left w:val="nil"/>
              <w:bottom w:val="nil"/>
              <w:right w:val="nil"/>
            </w:tcBorders>
            <w:vAlign w:val="bottom"/>
          </w:tcPr>
          <w:p w14:paraId="568FEB69" w14:textId="1807A851"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DN197763_c0_g2_i5</w:t>
            </w:r>
          </w:p>
        </w:tc>
        <w:tc>
          <w:tcPr>
            <w:tcW w:w="992" w:type="dxa"/>
            <w:tcBorders>
              <w:top w:val="nil"/>
              <w:left w:val="nil"/>
              <w:bottom w:val="nil"/>
              <w:right w:val="nil"/>
            </w:tcBorders>
            <w:vAlign w:val="bottom"/>
          </w:tcPr>
          <w:p w14:paraId="6A46F49B" w14:textId="77777777" w:rsidR="0097639A" w:rsidRPr="0097639A" w:rsidRDefault="0097639A" w:rsidP="00DF1EE8">
            <w:pPr>
              <w:autoSpaceDE w:val="0"/>
              <w:autoSpaceDN w:val="0"/>
              <w:adjustRightInd w:val="0"/>
              <w:rPr>
                <w:b/>
                <w:bCs w:val="0"/>
                <w:i/>
                <w:iCs/>
                <w:color w:val="000000"/>
                <w:sz w:val="16"/>
                <w:szCs w:val="16"/>
                <w:lang w:val="en-GB"/>
              </w:rPr>
            </w:pPr>
            <w:r w:rsidRPr="0097639A">
              <w:rPr>
                <w:bCs w:val="0"/>
                <w:i/>
                <w:iCs/>
                <w:color w:val="000000"/>
                <w:sz w:val="16"/>
                <w:szCs w:val="16"/>
                <w:lang w:val="en-GB"/>
              </w:rPr>
              <w:t xml:space="preserve">Sporolithon </w:t>
            </w:r>
            <w:r w:rsidRPr="0097639A">
              <w:rPr>
                <w:bCs w:val="0"/>
                <w:color w:val="000000"/>
                <w:sz w:val="16"/>
                <w:szCs w:val="16"/>
                <w:lang w:val="en-GB"/>
              </w:rPr>
              <w:t xml:space="preserve">cf. </w:t>
            </w:r>
            <w:r w:rsidRPr="0097639A">
              <w:rPr>
                <w:bCs w:val="0"/>
                <w:i/>
                <w:iCs/>
                <w:color w:val="000000"/>
                <w:sz w:val="16"/>
                <w:szCs w:val="16"/>
                <w:lang w:val="en-GB"/>
              </w:rPr>
              <w:t>durum</w:t>
            </w:r>
          </w:p>
        </w:tc>
        <w:tc>
          <w:tcPr>
            <w:tcW w:w="1276" w:type="dxa"/>
            <w:tcBorders>
              <w:top w:val="nil"/>
              <w:left w:val="nil"/>
              <w:bottom w:val="nil"/>
              <w:right w:val="nil"/>
            </w:tcBorders>
            <w:vAlign w:val="bottom"/>
          </w:tcPr>
          <w:p w14:paraId="3F22D9DE" w14:textId="34AA1C4A" w:rsidR="0097639A" w:rsidRPr="0097639A" w:rsidRDefault="00CD7953" w:rsidP="00DF1EE8">
            <w:pPr>
              <w:autoSpaceDE w:val="0"/>
              <w:autoSpaceDN w:val="0"/>
              <w:adjustRightInd w:val="0"/>
              <w:rPr>
                <w:b/>
                <w:bCs w:val="0"/>
                <w:color w:val="000000"/>
                <w:sz w:val="16"/>
                <w:szCs w:val="16"/>
                <w:lang w:val="en-GB"/>
              </w:rPr>
            </w:pPr>
            <w:r>
              <w:rPr>
                <w:bCs w:val="0"/>
                <w:color w:val="000000"/>
                <w:sz w:val="16"/>
                <w:szCs w:val="16"/>
                <w:lang w:val="en-GB"/>
              </w:rPr>
              <w:t>HSP33</w:t>
            </w:r>
            <w:r w:rsidR="0097639A" w:rsidRPr="0097639A">
              <w:rPr>
                <w:bCs w:val="0"/>
                <w:color w:val="000000"/>
                <w:sz w:val="16"/>
                <w:szCs w:val="16"/>
                <w:lang w:val="en-GB"/>
              </w:rPr>
              <w:t xml:space="preserve"> (GOI)</w:t>
            </w:r>
          </w:p>
        </w:tc>
        <w:tc>
          <w:tcPr>
            <w:tcW w:w="2977" w:type="dxa"/>
            <w:tcBorders>
              <w:top w:val="nil"/>
              <w:left w:val="nil"/>
              <w:bottom w:val="nil"/>
              <w:right w:val="nil"/>
            </w:tcBorders>
            <w:vAlign w:val="bottom"/>
          </w:tcPr>
          <w:p w14:paraId="370CE14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(F) CATCGGTCCAGGTCACTACG</w:t>
            </w:r>
          </w:p>
        </w:tc>
        <w:tc>
          <w:tcPr>
            <w:tcW w:w="850" w:type="dxa"/>
            <w:tcBorders>
              <w:top w:val="nil"/>
              <w:left w:val="nil"/>
              <w:bottom w:val="nil"/>
              <w:right w:val="nil"/>
            </w:tcBorders>
            <w:vAlign w:val="bottom"/>
          </w:tcPr>
          <w:p w14:paraId="042B5383"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223</w:t>
            </w:r>
          </w:p>
        </w:tc>
        <w:tc>
          <w:tcPr>
            <w:tcW w:w="504" w:type="dxa"/>
            <w:tcBorders>
              <w:top w:val="nil"/>
              <w:left w:val="nil"/>
              <w:bottom w:val="nil"/>
              <w:right w:val="nil"/>
            </w:tcBorders>
            <w:vAlign w:val="bottom"/>
          </w:tcPr>
          <w:p w14:paraId="0D2F7F97" w14:textId="420BA4B5" w:rsidR="0097639A" w:rsidRPr="0097639A" w:rsidRDefault="004B7958" w:rsidP="00DF1EE8">
            <w:pPr>
              <w:autoSpaceDE w:val="0"/>
              <w:autoSpaceDN w:val="0"/>
              <w:adjustRightInd w:val="0"/>
              <w:rPr>
                <w:b/>
                <w:bCs w:val="0"/>
                <w:color w:val="000000"/>
                <w:sz w:val="16"/>
                <w:szCs w:val="16"/>
                <w:lang w:val="en-GB"/>
              </w:rPr>
            </w:pPr>
            <w:r>
              <w:rPr>
                <w:bCs w:val="0"/>
                <w:color w:val="000000"/>
                <w:sz w:val="16"/>
                <w:szCs w:val="16"/>
                <w:lang w:val="en-GB"/>
              </w:rPr>
              <w:t>5</w:t>
            </w:r>
            <w:r w:rsidR="00563A4C">
              <w:rPr>
                <w:bCs w:val="0"/>
                <w:color w:val="000000"/>
                <w:sz w:val="16"/>
                <w:szCs w:val="16"/>
                <w:lang w:val="en-GB"/>
              </w:rPr>
              <w:t>7.2</w:t>
            </w:r>
          </w:p>
        </w:tc>
        <w:tc>
          <w:tcPr>
            <w:tcW w:w="880" w:type="dxa"/>
            <w:tcBorders>
              <w:top w:val="nil"/>
              <w:left w:val="nil"/>
              <w:bottom w:val="nil"/>
              <w:right w:val="nil"/>
            </w:tcBorders>
            <w:vAlign w:val="bottom"/>
          </w:tcPr>
          <w:p w14:paraId="723E83C4"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112.4</w:t>
            </w:r>
          </w:p>
        </w:tc>
      </w:tr>
      <w:tr w:rsidR="0097639A" w:rsidRPr="0097639A" w14:paraId="5B66A82C" w14:textId="77777777" w:rsidTr="003417E7">
        <w:trPr>
          <w:trHeight w:val="232"/>
        </w:trPr>
        <w:tc>
          <w:tcPr>
            <w:tcW w:w="881" w:type="dxa"/>
            <w:tcBorders>
              <w:top w:val="nil"/>
              <w:left w:val="nil"/>
              <w:bottom w:val="single" w:sz="6" w:space="0" w:color="auto"/>
              <w:right w:val="nil"/>
            </w:tcBorders>
            <w:vAlign w:val="bottom"/>
          </w:tcPr>
          <w:p w14:paraId="5A0DA976" w14:textId="77777777" w:rsidR="0097639A" w:rsidRPr="0097639A" w:rsidRDefault="0097639A" w:rsidP="00DF1EE8">
            <w:pPr>
              <w:autoSpaceDE w:val="0"/>
              <w:autoSpaceDN w:val="0"/>
              <w:adjustRightInd w:val="0"/>
              <w:rPr>
                <w:b/>
                <w:bCs w:val="0"/>
                <w:color w:val="000000"/>
                <w:sz w:val="16"/>
                <w:szCs w:val="16"/>
                <w:lang w:val="en-GB"/>
              </w:rPr>
            </w:pPr>
          </w:p>
        </w:tc>
        <w:tc>
          <w:tcPr>
            <w:tcW w:w="992" w:type="dxa"/>
            <w:tcBorders>
              <w:top w:val="nil"/>
              <w:left w:val="nil"/>
              <w:bottom w:val="single" w:sz="6" w:space="0" w:color="auto"/>
              <w:right w:val="nil"/>
            </w:tcBorders>
            <w:vAlign w:val="bottom"/>
          </w:tcPr>
          <w:p w14:paraId="592AF9EB" w14:textId="77777777" w:rsidR="0097639A" w:rsidRPr="0097639A" w:rsidRDefault="0097639A" w:rsidP="00DF1EE8">
            <w:pPr>
              <w:autoSpaceDE w:val="0"/>
              <w:autoSpaceDN w:val="0"/>
              <w:adjustRightInd w:val="0"/>
              <w:rPr>
                <w:b/>
                <w:bCs w:val="0"/>
                <w:i/>
                <w:iCs/>
                <w:color w:val="000000"/>
                <w:sz w:val="16"/>
                <w:szCs w:val="16"/>
                <w:lang w:val="en-GB"/>
              </w:rPr>
            </w:pPr>
          </w:p>
        </w:tc>
        <w:tc>
          <w:tcPr>
            <w:tcW w:w="1276" w:type="dxa"/>
            <w:tcBorders>
              <w:top w:val="nil"/>
              <w:left w:val="nil"/>
              <w:bottom w:val="single" w:sz="6" w:space="0" w:color="auto"/>
              <w:right w:val="nil"/>
            </w:tcBorders>
            <w:vAlign w:val="bottom"/>
          </w:tcPr>
          <w:p w14:paraId="60C29558" w14:textId="77777777" w:rsidR="0097639A" w:rsidRPr="0097639A" w:rsidRDefault="0097639A" w:rsidP="00DF1EE8">
            <w:pPr>
              <w:autoSpaceDE w:val="0"/>
              <w:autoSpaceDN w:val="0"/>
              <w:adjustRightInd w:val="0"/>
              <w:rPr>
                <w:b/>
                <w:bCs w:val="0"/>
                <w:color w:val="000000"/>
                <w:sz w:val="16"/>
                <w:szCs w:val="16"/>
                <w:lang w:val="en-GB"/>
              </w:rPr>
            </w:pPr>
          </w:p>
        </w:tc>
        <w:tc>
          <w:tcPr>
            <w:tcW w:w="3827" w:type="dxa"/>
            <w:gridSpan w:val="2"/>
            <w:tcBorders>
              <w:top w:val="nil"/>
              <w:left w:val="nil"/>
              <w:bottom w:val="single" w:sz="6" w:space="0" w:color="auto"/>
              <w:right w:val="nil"/>
            </w:tcBorders>
          </w:tcPr>
          <w:p w14:paraId="23E83D2B"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(R) ATCGCGGCATAGAACTGAGG</w:t>
            </w:r>
          </w:p>
        </w:tc>
        <w:tc>
          <w:tcPr>
            <w:tcW w:w="504" w:type="dxa"/>
            <w:tcBorders>
              <w:top w:val="nil"/>
              <w:left w:val="nil"/>
              <w:bottom w:val="single" w:sz="6" w:space="0" w:color="auto"/>
              <w:right w:val="nil"/>
            </w:tcBorders>
          </w:tcPr>
          <w:p w14:paraId="738D539C"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single" w:sz="6" w:space="0" w:color="auto"/>
              <w:right w:val="nil"/>
            </w:tcBorders>
          </w:tcPr>
          <w:p w14:paraId="0FCD8B53" w14:textId="6D10FC08"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lang w:val="en-GB"/>
              </w:rPr>
              <w:t>(-0.94)</w:t>
            </w:r>
          </w:p>
        </w:tc>
      </w:tr>
      <w:tr w:rsidR="0097639A" w:rsidRPr="0097639A" w14:paraId="16A250B8" w14:textId="77777777" w:rsidTr="003417E7">
        <w:trPr>
          <w:trHeight w:val="232"/>
        </w:trPr>
        <w:tc>
          <w:tcPr>
            <w:tcW w:w="6126" w:type="dxa"/>
            <w:gridSpan w:val="4"/>
            <w:tcBorders>
              <w:top w:val="single" w:sz="6" w:space="0" w:color="auto"/>
              <w:left w:val="nil"/>
              <w:bottom w:val="nil"/>
              <w:right w:val="nil"/>
            </w:tcBorders>
          </w:tcPr>
          <w:p w14:paraId="0C4E8298" w14:textId="77777777" w:rsidR="0097639A" w:rsidRPr="0097639A" w:rsidRDefault="0097639A" w:rsidP="00DF1EE8">
            <w:pPr>
              <w:autoSpaceDE w:val="0"/>
              <w:autoSpaceDN w:val="0"/>
              <w:adjustRightInd w:val="0"/>
              <w:rPr>
                <w:b/>
                <w:bCs w:val="0"/>
                <w:color w:val="000000"/>
                <w:sz w:val="16"/>
                <w:szCs w:val="16"/>
                <w:lang w:val="en-GB"/>
              </w:rPr>
            </w:pPr>
            <w:r w:rsidRPr="0097639A">
              <w:rPr>
                <w:bCs w:val="0"/>
                <w:color w:val="000000"/>
                <w:sz w:val="16"/>
                <w:szCs w:val="16"/>
                <w:vertAlign w:val="superscript"/>
                <w:lang w:val="en-GB"/>
              </w:rPr>
              <w:t>a</w:t>
            </w:r>
            <w:r w:rsidRPr="0097639A">
              <w:rPr>
                <w:bCs w:val="0"/>
                <w:color w:val="000000"/>
                <w:sz w:val="16"/>
                <w:szCs w:val="16"/>
                <w:lang w:val="en-GB"/>
              </w:rPr>
              <w:t xml:space="preserve"> F, forward primer; R, reverse primer.</w:t>
            </w:r>
          </w:p>
        </w:tc>
        <w:tc>
          <w:tcPr>
            <w:tcW w:w="850" w:type="dxa"/>
            <w:tcBorders>
              <w:top w:val="nil"/>
              <w:left w:val="nil"/>
              <w:bottom w:val="nil"/>
              <w:right w:val="nil"/>
            </w:tcBorders>
          </w:tcPr>
          <w:p w14:paraId="32CC1722" w14:textId="77777777" w:rsidR="0097639A" w:rsidRPr="0097639A" w:rsidRDefault="0097639A" w:rsidP="00DF1EE8">
            <w:pPr>
              <w:autoSpaceDE w:val="0"/>
              <w:autoSpaceDN w:val="0"/>
              <w:adjustRightInd w:val="0"/>
              <w:rPr>
                <w:b/>
                <w:bCs w:val="0"/>
                <w:color w:val="000000"/>
                <w:sz w:val="16"/>
                <w:szCs w:val="16"/>
                <w:lang w:val="en-GB"/>
              </w:rPr>
            </w:pPr>
          </w:p>
        </w:tc>
        <w:tc>
          <w:tcPr>
            <w:tcW w:w="504" w:type="dxa"/>
            <w:tcBorders>
              <w:top w:val="nil"/>
              <w:left w:val="nil"/>
              <w:bottom w:val="nil"/>
              <w:right w:val="nil"/>
            </w:tcBorders>
          </w:tcPr>
          <w:p w14:paraId="5AA04566" w14:textId="77777777" w:rsidR="0097639A" w:rsidRPr="0097639A" w:rsidRDefault="0097639A" w:rsidP="00DF1EE8">
            <w:pPr>
              <w:autoSpaceDE w:val="0"/>
              <w:autoSpaceDN w:val="0"/>
              <w:adjustRightInd w:val="0"/>
              <w:rPr>
                <w:b/>
                <w:bCs w:val="0"/>
                <w:color w:val="000000"/>
                <w:sz w:val="16"/>
                <w:szCs w:val="16"/>
                <w:lang w:val="en-GB"/>
              </w:rPr>
            </w:pPr>
          </w:p>
        </w:tc>
        <w:tc>
          <w:tcPr>
            <w:tcW w:w="880" w:type="dxa"/>
            <w:tcBorders>
              <w:top w:val="nil"/>
              <w:left w:val="nil"/>
              <w:bottom w:val="nil"/>
              <w:right w:val="nil"/>
            </w:tcBorders>
          </w:tcPr>
          <w:p w14:paraId="51932FEC" w14:textId="77777777" w:rsidR="0097639A" w:rsidRPr="0097639A" w:rsidRDefault="0097639A" w:rsidP="00DF1EE8">
            <w:pPr>
              <w:autoSpaceDE w:val="0"/>
              <w:autoSpaceDN w:val="0"/>
              <w:adjustRightInd w:val="0"/>
              <w:rPr>
                <w:b/>
                <w:bCs w:val="0"/>
                <w:color w:val="000000"/>
                <w:sz w:val="16"/>
                <w:szCs w:val="16"/>
                <w:lang w:val="en-GB"/>
              </w:rPr>
            </w:pPr>
          </w:p>
        </w:tc>
      </w:tr>
    </w:tbl>
    <w:p w14:paraId="443C0AA7" w14:textId="77777777" w:rsidR="00AC796F" w:rsidRDefault="00AC796F" w:rsidP="00DF1EE8"/>
    <w:p w14:paraId="64D20D44" w14:textId="77777777" w:rsidR="007F798A" w:rsidRDefault="007F798A" w:rsidP="00A62BA6">
      <w:pPr>
        <w:spacing w:line="276" w:lineRule="auto"/>
      </w:pPr>
      <w:r w:rsidRPr="007F798A">
        <w:rPr>
          <w:b/>
          <w:bCs w:val="0"/>
        </w:rPr>
        <w:t>Additional file 2</w:t>
      </w:r>
    </w:p>
    <w:p w14:paraId="1A65AC56" w14:textId="52460F9E" w:rsidR="00F31FCE" w:rsidRPr="0097098C" w:rsidRDefault="00F31FCE" w:rsidP="00A62BA6">
      <w:pPr>
        <w:spacing w:line="276" w:lineRule="auto"/>
      </w:pPr>
      <w:r w:rsidRPr="00FC0540">
        <w:t>Dataset</w:t>
      </w:r>
      <w:r w:rsidRPr="00FC0540">
        <w:rPr>
          <w:bCs w:val="0"/>
        </w:rPr>
        <w:t xml:space="preserve"> S1 (separate file)</w:t>
      </w:r>
      <w:r w:rsidRPr="00FC0540">
        <w:t xml:space="preserve">. Table of all significantly (FDR &lt; 0.05), differentially expressed genes (DEGs) from pairwise comparisons of experimental treatments from </w:t>
      </w:r>
      <w:proofErr w:type="spellStart"/>
      <w:r w:rsidRPr="00FC0540">
        <w:t>edgeR</w:t>
      </w:r>
      <w:proofErr w:type="spellEnd"/>
      <w:r w:rsidRPr="00FC0540">
        <w:t xml:space="preserve"> analysis for </w:t>
      </w:r>
      <w:r w:rsidRPr="00FC0540">
        <w:rPr>
          <w:i/>
          <w:iCs/>
        </w:rPr>
        <w:t>Porolithon cf. onkodes</w:t>
      </w:r>
      <w:r w:rsidRPr="00FC0540">
        <w:t xml:space="preserve">. Table includes </w:t>
      </w:r>
      <w:r w:rsidRPr="00FC0540">
        <w:rPr>
          <w:i/>
          <w:iCs/>
        </w:rPr>
        <w:t>P. cf. onkodes</w:t>
      </w:r>
      <w:r w:rsidRPr="00FC0540">
        <w:t xml:space="preserve"> gene identifiers and values for log expression fold changes (</w:t>
      </w:r>
      <w:proofErr w:type="spellStart"/>
      <w:r w:rsidRPr="00FC0540">
        <w:t>logFC</w:t>
      </w:r>
      <w:proofErr w:type="spellEnd"/>
      <w:r w:rsidRPr="00FC0540">
        <w:t>), log counts per million (</w:t>
      </w:r>
      <w:proofErr w:type="spellStart"/>
      <w:r w:rsidRPr="00FC0540">
        <w:t>logCPM</w:t>
      </w:r>
      <w:proofErr w:type="spellEnd"/>
      <w:r w:rsidRPr="00FC0540">
        <w:t xml:space="preserve">), </w:t>
      </w:r>
      <w:r w:rsidRPr="00FC0540">
        <w:rPr>
          <w:i/>
          <w:iCs/>
        </w:rPr>
        <w:t>F</w:t>
      </w:r>
      <w:r w:rsidRPr="00FC0540">
        <w:t xml:space="preserve"> statistic, </w:t>
      </w:r>
      <w:r w:rsidRPr="00FC0540">
        <w:rPr>
          <w:i/>
          <w:iCs/>
        </w:rPr>
        <w:t>p</w:t>
      </w:r>
      <w:r w:rsidRPr="00FC0540">
        <w:t xml:space="preserve"> value, false discovery rate (FDR; </w:t>
      </w:r>
      <w:r w:rsidRPr="00FC0540">
        <w:rPr>
          <w:i/>
          <w:iCs/>
        </w:rPr>
        <w:t>p</w:t>
      </w:r>
      <w:r w:rsidRPr="00FC0540">
        <w:t xml:space="preserve"> adjusted by the </w:t>
      </w:r>
      <w:proofErr w:type="spellStart"/>
      <w:r w:rsidRPr="00FC0540">
        <w:t>Benjamini</w:t>
      </w:r>
      <w:proofErr w:type="spellEnd"/>
      <w:r w:rsidRPr="00FC0540">
        <w:t xml:space="preserve">-Hochberg procedure) for pairwise comparisons of each treatment combination. Treatment comparisons are listed as follows: control (27.2 ºC + 8.0 pH), T (29.5 ºC + 8.0 pH), pH (27.2 ºC + 7.7 pH), and </w:t>
      </w:r>
      <w:proofErr w:type="spellStart"/>
      <w:r w:rsidRPr="00FC0540">
        <w:t>T+pH</w:t>
      </w:r>
      <w:proofErr w:type="spellEnd"/>
      <w:r w:rsidRPr="00FC0540">
        <w:t xml:space="preserve"> (29.5 ºC + 7.7 pH). Annotations for DEGs that returned BLASTX similarity search hits are given. If transcript didn't return a hit, no annotation is </w:t>
      </w:r>
      <w:r w:rsidR="00EF67D4" w:rsidRPr="00FC0540">
        <w:t>given,</w:t>
      </w:r>
      <w:r w:rsidRPr="00FC0540">
        <w:t xml:space="preserve"> and cell is left blank.</w:t>
      </w:r>
    </w:p>
    <w:p w14:paraId="2E249806" w14:textId="77777777" w:rsidR="00EB7CB3" w:rsidRDefault="00EB7CB3" w:rsidP="00DF1EE8"/>
    <w:p w14:paraId="5D38D56D" w14:textId="087092A0" w:rsidR="00103912" w:rsidRPr="00E511F0" w:rsidRDefault="008F5A62" w:rsidP="00DF1EE8">
      <w:pPr>
        <w:rPr>
          <w:bCs w:val="0"/>
        </w:rPr>
      </w:pPr>
      <w:r w:rsidRPr="00A62BA6">
        <w:rPr>
          <w:b/>
          <w:bCs w:val="0"/>
        </w:rPr>
        <w:t>References</w:t>
      </w:r>
    </w:p>
    <w:p w14:paraId="7F5BEEB5" w14:textId="77777777" w:rsidR="00E511F0" w:rsidRPr="00E511F0" w:rsidRDefault="00103912" w:rsidP="00E511F0">
      <w:pPr>
        <w:pStyle w:val="EndNoteBibliography"/>
        <w:ind w:left="720" w:hanging="720"/>
        <w:rPr>
          <w:b w:val="0"/>
          <w:noProof/>
        </w:rPr>
      </w:pPr>
      <w:r w:rsidRPr="00E511F0">
        <w:rPr>
          <w:rFonts w:ascii="Arial" w:hAnsi="Arial" w:cs="Arial"/>
          <w:b w:val="0"/>
          <w:sz w:val="20"/>
          <w:szCs w:val="20"/>
        </w:rPr>
        <w:fldChar w:fldCharType="begin"/>
      </w:r>
      <w:r w:rsidRPr="00E511F0">
        <w:rPr>
          <w:rFonts w:ascii="Arial" w:hAnsi="Arial" w:cs="Arial"/>
          <w:b w:val="0"/>
          <w:sz w:val="20"/>
          <w:szCs w:val="20"/>
        </w:rPr>
        <w:instrText xml:space="preserve"> ADDIN EN.REFLIST </w:instrText>
      </w:r>
      <w:r w:rsidRPr="00E511F0">
        <w:rPr>
          <w:rFonts w:ascii="Arial" w:hAnsi="Arial" w:cs="Arial"/>
          <w:b w:val="0"/>
          <w:sz w:val="20"/>
          <w:szCs w:val="20"/>
        </w:rPr>
        <w:fldChar w:fldCharType="separate"/>
      </w:r>
      <w:r w:rsidR="00E511F0" w:rsidRPr="00E511F0">
        <w:rPr>
          <w:b w:val="0"/>
          <w:noProof/>
        </w:rPr>
        <w:t>1.</w:t>
      </w:r>
      <w:r w:rsidR="00E511F0" w:rsidRPr="00E511F0">
        <w:rPr>
          <w:b w:val="0"/>
          <w:noProof/>
        </w:rPr>
        <w:tab/>
        <w:t>Dickson AG, Sabine CL, Christian JR: Guide to best practices for ocean CO</w:t>
      </w:r>
      <w:r w:rsidR="00E511F0" w:rsidRPr="00E511F0">
        <w:rPr>
          <w:b w:val="0"/>
          <w:noProof/>
          <w:vertAlign w:val="subscript"/>
        </w:rPr>
        <w:t>2</w:t>
      </w:r>
      <w:r w:rsidR="00E511F0" w:rsidRPr="00E511F0">
        <w:rPr>
          <w:b w:val="0"/>
          <w:noProof/>
        </w:rPr>
        <w:t xml:space="preserve"> measurements: North Pacific Marine Science Organization; 2007.</w:t>
      </w:r>
    </w:p>
    <w:p w14:paraId="593D0972" w14:textId="77777777" w:rsidR="00E511F0" w:rsidRPr="00E511F0" w:rsidRDefault="00E511F0" w:rsidP="00E511F0">
      <w:pPr>
        <w:pStyle w:val="EndNoteBibliography"/>
        <w:ind w:left="720" w:hanging="720"/>
        <w:rPr>
          <w:b w:val="0"/>
          <w:noProof/>
        </w:rPr>
      </w:pPr>
      <w:r w:rsidRPr="00E511F0">
        <w:rPr>
          <w:b w:val="0"/>
          <w:noProof/>
        </w:rPr>
        <w:t>2.</w:t>
      </w:r>
      <w:r w:rsidRPr="00E511F0">
        <w:rPr>
          <w:b w:val="0"/>
          <w:noProof/>
        </w:rPr>
        <w:tab/>
        <w:t>Gattuso J-P, Epitalon J-M, Lavigne H, Orr JC, Gentili B, Hagens M, Hofmann A, Mueller J-D, Proye A, Rae J</w:t>
      </w:r>
      <w:r w:rsidRPr="00E511F0">
        <w:rPr>
          <w:b w:val="0"/>
          <w:i/>
          <w:noProof/>
        </w:rPr>
        <w:t xml:space="preserve"> et al</w:t>
      </w:r>
      <w:r w:rsidRPr="00E511F0">
        <w:rPr>
          <w:b w:val="0"/>
          <w:noProof/>
        </w:rPr>
        <w:t>: seacarb: seawater carbonate chemistry with R. In</w:t>
      </w:r>
      <w:r w:rsidRPr="00E511F0">
        <w:rPr>
          <w:b w:val="0"/>
          <w:i/>
          <w:noProof/>
        </w:rPr>
        <w:t>.</w:t>
      </w:r>
      <w:r w:rsidRPr="00E511F0">
        <w:rPr>
          <w:b w:val="0"/>
          <w:noProof/>
        </w:rPr>
        <w:t>, 3.2.12 edn; 2019.</w:t>
      </w:r>
    </w:p>
    <w:p w14:paraId="5E2702E3" w14:textId="77777777" w:rsidR="00E511F0" w:rsidRPr="00E511F0" w:rsidRDefault="00E511F0" w:rsidP="00E511F0">
      <w:pPr>
        <w:pStyle w:val="EndNoteBibliography"/>
        <w:ind w:left="720" w:hanging="720"/>
        <w:rPr>
          <w:b w:val="0"/>
          <w:noProof/>
        </w:rPr>
      </w:pPr>
      <w:r w:rsidRPr="00E511F0">
        <w:rPr>
          <w:b w:val="0"/>
          <w:noProof/>
        </w:rPr>
        <w:t>3.</w:t>
      </w:r>
      <w:r w:rsidRPr="00E511F0">
        <w:rPr>
          <w:b w:val="0"/>
          <w:noProof/>
        </w:rPr>
        <w:tab/>
        <w:t xml:space="preserve">Diaz-Pulido G, Anthony KRN, Kline DI, Dove S, Hoegh-Guldberg O: Interactions between ocean acidification and warming on the mortality and dissolution of coralline algae. </w:t>
      </w:r>
      <w:r w:rsidRPr="00E511F0">
        <w:rPr>
          <w:b w:val="0"/>
          <w:i/>
          <w:noProof/>
        </w:rPr>
        <w:t xml:space="preserve">Journal of Phycology </w:t>
      </w:r>
      <w:r w:rsidRPr="00E511F0">
        <w:rPr>
          <w:b w:val="0"/>
          <w:noProof/>
        </w:rPr>
        <w:t>2012, 1(48):32-39.</w:t>
      </w:r>
    </w:p>
    <w:p w14:paraId="274D5896" w14:textId="77777777" w:rsidR="00E511F0" w:rsidRPr="00E511F0" w:rsidRDefault="00E511F0" w:rsidP="00E511F0">
      <w:pPr>
        <w:pStyle w:val="EndNoteBibliography"/>
        <w:ind w:left="720" w:hanging="720"/>
        <w:rPr>
          <w:b w:val="0"/>
          <w:noProof/>
        </w:rPr>
      </w:pPr>
      <w:r w:rsidRPr="00E511F0">
        <w:rPr>
          <w:b w:val="0"/>
          <w:noProof/>
        </w:rPr>
        <w:t>4.</w:t>
      </w:r>
      <w:r w:rsidRPr="00E511F0">
        <w:rPr>
          <w:b w:val="0"/>
          <w:noProof/>
        </w:rPr>
        <w:tab/>
        <w:t xml:space="preserve">Page TM, McDougall C, Diaz-Pulido G: </w:t>
      </w:r>
      <w:r w:rsidRPr="00E511F0">
        <w:rPr>
          <w:b w:val="0"/>
          <w:i/>
          <w:noProof/>
        </w:rPr>
        <w:t>De novo</w:t>
      </w:r>
      <w:r w:rsidRPr="00E511F0">
        <w:rPr>
          <w:b w:val="0"/>
          <w:noProof/>
        </w:rPr>
        <w:t xml:space="preserve"> transcriptome assembly for four species of crustose coralline algae and analysis of unique orthologous genes. </w:t>
      </w:r>
      <w:r w:rsidRPr="00E511F0">
        <w:rPr>
          <w:b w:val="0"/>
          <w:i/>
          <w:noProof/>
        </w:rPr>
        <w:t xml:space="preserve">Scientific Reports </w:t>
      </w:r>
      <w:r w:rsidRPr="00E511F0">
        <w:rPr>
          <w:b w:val="0"/>
          <w:noProof/>
        </w:rPr>
        <w:t>2019, 9(1):12611.</w:t>
      </w:r>
    </w:p>
    <w:p w14:paraId="6247496F" w14:textId="77777777" w:rsidR="00E511F0" w:rsidRPr="00E511F0" w:rsidRDefault="00E511F0" w:rsidP="00E511F0">
      <w:pPr>
        <w:pStyle w:val="EndNoteBibliography"/>
        <w:ind w:left="720" w:hanging="720"/>
        <w:rPr>
          <w:b w:val="0"/>
          <w:noProof/>
        </w:rPr>
      </w:pPr>
      <w:r w:rsidRPr="00E511F0">
        <w:rPr>
          <w:b w:val="0"/>
          <w:noProof/>
        </w:rPr>
        <w:t>5.</w:t>
      </w:r>
      <w:r w:rsidRPr="00E511F0">
        <w:rPr>
          <w:b w:val="0"/>
          <w:noProof/>
        </w:rPr>
        <w:tab/>
        <w:t>Hashimshony T, Senderovich N, Avital G, Klochendler A, de Leeuw Y, Anavy L, Gennert D, Li S, Livak KJ, Rozenblatt-Rosen O</w:t>
      </w:r>
      <w:r w:rsidRPr="00E511F0">
        <w:rPr>
          <w:b w:val="0"/>
          <w:i/>
          <w:noProof/>
        </w:rPr>
        <w:t xml:space="preserve"> et al</w:t>
      </w:r>
      <w:r w:rsidRPr="00E511F0">
        <w:rPr>
          <w:b w:val="0"/>
          <w:noProof/>
        </w:rPr>
        <w:t xml:space="preserve">: CEL-Seq2: Sensitive highly-multiplexed single-cell RNA-Seq. </w:t>
      </w:r>
      <w:r w:rsidRPr="00E511F0">
        <w:rPr>
          <w:b w:val="0"/>
          <w:i/>
          <w:noProof/>
        </w:rPr>
        <w:t xml:space="preserve">Genome Biology </w:t>
      </w:r>
      <w:r w:rsidRPr="00E511F0">
        <w:rPr>
          <w:b w:val="0"/>
          <w:noProof/>
        </w:rPr>
        <w:t>2016, 17(1):77.</w:t>
      </w:r>
    </w:p>
    <w:p w14:paraId="3C472BF5" w14:textId="77777777" w:rsidR="00E511F0" w:rsidRPr="00E511F0" w:rsidRDefault="00E511F0" w:rsidP="00E511F0">
      <w:pPr>
        <w:pStyle w:val="EndNoteBibliography"/>
        <w:ind w:left="720" w:hanging="720"/>
        <w:rPr>
          <w:b w:val="0"/>
          <w:noProof/>
        </w:rPr>
      </w:pPr>
      <w:r w:rsidRPr="00E511F0">
        <w:rPr>
          <w:b w:val="0"/>
          <w:noProof/>
        </w:rPr>
        <w:lastRenderedPageBreak/>
        <w:t>6.</w:t>
      </w:r>
      <w:r w:rsidRPr="00E511F0">
        <w:rPr>
          <w:b w:val="0"/>
          <w:noProof/>
        </w:rPr>
        <w:tab/>
        <w:t xml:space="preserve">McDougall C, Aguilera F, Shokoohmand A, Moase P, Degnan BM: Pearl sac gene expression profiles associated with pearl attributes in the silver-lip pearl oyster, </w:t>
      </w:r>
      <w:r w:rsidRPr="00E511F0">
        <w:rPr>
          <w:b w:val="0"/>
          <w:i/>
          <w:noProof/>
        </w:rPr>
        <w:t>Pinctada maxima</w:t>
      </w:r>
      <w:r w:rsidRPr="00E511F0">
        <w:rPr>
          <w:b w:val="0"/>
          <w:noProof/>
        </w:rPr>
        <w:t xml:space="preserve">. </w:t>
      </w:r>
      <w:r w:rsidRPr="00E511F0">
        <w:rPr>
          <w:b w:val="0"/>
          <w:i/>
          <w:noProof/>
        </w:rPr>
        <w:t xml:space="preserve">Frontiers in Genetics </w:t>
      </w:r>
      <w:r w:rsidRPr="00E511F0">
        <w:rPr>
          <w:b w:val="0"/>
          <w:noProof/>
        </w:rPr>
        <w:t>2021, 11:597459-597459.</w:t>
      </w:r>
    </w:p>
    <w:p w14:paraId="640E9FE5" w14:textId="77777777" w:rsidR="00E511F0" w:rsidRPr="00E511F0" w:rsidRDefault="00E511F0" w:rsidP="00E511F0">
      <w:pPr>
        <w:pStyle w:val="EndNoteBibliography"/>
        <w:ind w:left="720" w:hanging="720"/>
        <w:rPr>
          <w:b w:val="0"/>
          <w:noProof/>
        </w:rPr>
      </w:pPr>
      <w:r w:rsidRPr="00E511F0">
        <w:rPr>
          <w:b w:val="0"/>
          <w:noProof/>
        </w:rPr>
        <w:t>7.</w:t>
      </w:r>
      <w:r w:rsidRPr="00E511F0">
        <w:rPr>
          <w:b w:val="0"/>
          <w:noProof/>
        </w:rPr>
        <w:tab/>
        <w:t xml:space="preserve">Schmieder R, Edwards R: Quality control and preprocessing of metagenomic datasets. </w:t>
      </w:r>
      <w:r w:rsidRPr="00E511F0">
        <w:rPr>
          <w:b w:val="0"/>
          <w:i/>
          <w:noProof/>
        </w:rPr>
        <w:t xml:space="preserve">Bioinformatics </w:t>
      </w:r>
      <w:r w:rsidRPr="00E511F0">
        <w:rPr>
          <w:b w:val="0"/>
          <w:noProof/>
        </w:rPr>
        <w:t>2011, 27(6):863-864.</w:t>
      </w:r>
    </w:p>
    <w:p w14:paraId="79FFDD17" w14:textId="77777777" w:rsidR="00E511F0" w:rsidRPr="00E511F0" w:rsidRDefault="00E511F0" w:rsidP="00E511F0">
      <w:pPr>
        <w:pStyle w:val="EndNoteBibliography"/>
        <w:ind w:left="720" w:hanging="720"/>
        <w:rPr>
          <w:b w:val="0"/>
          <w:noProof/>
        </w:rPr>
      </w:pPr>
      <w:r w:rsidRPr="00E511F0">
        <w:rPr>
          <w:b w:val="0"/>
          <w:noProof/>
        </w:rPr>
        <w:t>8.</w:t>
      </w:r>
      <w:r w:rsidRPr="00E511F0">
        <w:rPr>
          <w:b w:val="0"/>
          <w:noProof/>
        </w:rPr>
        <w:tab/>
        <w:t xml:space="preserve">Langmead B, Trapnell C, Pop M, Salzberg SL: Ultrafast and memory-efficient alignment of short DNA sequences to the human genome. </w:t>
      </w:r>
      <w:r w:rsidRPr="00E511F0">
        <w:rPr>
          <w:b w:val="0"/>
          <w:i/>
          <w:noProof/>
        </w:rPr>
        <w:t xml:space="preserve">Genome Biology </w:t>
      </w:r>
      <w:r w:rsidRPr="00E511F0">
        <w:rPr>
          <w:b w:val="0"/>
          <w:noProof/>
        </w:rPr>
        <w:t>2009, 10(3):R25.</w:t>
      </w:r>
    </w:p>
    <w:p w14:paraId="48B68B3B" w14:textId="77777777" w:rsidR="00E511F0" w:rsidRPr="00E511F0" w:rsidRDefault="00E511F0" w:rsidP="00E511F0">
      <w:pPr>
        <w:pStyle w:val="EndNoteBibliography"/>
        <w:ind w:left="720" w:hanging="720"/>
        <w:rPr>
          <w:b w:val="0"/>
          <w:noProof/>
        </w:rPr>
      </w:pPr>
      <w:r w:rsidRPr="00E511F0">
        <w:rPr>
          <w:b w:val="0"/>
          <w:noProof/>
        </w:rPr>
        <w:t>9.</w:t>
      </w:r>
      <w:r w:rsidRPr="00E511F0">
        <w:rPr>
          <w:b w:val="0"/>
          <w:noProof/>
        </w:rPr>
        <w:tab/>
        <w:t xml:space="preserve">Grün D, Kester L, van Oudenaarden A: Validation of noise models for single-cell transcriptomics. </w:t>
      </w:r>
      <w:r w:rsidRPr="00E511F0">
        <w:rPr>
          <w:b w:val="0"/>
          <w:i/>
          <w:noProof/>
        </w:rPr>
        <w:t xml:space="preserve">Nature Methods </w:t>
      </w:r>
      <w:r w:rsidRPr="00E511F0">
        <w:rPr>
          <w:b w:val="0"/>
          <w:noProof/>
        </w:rPr>
        <w:t>2014, 11(6):637-640.</w:t>
      </w:r>
    </w:p>
    <w:p w14:paraId="3B983A72" w14:textId="77777777" w:rsidR="00E511F0" w:rsidRPr="00E511F0" w:rsidRDefault="00E511F0" w:rsidP="00E511F0">
      <w:pPr>
        <w:pStyle w:val="EndNoteBibliography"/>
        <w:ind w:left="720" w:hanging="720"/>
        <w:rPr>
          <w:b w:val="0"/>
          <w:noProof/>
        </w:rPr>
      </w:pPr>
      <w:r w:rsidRPr="00E511F0">
        <w:rPr>
          <w:b w:val="0"/>
          <w:noProof/>
        </w:rPr>
        <w:t>10.</w:t>
      </w:r>
      <w:r w:rsidRPr="00E511F0">
        <w:rPr>
          <w:b w:val="0"/>
          <w:noProof/>
        </w:rPr>
        <w:tab/>
        <w:t xml:space="preserve">Robinson MD, McCarthy DJ, Smyth GK: edgeR: a Bioconductor package for differential expression analysis of digital gene expression data. </w:t>
      </w:r>
      <w:r w:rsidRPr="00E511F0">
        <w:rPr>
          <w:b w:val="0"/>
          <w:i/>
          <w:noProof/>
        </w:rPr>
        <w:t xml:space="preserve">Bioinformatics </w:t>
      </w:r>
      <w:r w:rsidRPr="00E511F0">
        <w:rPr>
          <w:b w:val="0"/>
          <w:noProof/>
        </w:rPr>
        <w:t>2010, 26(1):139-140.</w:t>
      </w:r>
    </w:p>
    <w:p w14:paraId="1ACE2B22" w14:textId="77777777" w:rsidR="00E511F0" w:rsidRPr="00E511F0" w:rsidRDefault="00E511F0" w:rsidP="00E511F0">
      <w:pPr>
        <w:pStyle w:val="EndNoteBibliography"/>
        <w:ind w:left="720" w:hanging="720"/>
        <w:rPr>
          <w:b w:val="0"/>
          <w:noProof/>
        </w:rPr>
      </w:pPr>
      <w:r w:rsidRPr="00E511F0">
        <w:rPr>
          <w:b w:val="0"/>
          <w:noProof/>
        </w:rPr>
        <w:t>11.</w:t>
      </w:r>
      <w:r w:rsidRPr="00E511F0">
        <w:rPr>
          <w:b w:val="0"/>
          <w:noProof/>
        </w:rPr>
        <w:tab/>
        <w:t>Kolde R: pheatmap: Pretty heatmaps. In</w:t>
      </w:r>
      <w:r w:rsidRPr="00E511F0">
        <w:rPr>
          <w:b w:val="0"/>
          <w:i/>
          <w:noProof/>
        </w:rPr>
        <w:t>.</w:t>
      </w:r>
      <w:r w:rsidRPr="00E511F0">
        <w:rPr>
          <w:b w:val="0"/>
          <w:noProof/>
        </w:rPr>
        <w:t xml:space="preserve"> Edited by Kolde R, 1.0.12 edn; 2015.</w:t>
      </w:r>
    </w:p>
    <w:p w14:paraId="3EB60E75" w14:textId="77777777" w:rsidR="00E511F0" w:rsidRPr="00E511F0" w:rsidRDefault="00E511F0" w:rsidP="00E511F0">
      <w:pPr>
        <w:pStyle w:val="EndNoteBibliography"/>
        <w:ind w:left="720" w:hanging="720"/>
        <w:rPr>
          <w:b w:val="0"/>
          <w:noProof/>
        </w:rPr>
      </w:pPr>
      <w:r w:rsidRPr="00E511F0">
        <w:rPr>
          <w:b w:val="0"/>
          <w:noProof/>
        </w:rPr>
        <w:t>12.</w:t>
      </w:r>
      <w:r w:rsidRPr="00E511F0">
        <w:rPr>
          <w:b w:val="0"/>
          <w:noProof/>
        </w:rPr>
        <w:tab/>
        <w:t xml:space="preserve">Shannon P, Markiel A, Ozier O, Baliga NS, Wang JT, Ramage D, Amin N, Schwikowski B, Ideker T: Cytoscape: A software environment for integrated models of biomolecular interaction networks. </w:t>
      </w:r>
      <w:r w:rsidRPr="00E511F0">
        <w:rPr>
          <w:b w:val="0"/>
          <w:i/>
          <w:noProof/>
        </w:rPr>
        <w:t xml:space="preserve">Genome Research </w:t>
      </w:r>
      <w:r w:rsidRPr="00E511F0">
        <w:rPr>
          <w:b w:val="0"/>
          <w:noProof/>
        </w:rPr>
        <w:t>2003, 13(11):2498-2504.</w:t>
      </w:r>
    </w:p>
    <w:p w14:paraId="0B7B81BC" w14:textId="77777777" w:rsidR="00E511F0" w:rsidRPr="00E511F0" w:rsidRDefault="00E511F0" w:rsidP="00E511F0">
      <w:pPr>
        <w:pStyle w:val="EndNoteBibliography"/>
        <w:ind w:left="720" w:hanging="720"/>
        <w:rPr>
          <w:b w:val="0"/>
          <w:noProof/>
        </w:rPr>
      </w:pPr>
      <w:r w:rsidRPr="00E511F0">
        <w:rPr>
          <w:b w:val="0"/>
          <w:noProof/>
        </w:rPr>
        <w:t>13.</w:t>
      </w:r>
      <w:r w:rsidRPr="00E511F0">
        <w:rPr>
          <w:b w:val="0"/>
          <w:noProof/>
        </w:rPr>
        <w:tab/>
        <w:t xml:space="preserve">Heymans K, Kuiper M, Maere S: BiNGO: a Cytoscape plugin to assess overrepresentation of Gene Ontology categories in Biological Networks. </w:t>
      </w:r>
      <w:r w:rsidRPr="00E511F0">
        <w:rPr>
          <w:b w:val="0"/>
          <w:i/>
          <w:noProof/>
        </w:rPr>
        <w:t xml:space="preserve">Bioinformatics </w:t>
      </w:r>
      <w:r w:rsidRPr="00E511F0">
        <w:rPr>
          <w:b w:val="0"/>
          <w:noProof/>
        </w:rPr>
        <w:t>2005, 21(16):3448-3449.</w:t>
      </w:r>
    </w:p>
    <w:p w14:paraId="72C22A26" w14:textId="77777777" w:rsidR="00E511F0" w:rsidRPr="00E511F0" w:rsidRDefault="00E511F0" w:rsidP="00E511F0">
      <w:pPr>
        <w:pStyle w:val="EndNoteBibliography"/>
        <w:ind w:left="720" w:hanging="720"/>
        <w:rPr>
          <w:b w:val="0"/>
          <w:noProof/>
        </w:rPr>
      </w:pPr>
      <w:r w:rsidRPr="00E511F0">
        <w:rPr>
          <w:b w:val="0"/>
          <w:noProof/>
        </w:rPr>
        <w:t>14.</w:t>
      </w:r>
      <w:r w:rsidRPr="00E511F0">
        <w:rPr>
          <w:b w:val="0"/>
          <w:noProof/>
        </w:rPr>
        <w:tab/>
        <w:t xml:space="preserve">Supek F, Bošnjak M, Škunca N, Šmuc T: REVIGO summarizes and visualizes long lists of gene ontology terms. </w:t>
      </w:r>
      <w:r w:rsidRPr="00E511F0">
        <w:rPr>
          <w:b w:val="0"/>
          <w:i/>
          <w:noProof/>
        </w:rPr>
        <w:t xml:space="preserve">PLOS ONE </w:t>
      </w:r>
      <w:r w:rsidRPr="00E511F0">
        <w:rPr>
          <w:b w:val="0"/>
          <w:noProof/>
        </w:rPr>
        <w:t>2011, 6(7):e21800.</w:t>
      </w:r>
    </w:p>
    <w:p w14:paraId="2B64183A" w14:textId="77777777" w:rsidR="00E511F0" w:rsidRPr="00E511F0" w:rsidRDefault="00E511F0" w:rsidP="00E511F0">
      <w:pPr>
        <w:pStyle w:val="EndNoteBibliography"/>
        <w:ind w:left="720" w:hanging="720"/>
        <w:rPr>
          <w:b w:val="0"/>
          <w:noProof/>
        </w:rPr>
      </w:pPr>
      <w:r w:rsidRPr="00E511F0">
        <w:rPr>
          <w:b w:val="0"/>
          <w:noProof/>
        </w:rPr>
        <w:t>15.</w:t>
      </w:r>
      <w:r w:rsidRPr="00E511F0">
        <w:rPr>
          <w:b w:val="0"/>
          <w:noProof/>
        </w:rPr>
        <w:tab/>
        <w:t xml:space="preserve">Altschul SF, Gish W, Miller W, Myers EW, Lipman DJ: Basic local alignment search tool. </w:t>
      </w:r>
      <w:r w:rsidRPr="00E511F0">
        <w:rPr>
          <w:b w:val="0"/>
          <w:i/>
          <w:noProof/>
        </w:rPr>
        <w:t xml:space="preserve">Journal of Molecular Biology </w:t>
      </w:r>
      <w:r w:rsidRPr="00E511F0">
        <w:rPr>
          <w:b w:val="0"/>
          <w:noProof/>
        </w:rPr>
        <w:t>1990, 215:403-410.</w:t>
      </w:r>
    </w:p>
    <w:p w14:paraId="7FD9EF56" w14:textId="77777777" w:rsidR="00E511F0" w:rsidRPr="00E511F0" w:rsidRDefault="00E511F0" w:rsidP="00E511F0">
      <w:pPr>
        <w:pStyle w:val="EndNoteBibliography"/>
        <w:ind w:left="720" w:hanging="720"/>
        <w:rPr>
          <w:b w:val="0"/>
          <w:noProof/>
        </w:rPr>
      </w:pPr>
      <w:r w:rsidRPr="00E511F0">
        <w:rPr>
          <w:b w:val="0"/>
          <w:noProof/>
        </w:rPr>
        <w:t>16.</w:t>
      </w:r>
      <w:r w:rsidRPr="00E511F0">
        <w:rPr>
          <w:b w:val="0"/>
          <w:noProof/>
        </w:rPr>
        <w:tab/>
        <w:t xml:space="preserve">Kanehisa M, Sato Y, Kawashima M, Furumichi M, Tanabe M: KEGG as a reference resource for gene and protein annotation. </w:t>
      </w:r>
      <w:r w:rsidRPr="00E511F0">
        <w:rPr>
          <w:b w:val="0"/>
          <w:i/>
          <w:noProof/>
        </w:rPr>
        <w:t xml:space="preserve">Nucleic Acids Research </w:t>
      </w:r>
      <w:r w:rsidRPr="00E511F0">
        <w:rPr>
          <w:b w:val="0"/>
          <w:noProof/>
        </w:rPr>
        <w:t>2016, 44(D1):D457-D462.</w:t>
      </w:r>
    </w:p>
    <w:p w14:paraId="74AF6E36" w14:textId="77777777" w:rsidR="00E511F0" w:rsidRPr="00E511F0" w:rsidRDefault="00E511F0" w:rsidP="00E511F0">
      <w:pPr>
        <w:pStyle w:val="EndNoteBibliography"/>
        <w:ind w:left="720" w:hanging="720"/>
        <w:rPr>
          <w:b w:val="0"/>
          <w:noProof/>
        </w:rPr>
      </w:pPr>
      <w:r w:rsidRPr="00E511F0">
        <w:rPr>
          <w:b w:val="0"/>
          <w:noProof/>
        </w:rPr>
        <w:t>17.</w:t>
      </w:r>
      <w:r w:rsidRPr="00E511F0">
        <w:rPr>
          <w:b w:val="0"/>
          <w:noProof/>
        </w:rPr>
        <w:tab/>
        <w:t xml:space="preserve">Li B, Chen C, Xu Y, Ji D, Xie C: Validation of housekeeping genes as internal controls for studying the gene expression in </w:t>
      </w:r>
      <w:r w:rsidRPr="00E511F0">
        <w:rPr>
          <w:b w:val="0"/>
          <w:i/>
          <w:noProof/>
        </w:rPr>
        <w:t>Pyropia haitanensis</w:t>
      </w:r>
      <w:r w:rsidRPr="00E511F0">
        <w:rPr>
          <w:b w:val="0"/>
          <w:noProof/>
        </w:rPr>
        <w:t xml:space="preserve"> (Bangiales, Rhodophyta) by quantitative real-time PCR. </w:t>
      </w:r>
      <w:r w:rsidRPr="00E511F0">
        <w:rPr>
          <w:b w:val="0"/>
          <w:i/>
          <w:noProof/>
        </w:rPr>
        <w:t xml:space="preserve">Acta Oceanologica Sinica </w:t>
      </w:r>
      <w:r w:rsidRPr="00E511F0">
        <w:rPr>
          <w:b w:val="0"/>
          <w:noProof/>
        </w:rPr>
        <w:t>2014, 33(9):152-159.</w:t>
      </w:r>
    </w:p>
    <w:p w14:paraId="0778C2B8" w14:textId="77777777" w:rsidR="00E511F0" w:rsidRPr="00E511F0" w:rsidRDefault="00E511F0" w:rsidP="00E511F0">
      <w:pPr>
        <w:pStyle w:val="EndNoteBibliography"/>
        <w:ind w:left="720" w:hanging="720"/>
        <w:rPr>
          <w:b w:val="0"/>
          <w:noProof/>
        </w:rPr>
      </w:pPr>
      <w:r w:rsidRPr="00E511F0">
        <w:rPr>
          <w:b w:val="0"/>
          <w:noProof/>
        </w:rPr>
        <w:t>18.</w:t>
      </w:r>
      <w:r w:rsidRPr="00E511F0">
        <w:rPr>
          <w:b w:val="0"/>
          <w:noProof/>
        </w:rPr>
        <w:tab/>
        <w:t xml:space="preserve">Zeng J, Liu S, Zhao Y, Tan X, Aljohi HA, Liu W, Hu S: Identification and analysis of house-keeping and tissue-specific genes based on RNA-seq data sets across 15 mouse tissues. </w:t>
      </w:r>
      <w:r w:rsidRPr="00E511F0">
        <w:rPr>
          <w:b w:val="0"/>
          <w:i/>
          <w:noProof/>
        </w:rPr>
        <w:t xml:space="preserve">Gene </w:t>
      </w:r>
      <w:r w:rsidRPr="00E511F0">
        <w:rPr>
          <w:b w:val="0"/>
          <w:noProof/>
        </w:rPr>
        <w:t>2016, 576(1, Part 3):560-570.</w:t>
      </w:r>
    </w:p>
    <w:p w14:paraId="33F574CF" w14:textId="77777777" w:rsidR="00E511F0" w:rsidRPr="00E511F0" w:rsidRDefault="00E511F0" w:rsidP="00E511F0">
      <w:pPr>
        <w:pStyle w:val="EndNoteBibliography"/>
        <w:ind w:left="720" w:hanging="720"/>
        <w:rPr>
          <w:b w:val="0"/>
          <w:noProof/>
        </w:rPr>
      </w:pPr>
      <w:r w:rsidRPr="00E511F0">
        <w:rPr>
          <w:b w:val="0"/>
          <w:noProof/>
        </w:rPr>
        <w:t>19.</w:t>
      </w:r>
      <w:r w:rsidRPr="00E511F0">
        <w:rPr>
          <w:b w:val="0"/>
          <w:noProof/>
        </w:rPr>
        <w:tab/>
        <w:t xml:space="preserve">Rozen S, Skaletsky H: Primer3 on the WWW for general users and for biologist programmers. </w:t>
      </w:r>
      <w:r w:rsidRPr="00E511F0">
        <w:rPr>
          <w:b w:val="0"/>
          <w:i/>
          <w:noProof/>
        </w:rPr>
        <w:t xml:space="preserve">Methods Mol Biol </w:t>
      </w:r>
      <w:r w:rsidRPr="00E511F0">
        <w:rPr>
          <w:b w:val="0"/>
          <w:noProof/>
        </w:rPr>
        <w:t>2000, 132:365-386.</w:t>
      </w:r>
    </w:p>
    <w:p w14:paraId="05DF6B53" w14:textId="77777777" w:rsidR="00E511F0" w:rsidRPr="00E511F0" w:rsidRDefault="00E511F0" w:rsidP="00E511F0">
      <w:pPr>
        <w:pStyle w:val="EndNoteBibliography"/>
        <w:ind w:left="720" w:hanging="720"/>
        <w:rPr>
          <w:b w:val="0"/>
          <w:noProof/>
        </w:rPr>
      </w:pPr>
      <w:r w:rsidRPr="00E511F0">
        <w:rPr>
          <w:b w:val="0"/>
          <w:noProof/>
        </w:rPr>
        <w:t>20.</w:t>
      </w:r>
      <w:r w:rsidRPr="00E511F0">
        <w:rPr>
          <w:b w:val="0"/>
          <w:noProof/>
        </w:rPr>
        <w:tab/>
        <w:t xml:space="preserve">Vandesompele J, De Preter K, Pattyn F, Poppe B, Van Roy N, De Paepe A, Speleman F: Accurate normalization of real-time quantitative RT-PCR data by geometric averaging of multiple internal control genes. </w:t>
      </w:r>
      <w:r w:rsidRPr="00E511F0">
        <w:rPr>
          <w:b w:val="0"/>
          <w:i/>
          <w:noProof/>
        </w:rPr>
        <w:t xml:space="preserve">Genome Biology </w:t>
      </w:r>
      <w:r w:rsidRPr="00E511F0">
        <w:rPr>
          <w:b w:val="0"/>
          <w:noProof/>
        </w:rPr>
        <w:t>2002, 3(7):1-12.</w:t>
      </w:r>
    </w:p>
    <w:p w14:paraId="5D92DD34" w14:textId="77777777" w:rsidR="00E511F0" w:rsidRPr="00E511F0" w:rsidRDefault="00E511F0" w:rsidP="00E511F0">
      <w:pPr>
        <w:pStyle w:val="EndNoteBibliography"/>
        <w:ind w:left="720" w:hanging="720"/>
        <w:rPr>
          <w:b w:val="0"/>
          <w:noProof/>
        </w:rPr>
      </w:pPr>
      <w:r w:rsidRPr="00E511F0">
        <w:rPr>
          <w:b w:val="0"/>
          <w:noProof/>
        </w:rPr>
        <w:t>21.</w:t>
      </w:r>
      <w:r w:rsidRPr="00E511F0">
        <w:rPr>
          <w:b w:val="0"/>
          <w:noProof/>
        </w:rPr>
        <w:tab/>
        <w:t xml:space="preserve">Page TM, Diaz-Pulido G: Plasticity of adult coralline algae to prolonged increased temperature and </w:t>
      </w:r>
      <w:r w:rsidRPr="00E511F0">
        <w:rPr>
          <w:b w:val="0"/>
          <w:i/>
          <w:noProof/>
        </w:rPr>
        <w:t>p</w:t>
      </w:r>
      <w:r w:rsidRPr="00E511F0">
        <w:rPr>
          <w:b w:val="0"/>
          <w:noProof/>
        </w:rPr>
        <w:t>CO</w:t>
      </w:r>
      <w:r w:rsidRPr="00E511F0">
        <w:rPr>
          <w:b w:val="0"/>
          <w:noProof/>
          <w:vertAlign w:val="subscript"/>
        </w:rPr>
        <w:t>2</w:t>
      </w:r>
      <w:r w:rsidRPr="00E511F0">
        <w:rPr>
          <w:b w:val="0"/>
          <w:noProof/>
        </w:rPr>
        <w:t xml:space="preserve"> exposure but reduced survival in their first generation. </w:t>
      </w:r>
      <w:r w:rsidRPr="00E511F0">
        <w:rPr>
          <w:b w:val="0"/>
          <w:i/>
          <w:noProof/>
        </w:rPr>
        <w:t xml:space="preserve">PLOS ONE </w:t>
      </w:r>
      <w:r w:rsidRPr="00E511F0">
        <w:rPr>
          <w:b w:val="0"/>
          <w:noProof/>
        </w:rPr>
        <w:t>2020, 15(6):e0235125.</w:t>
      </w:r>
    </w:p>
    <w:p w14:paraId="7901DD43" w14:textId="77777777" w:rsidR="00E511F0" w:rsidRPr="00E511F0" w:rsidRDefault="00E511F0" w:rsidP="00E511F0">
      <w:pPr>
        <w:pStyle w:val="EndNoteBibliography"/>
        <w:ind w:left="720" w:hanging="720"/>
        <w:rPr>
          <w:b w:val="0"/>
          <w:noProof/>
        </w:rPr>
      </w:pPr>
      <w:r w:rsidRPr="00E511F0">
        <w:rPr>
          <w:b w:val="0"/>
          <w:noProof/>
        </w:rPr>
        <w:t>22.</w:t>
      </w:r>
      <w:r w:rsidRPr="00E511F0">
        <w:rPr>
          <w:b w:val="0"/>
          <w:noProof/>
        </w:rPr>
        <w:tab/>
        <w:t xml:space="preserve">Marsh Jr JA: Primary productivity of reef‐building calcareous red algae. </w:t>
      </w:r>
      <w:r w:rsidRPr="00E511F0">
        <w:rPr>
          <w:b w:val="0"/>
          <w:i/>
          <w:noProof/>
        </w:rPr>
        <w:t xml:space="preserve">Ecology </w:t>
      </w:r>
      <w:r w:rsidRPr="00E511F0">
        <w:rPr>
          <w:b w:val="0"/>
          <w:noProof/>
        </w:rPr>
        <w:t>1970, 51(2):255-263.</w:t>
      </w:r>
    </w:p>
    <w:p w14:paraId="272DDEC7" w14:textId="77777777" w:rsidR="00E511F0" w:rsidRPr="00E511F0" w:rsidRDefault="00E511F0" w:rsidP="00E511F0">
      <w:pPr>
        <w:pStyle w:val="EndNoteBibliography"/>
        <w:ind w:left="720" w:hanging="720"/>
        <w:rPr>
          <w:b w:val="0"/>
          <w:noProof/>
        </w:rPr>
      </w:pPr>
      <w:r w:rsidRPr="00E511F0">
        <w:rPr>
          <w:b w:val="0"/>
          <w:noProof/>
        </w:rPr>
        <w:t>23.</w:t>
      </w:r>
      <w:r w:rsidRPr="00E511F0">
        <w:rPr>
          <w:b w:val="0"/>
          <w:noProof/>
        </w:rPr>
        <w:tab/>
        <w:t xml:space="preserve">Peña V, Vieira C, Carlos Braga J, Aguirre J, Rösler A, Baele G, De Clerck O, Le Gall L: Radiation of the coralline red algae (Corallinophycidae, Rhodophyta) crown group as inferred from a multilocus time-calibrated phylogeny. </w:t>
      </w:r>
      <w:r w:rsidRPr="00E511F0">
        <w:rPr>
          <w:b w:val="0"/>
          <w:i/>
          <w:noProof/>
        </w:rPr>
        <w:t xml:space="preserve">Molecular Phylogenetics and Evolution </w:t>
      </w:r>
      <w:r w:rsidRPr="00E511F0">
        <w:rPr>
          <w:b w:val="0"/>
          <w:noProof/>
        </w:rPr>
        <w:t>2020, 150:106845.</w:t>
      </w:r>
    </w:p>
    <w:p w14:paraId="7DDB8C57" w14:textId="77777777" w:rsidR="00E511F0" w:rsidRPr="00E511F0" w:rsidRDefault="00E511F0" w:rsidP="00E511F0">
      <w:pPr>
        <w:pStyle w:val="EndNoteBibliography"/>
        <w:ind w:left="720" w:hanging="720"/>
        <w:rPr>
          <w:b w:val="0"/>
          <w:noProof/>
        </w:rPr>
      </w:pPr>
      <w:r w:rsidRPr="00E511F0">
        <w:rPr>
          <w:b w:val="0"/>
          <w:noProof/>
        </w:rPr>
        <w:lastRenderedPageBreak/>
        <w:t>24.</w:t>
      </w:r>
      <w:r w:rsidRPr="00E511F0">
        <w:rPr>
          <w:b w:val="0"/>
          <w:noProof/>
        </w:rPr>
        <w:tab/>
        <w:t xml:space="preserve">Anthony KRN, Kline DI, Diaz-Pulido G, Dove S, Hoegh-Guldberg O: Ocean acidification causes bleaching and productivity loss in coral reef builders. </w:t>
      </w:r>
      <w:r w:rsidRPr="00E511F0">
        <w:rPr>
          <w:b w:val="0"/>
          <w:i/>
          <w:noProof/>
        </w:rPr>
        <w:t xml:space="preserve">Proceedings of the National Academy of Sciences </w:t>
      </w:r>
      <w:r w:rsidRPr="00E511F0">
        <w:rPr>
          <w:b w:val="0"/>
          <w:noProof/>
        </w:rPr>
        <w:t>2008, 105(45):17442-17446.</w:t>
      </w:r>
    </w:p>
    <w:p w14:paraId="2D5D0E00" w14:textId="77777777" w:rsidR="00E511F0" w:rsidRPr="00E511F0" w:rsidRDefault="00E511F0" w:rsidP="00E511F0">
      <w:pPr>
        <w:pStyle w:val="EndNoteBibliography"/>
        <w:ind w:left="720" w:hanging="720"/>
        <w:rPr>
          <w:b w:val="0"/>
          <w:noProof/>
        </w:rPr>
      </w:pPr>
      <w:r w:rsidRPr="00E511F0">
        <w:rPr>
          <w:b w:val="0"/>
          <w:noProof/>
        </w:rPr>
        <w:t>25.</w:t>
      </w:r>
      <w:r w:rsidRPr="00E511F0">
        <w:rPr>
          <w:b w:val="0"/>
          <w:noProof/>
        </w:rPr>
        <w:tab/>
        <w:t xml:space="preserve">Bergstrom E, Ordoñez A, Ho M, Hurd C, Fry B, Diaz-Pulido G: Inorganic carbon uptake strategies in coralline algae: Plasticity across evolutionary lineages under ocean acidification and warming. </w:t>
      </w:r>
      <w:r w:rsidRPr="00E511F0">
        <w:rPr>
          <w:b w:val="0"/>
          <w:i/>
          <w:noProof/>
        </w:rPr>
        <w:t xml:space="preserve">Marine Environmental Research </w:t>
      </w:r>
      <w:r w:rsidRPr="00E511F0">
        <w:rPr>
          <w:b w:val="0"/>
          <w:noProof/>
        </w:rPr>
        <w:t>2020, 161:105107.</w:t>
      </w:r>
    </w:p>
    <w:p w14:paraId="5A743CF5" w14:textId="77777777" w:rsidR="00E511F0" w:rsidRPr="00E511F0" w:rsidRDefault="00E511F0" w:rsidP="00E511F0">
      <w:pPr>
        <w:pStyle w:val="EndNoteBibliography"/>
        <w:ind w:left="720" w:hanging="720"/>
        <w:rPr>
          <w:b w:val="0"/>
          <w:noProof/>
        </w:rPr>
      </w:pPr>
      <w:r w:rsidRPr="00E511F0">
        <w:rPr>
          <w:b w:val="0"/>
          <w:noProof/>
        </w:rPr>
        <w:t>26.</w:t>
      </w:r>
      <w:r w:rsidRPr="00E511F0">
        <w:rPr>
          <w:b w:val="0"/>
          <w:noProof/>
        </w:rPr>
        <w:tab/>
        <w:t>Kim J-H, Kim N, Moon H, Lee S, Jeong SY, Diaz-Pulido G, Edwards MS, Kang J-H, Kang EJ, Oh H-J</w:t>
      </w:r>
      <w:r w:rsidRPr="00E511F0">
        <w:rPr>
          <w:b w:val="0"/>
          <w:i/>
          <w:noProof/>
        </w:rPr>
        <w:t xml:space="preserve"> et al</w:t>
      </w:r>
      <w:r w:rsidRPr="00E511F0">
        <w:rPr>
          <w:b w:val="0"/>
          <w:noProof/>
        </w:rPr>
        <w:t xml:space="preserve">: Global warming offsets the ecophysiological stress of ocean acidification on temperate crustose coralline algae. </w:t>
      </w:r>
      <w:r w:rsidRPr="00E511F0">
        <w:rPr>
          <w:b w:val="0"/>
          <w:i/>
          <w:noProof/>
        </w:rPr>
        <w:t xml:space="preserve">Marine Pollution Bulletin </w:t>
      </w:r>
      <w:r w:rsidRPr="00E511F0">
        <w:rPr>
          <w:b w:val="0"/>
          <w:noProof/>
        </w:rPr>
        <w:t>2020, 157:111324.</w:t>
      </w:r>
    </w:p>
    <w:p w14:paraId="1FB697D5" w14:textId="77777777" w:rsidR="00E511F0" w:rsidRPr="00E511F0" w:rsidRDefault="00E511F0" w:rsidP="00E511F0">
      <w:pPr>
        <w:pStyle w:val="EndNoteBibliography"/>
        <w:ind w:left="720" w:hanging="720"/>
        <w:rPr>
          <w:b w:val="0"/>
          <w:noProof/>
        </w:rPr>
      </w:pPr>
      <w:r w:rsidRPr="00E511F0">
        <w:rPr>
          <w:b w:val="0"/>
          <w:noProof/>
        </w:rPr>
        <w:t>27.</w:t>
      </w:r>
      <w:r w:rsidRPr="00E511F0">
        <w:rPr>
          <w:b w:val="0"/>
          <w:noProof/>
        </w:rPr>
        <w:tab/>
        <w:t xml:space="preserve">Martin S, Cohu S, Vignot C, Zimmerman G, Gattuso J-P: One-year experiment on the physiological response of the Mediterranean crustose coralline alga, </w:t>
      </w:r>
      <w:r w:rsidRPr="00E511F0">
        <w:rPr>
          <w:b w:val="0"/>
          <w:i/>
          <w:noProof/>
        </w:rPr>
        <w:t>Lithophyllum cabiochae</w:t>
      </w:r>
      <w:r w:rsidRPr="00E511F0">
        <w:rPr>
          <w:b w:val="0"/>
          <w:noProof/>
        </w:rPr>
        <w:t xml:space="preserve">, to elevated </w:t>
      </w:r>
      <w:r w:rsidRPr="00E511F0">
        <w:rPr>
          <w:b w:val="0"/>
          <w:i/>
          <w:noProof/>
        </w:rPr>
        <w:t>p</w:t>
      </w:r>
      <w:r w:rsidRPr="00E511F0">
        <w:rPr>
          <w:b w:val="0"/>
          <w:noProof/>
        </w:rPr>
        <w:t>CO</w:t>
      </w:r>
      <w:r w:rsidRPr="00E511F0">
        <w:rPr>
          <w:b w:val="0"/>
          <w:noProof/>
          <w:vertAlign w:val="subscript"/>
        </w:rPr>
        <w:t>2</w:t>
      </w:r>
      <w:r w:rsidRPr="00E511F0">
        <w:rPr>
          <w:b w:val="0"/>
          <w:noProof/>
        </w:rPr>
        <w:t xml:space="preserve"> and temperature. </w:t>
      </w:r>
      <w:r w:rsidRPr="00E511F0">
        <w:rPr>
          <w:b w:val="0"/>
          <w:i/>
          <w:noProof/>
        </w:rPr>
        <w:t xml:space="preserve">Ecology and Evolution </w:t>
      </w:r>
      <w:r w:rsidRPr="00E511F0">
        <w:rPr>
          <w:b w:val="0"/>
          <w:noProof/>
        </w:rPr>
        <w:t>2013, 3(3):676-693.</w:t>
      </w:r>
    </w:p>
    <w:p w14:paraId="05162E96" w14:textId="77777777" w:rsidR="00E511F0" w:rsidRPr="00E511F0" w:rsidRDefault="00E511F0" w:rsidP="00E511F0">
      <w:pPr>
        <w:pStyle w:val="EndNoteBibliography"/>
        <w:ind w:left="720" w:hanging="720"/>
        <w:rPr>
          <w:b w:val="0"/>
          <w:noProof/>
        </w:rPr>
      </w:pPr>
      <w:r w:rsidRPr="00E511F0">
        <w:rPr>
          <w:b w:val="0"/>
          <w:noProof/>
        </w:rPr>
        <w:t>28.</w:t>
      </w:r>
      <w:r w:rsidRPr="00E511F0">
        <w:rPr>
          <w:b w:val="0"/>
          <w:noProof/>
        </w:rPr>
        <w:tab/>
        <w:t xml:space="preserve">Qui-Minet ZN, Coudret J, Davoult D, Grall J, Mendez‐Sandin M, Cariou T, Martin S: Combined effects of global climate change and nutrient enrichment on the physiology of three temperate maerl species. </w:t>
      </w:r>
      <w:r w:rsidRPr="00E511F0">
        <w:rPr>
          <w:b w:val="0"/>
          <w:i/>
          <w:noProof/>
        </w:rPr>
        <w:t xml:space="preserve">Ecology and Evolution </w:t>
      </w:r>
      <w:r w:rsidRPr="00E511F0">
        <w:rPr>
          <w:b w:val="0"/>
          <w:noProof/>
        </w:rPr>
        <w:t>2019, 9(24):13787-13807.</w:t>
      </w:r>
    </w:p>
    <w:p w14:paraId="6046AFEB" w14:textId="77777777" w:rsidR="00E511F0" w:rsidRPr="00E511F0" w:rsidRDefault="00E511F0" w:rsidP="00E511F0">
      <w:pPr>
        <w:pStyle w:val="EndNoteBibliography"/>
        <w:ind w:left="720" w:hanging="720"/>
        <w:rPr>
          <w:b w:val="0"/>
          <w:noProof/>
        </w:rPr>
      </w:pPr>
      <w:r w:rsidRPr="00E511F0">
        <w:rPr>
          <w:b w:val="0"/>
          <w:noProof/>
        </w:rPr>
        <w:t>29.</w:t>
      </w:r>
      <w:r w:rsidRPr="00E511F0">
        <w:rPr>
          <w:b w:val="0"/>
          <w:noProof/>
        </w:rPr>
        <w:tab/>
        <w:t xml:space="preserve">Vásquez-Elizondo RM, Enríquez S: Coralline algal physiology is more adversely affected by elevated temperature than reduced pH. </w:t>
      </w:r>
      <w:r w:rsidRPr="00E511F0">
        <w:rPr>
          <w:b w:val="0"/>
          <w:i/>
          <w:noProof/>
        </w:rPr>
        <w:t xml:space="preserve">Scientific Reports </w:t>
      </w:r>
      <w:r w:rsidRPr="00E511F0">
        <w:rPr>
          <w:b w:val="0"/>
          <w:noProof/>
        </w:rPr>
        <w:t>2016, 6:19030.</w:t>
      </w:r>
    </w:p>
    <w:p w14:paraId="3FAEB649" w14:textId="77777777" w:rsidR="00E511F0" w:rsidRPr="00E511F0" w:rsidRDefault="00E511F0" w:rsidP="00E511F0">
      <w:pPr>
        <w:pStyle w:val="EndNoteBibliography"/>
        <w:ind w:left="720" w:hanging="720"/>
        <w:rPr>
          <w:b w:val="0"/>
          <w:noProof/>
        </w:rPr>
      </w:pPr>
      <w:r w:rsidRPr="00E511F0">
        <w:rPr>
          <w:b w:val="0"/>
          <w:noProof/>
        </w:rPr>
        <w:t>30.</w:t>
      </w:r>
      <w:r w:rsidRPr="00E511F0">
        <w:rPr>
          <w:b w:val="0"/>
          <w:noProof/>
        </w:rPr>
        <w:tab/>
        <w:t>Sordo L, Santos R, Barrote I, Silva J: Temperature amplifies the effect of high CO</w:t>
      </w:r>
      <w:r w:rsidRPr="00E511F0">
        <w:rPr>
          <w:b w:val="0"/>
          <w:noProof/>
          <w:vertAlign w:val="subscript"/>
        </w:rPr>
        <w:t>2</w:t>
      </w:r>
      <w:r w:rsidRPr="00E511F0">
        <w:rPr>
          <w:b w:val="0"/>
          <w:noProof/>
        </w:rPr>
        <w:t xml:space="preserve"> on the photosynthesis, respiration, and calcification of the coralline algae </w:t>
      </w:r>
      <w:r w:rsidRPr="00E511F0">
        <w:rPr>
          <w:b w:val="0"/>
          <w:i/>
          <w:noProof/>
        </w:rPr>
        <w:t>Phymatolithon lusitanicum</w:t>
      </w:r>
      <w:r w:rsidRPr="00E511F0">
        <w:rPr>
          <w:b w:val="0"/>
          <w:noProof/>
        </w:rPr>
        <w:t xml:space="preserve">. </w:t>
      </w:r>
      <w:r w:rsidRPr="00E511F0">
        <w:rPr>
          <w:b w:val="0"/>
          <w:i/>
          <w:noProof/>
        </w:rPr>
        <w:t xml:space="preserve">Ecology and Evolution </w:t>
      </w:r>
      <w:r w:rsidRPr="00E511F0">
        <w:rPr>
          <w:b w:val="0"/>
          <w:noProof/>
        </w:rPr>
        <w:t>2019, 9(19):11000-11009.</w:t>
      </w:r>
    </w:p>
    <w:p w14:paraId="6C64AEF2" w14:textId="77777777" w:rsidR="00E511F0" w:rsidRPr="00E511F0" w:rsidRDefault="00E511F0" w:rsidP="00E511F0">
      <w:pPr>
        <w:pStyle w:val="EndNoteBibliography"/>
        <w:ind w:left="720" w:hanging="720"/>
        <w:rPr>
          <w:b w:val="0"/>
          <w:noProof/>
        </w:rPr>
      </w:pPr>
      <w:r w:rsidRPr="00E511F0">
        <w:rPr>
          <w:b w:val="0"/>
          <w:noProof/>
        </w:rPr>
        <w:t>31.</w:t>
      </w:r>
      <w:r w:rsidRPr="00E511F0">
        <w:rPr>
          <w:b w:val="0"/>
          <w:noProof/>
        </w:rPr>
        <w:tab/>
        <w:t>Muñoz PT, Sáez CA, Martínez-Callejas MB, Flores-Molina MR, Bastos E, Fonseca A, Gurgel CFD, Barufi JB, Rörig L, Hall-Spencer JM</w:t>
      </w:r>
      <w:r w:rsidRPr="00E511F0">
        <w:rPr>
          <w:b w:val="0"/>
          <w:i/>
          <w:noProof/>
        </w:rPr>
        <w:t xml:space="preserve"> et al</w:t>
      </w:r>
      <w:r w:rsidRPr="00E511F0">
        <w:rPr>
          <w:b w:val="0"/>
          <w:noProof/>
        </w:rPr>
        <w:t xml:space="preserve">: Short-term interactive effects of increased temperatures and acidification on the calcifying macroalgae </w:t>
      </w:r>
      <w:r w:rsidRPr="00E511F0">
        <w:rPr>
          <w:b w:val="0"/>
          <w:i/>
          <w:noProof/>
        </w:rPr>
        <w:t>Lithothamnion crispatum</w:t>
      </w:r>
      <w:r w:rsidRPr="00E511F0">
        <w:rPr>
          <w:b w:val="0"/>
          <w:noProof/>
        </w:rPr>
        <w:t xml:space="preserve"> and </w:t>
      </w:r>
      <w:r w:rsidRPr="00E511F0">
        <w:rPr>
          <w:b w:val="0"/>
          <w:i/>
          <w:noProof/>
        </w:rPr>
        <w:t>Sonderophycus capensis</w:t>
      </w:r>
      <w:r w:rsidRPr="00E511F0">
        <w:rPr>
          <w:b w:val="0"/>
          <w:noProof/>
        </w:rPr>
        <w:t xml:space="preserve">. </w:t>
      </w:r>
      <w:r w:rsidRPr="00E511F0">
        <w:rPr>
          <w:b w:val="0"/>
          <w:i/>
          <w:noProof/>
        </w:rPr>
        <w:t xml:space="preserve">Aquatic Botany </w:t>
      </w:r>
      <w:r w:rsidRPr="00E511F0">
        <w:rPr>
          <w:b w:val="0"/>
          <w:noProof/>
        </w:rPr>
        <w:t>2018, 148:46-52.</w:t>
      </w:r>
    </w:p>
    <w:p w14:paraId="434F4764" w14:textId="271C7910" w:rsidR="0028781D" w:rsidRPr="007F798A" w:rsidRDefault="00103912" w:rsidP="00FB3A21">
      <w:pPr>
        <w:spacing w:line="240" w:lineRule="auto"/>
        <w:rPr>
          <w:rFonts w:ascii="Arial" w:hAnsi="Arial" w:cs="Arial"/>
          <w:bCs w:val="0"/>
          <w:sz w:val="20"/>
          <w:szCs w:val="20"/>
        </w:rPr>
      </w:pPr>
      <w:r w:rsidRPr="00E511F0">
        <w:rPr>
          <w:rFonts w:ascii="Arial" w:hAnsi="Arial" w:cs="Arial"/>
          <w:bCs w:val="0"/>
          <w:sz w:val="20"/>
          <w:szCs w:val="20"/>
        </w:rPr>
        <w:fldChar w:fldCharType="end"/>
      </w:r>
    </w:p>
    <w:sectPr w:rsidR="0028781D" w:rsidRPr="007F798A" w:rsidSect="001078CF">
      <w:footerReference w:type="even" r:id="rId14"/>
      <w:footerReference w:type="default" r:id="rId15"/>
      <w:pgSz w:w="11900" w:h="16840"/>
      <w:pgMar w:top="1701" w:right="1418"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01DE0" w14:textId="77777777" w:rsidR="00363041" w:rsidRDefault="00363041" w:rsidP="009F703A">
      <w:r>
        <w:separator/>
      </w:r>
    </w:p>
  </w:endnote>
  <w:endnote w:type="continuationSeparator" w:id="0">
    <w:p w14:paraId="7FDDC23F" w14:textId="77777777" w:rsidR="00363041" w:rsidRDefault="00363041" w:rsidP="009F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7464695"/>
      <w:docPartObj>
        <w:docPartGallery w:val="Page Numbers (Bottom of Page)"/>
        <w:docPartUnique/>
      </w:docPartObj>
    </w:sdtPr>
    <w:sdtContent>
      <w:p w14:paraId="6CA3ACCF" w14:textId="775C34EC" w:rsidR="0053461B" w:rsidRDefault="0053461B" w:rsidP="00B531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03ECE3" w14:textId="77777777" w:rsidR="0053461B" w:rsidRDefault="0053461B" w:rsidP="009F70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val="0"/>
      </w:rPr>
      <w:id w:val="-1647883014"/>
      <w:docPartObj>
        <w:docPartGallery w:val="Page Numbers (Bottom of Page)"/>
        <w:docPartUnique/>
      </w:docPartObj>
    </w:sdtPr>
    <w:sdtContent>
      <w:p w14:paraId="2DBBF944" w14:textId="569C40BB" w:rsidR="0053461B" w:rsidRPr="001A1679" w:rsidRDefault="0053461B" w:rsidP="00B531BA">
        <w:pPr>
          <w:pStyle w:val="Footer"/>
          <w:framePr w:wrap="none" w:vAnchor="text" w:hAnchor="margin" w:xAlign="right" w:y="1"/>
          <w:rPr>
            <w:rStyle w:val="PageNumber"/>
            <w:b/>
            <w:bCs w:val="0"/>
          </w:rPr>
        </w:pPr>
        <w:r w:rsidRPr="001A1679">
          <w:rPr>
            <w:rStyle w:val="PageNumber"/>
            <w:b/>
            <w:bCs w:val="0"/>
          </w:rPr>
          <w:fldChar w:fldCharType="begin"/>
        </w:r>
        <w:r w:rsidRPr="001A1679">
          <w:rPr>
            <w:rStyle w:val="PageNumber"/>
            <w:bCs w:val="0"/>
          </w:rPr>
          <w:instrText xml:space="preserve"> PAGE </w:instrText>
        </w:r>
        <w:r w:rsidRPr="001A1679">
          <w:rPr>
            <w:rStyle w:val="PageNumber"/>
            <w:b/>
            <w:bCs w:val="0"/>
          </w:rPr>
          <w:fldChar w:fldCharType="separate"/>
        </w:r>
        <w:r>
          <w:rPr>
            <w:rStyle w:val="PageNumber"/>
            <w:bCs w:val="0"/>
            <w:noProof/>
          </w:rPr>
          <w:t>18</w:t>
        </w:r>
        <w:r w:rsidRPr="001A1679">
          <w:rPr>
            <w:rStyle w:val="PageNumber"/>
            <w:b/>
            <w:bCs w:val="0"/>
          </w:rPr>
          <w:fldChar w:fldCharType="end"/>
        </w:r>
      </w:p>
    </w:sdtContent>
  </w:sdt>
  <w:p w14:paraId="3443F287" w14:textId="77777777" w:rsidR="0053461B" w:rsidRPr="001A1679" w:rsidRDefault="0053461B" w:rsidP="009F703A">
    <w:pPr>
      <w:pStyle w:val="Footer"/>
      <w:ind w:right="360"/>
      <w:rPr>
        <w:b/>
        <w:b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1AD7F" w14:textId="77777777" w:rsidR="00363041" w:rsidRDefault="00363041" w:rsidP="009F703A">
      <w:r>
        <w:separator/>
      </w:r>
    </w:p>
  </w:footnote>
  <w:footnote w:type="continuationSeparator" w:id="0">
    <w:p w14:paraId="52F3B88E" w14:textId="77777777" w:rsidR="00363041" w:rsidRDefault="00363041" w:rsidP="009F7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dwapt2bfwze6edv59v2dwm2vapa5vptpr0&quot;&gt;My EndNote Library-Converted&lt;record-ids&gt;&lt;item&gt;309&lt;/item&gt;&lt;item&gt;373&lt;/item&gt;&lt;item&gt;374&lt;/item&gt;&lt;item&gt;378&lt;/item&gt;&lt;item&gt;385&lt;/item&gt;&lt;item&gt;416&lt;/item&gt;&lt;item&gt;426&lt;/item&gt;&lt;item&gt;483&lt;/item&gt;&lt;item&gt;503&lt;/item&gt;&lt;item&gt;519&lt;/item&gt;&lt;item&gt;524&lt;/item&gt;&lt;item&gt;555&lt;/item&gt;&lt;item&gt;560&lt;/item&gt;&lt;item&gt;563&lt;/item&gt;&lt;item&gt;582&lt;/item&gt;&lt;item&gt;630&lt;/item&gt;&lt;item&gt;658&lt;/item&gt;&lt;item&gt;671&lt;/item&gt;&lt;item&gt;694&lt;/item&gt;&lt;item&gt;698&lt;/item&gt;&lt;item&gt;725&lt;/item&gt;&lt;item&gt;767&lt;/item&gt;&lt;item&gt;780&lt;/item&gt;&lt;item&gt;798&lt;/item&gt;&lt;item&gt;799&lt;/item&gt;&lt;item&gt;800&lt;/item&gt;&lt;item&gt;801&lt;/item&gt;&lt;item&gt;807&lt;/item&gt;&lt;item&gt;821&lt;/item&gt;&lt;item&gt;844&lt;/item&gt;&lt;item&gt;851&lt;/item&gt;&lt;/record-ids&gt;&lt;/item&gt;&lt;/Libraries&gt;"/>
  </w:docVars>
  <w:rsids>
    <w:rsidRoot w:val="00197E01"/>
    <w:rsid w:val="0000024E"/>
    <w:rsid w:val="00000ACC"/>
    <w:rsid w:val="000037AF"/>
    <w:rsid w:val="000055A5"/>
    <w:rsid w:val="00007F4C"/>
    <w:rsid w:val="00010AE2"/>
    <w:rsid w:val="00012961"/>
    <w:rsid w:val="00016B4A"/>
    <w:rsid w:val="00020214"/>
    <w:rsid w:val="000223F8"/>
    <w:rsid w:val="000234D2"/>
    <w:rsid w:val="00023A2D"/>
    <w:rsid w:val="000263C8"/>
    <w:rsid w:val="000301EC"/>
    <w:rsid w:val="00034464"/>
    <w:rsid w:val="000365BC"/>
    <w:rsid w:val="00040BB3"/>
    <w:rsid w:val="00040C8D"/>
    <w:rsid w:val="00040CD8"/>
    <w:rsid w:val="000443B9"/>
    <w:rsid w:val="000444F0"/>
    <w:rsid w:val="0004689A"/>
    <w:rsid w:val="000502D8"/>
    <w:rsid w:val="00052069"/>
    <w:rsid w:val="000524E4"/>
    <w:rsid w:val="00054063"/>
    <w:rsid w:val="00054C2A"/>
    <w:rsid w:val="0005544F"/>
    <w:rsid w:val="00055E11"/>
    <w:rsid w:val="00057B37"/>
    <w:rsid w:val="00061E48"/>
    <w:rsid w:val="00064F79"/>
    <w:rsid w:val="000700B6"/>
    <w:rsid w:val="0007076F"/>
    <w:rsid w:val="0007175A"/>
    <w:rsid w:val="00071A59"/>
    <w:rsid w:val="00071B20"/>
    <w:rsid w:val="0007340A"/>
    <w:rsid w:val="00073988"/>
    <w:rsid w:val="000745E2"/>
    <w:rsid w:val="00075C3D"/>
    <w:rsid w:val="0008204D"/>
    <w:rsid w:val="000823EF"/>
    <w:rsid w:val="0008245C"/>
    <w:rsid w:val="00086166"/>
    <w:rsid w:val="00086244"/>
    <w:rsid w:val="000873BE"/>
    <w:rsid w:val="00087E3D"/>
    <w:rsid w:val="00090F43"/>
    <w:rsid w:val="00095B9F"/>
    <w:rsid w:val="000A069D"/>
    <w:rsid w:val="000A331E"/>
    <w:rsid w:val="000A3D42"/>
    <w:rsid w:val="000A6F9D"/>
    <w:rsid w:val="000A7B0B"/>
    <w:rsid w:val="000B38D8"/>
    <w:rsid w:val="000B3CB6"/>
    <w:rsid w:val="000B41CB"/>
    <w:rsid w:val="000B42B6"/>
    <w:rsid w:val="000B4A01"/>
    <w:rsid w:val="000C1B56"/>
    <w:rsid w:val="000C7880"/>
    <w:rsid w:val="000C7C56"/>
    <w:rsid w:val="000D0993"/>
    <w:rsid w:val="000D148E"/>
    <w:rsid w:val="000D4AFA"/>
    <w:rsid w:val="000E15C5"/>
    <w:rsid w:val="000E18A8"/>
    <w:rsid w:val="000E3CE8"/>
    <w:rsid w:val="000E4880"/>
    <w:rsid w:val="000E4D52"/>
    <w:rsid w:val="000E5B84"/>
    <w:rsid w:val="000E5C57"/>
    <w:rsid w:val="000F01E7"/>
    <w:rsid w:val="000F1A61"/>
    <w:rsid w:val="000F2883"/>
    <w:rsid w:val="000F2BE0"/>
    <w:rsid w:val="000F30A7"/>
    <w:rsid w:val="000F3455"/>
    <w:rsid w:val="000F38CA"/>
    <w:rsid w:val="000F748B"/>
    <w:rsid w:val="00100985"/>
    <w:rsid w:val="00103912"/>
    <w:rsid w:val="00103B18"/>
    <w:rsid w:val="00104CDE"/>
    <w:rsid w:val="0010509D"/>
    <w:rsid w:val="00105806"/>
    <w:rsid w:val="00105EAE"/>
    <w:rsid w:val="0010609B"/>
    <w:rsid w:val="00106E53"/>
    <w:rsid w:val="0010787B"/>
    <w:rsid w:val="001078CF"/>
    <w:rsid w:val="00114639"/>
    <w:rsid w:val="001155B5"/>
    <w:rsid w:val="00116951"/>
    <w:rsid w:val="001176B6"/>
    <w:rsid w:val="00124FCF"/>
    <w:rsid w:val="0013200A"/>
    <w:rsid w:val="00132C5F"/>
    <w:rsid w:val="00133A36"/>
    <w:rsid w:val="00141875"/>
    <w:rsid w:val="00141953"/>
    <w:rsid w:val="00144EC9"/>
    <w:rsid w:val="001473A6"/>
    <w:rsid w:val="00151228"/>
    <w:rsid w:val="00154AD9"/>
    <w:rsid w:val="00155993"/>
    <w:rsid w:val="00156885"/>
    <w:rsid w:val="00156C69"/>
    <w:rsid w:val="00156F97"/>
    <w:rsid w:val="00161773"/>
    <w:rsid w:val="00162215"/>
    <w:rsid w:val="00165BB4"/>
    <w:rsid w:val="0016647F"/>
    <w:rsid w:val="00167C7F"/>
    <w:rsid w:val="0017012F"/>
    <w:rsid w:val="00175E95"/>
    <w:rsid w:val="00176233"/>
    <w:rsid w:val="00176990"/>
    <w:rsid w:val="0018109A"/>
    <w:rsid w:val="00182437"/>
    <w:rsid w:val="00186100"/>
    <w:rsid w:val="00187C4E"/>
    <w:rsid w:val="00187C5E"/>
    <w:rsid w:val="001903A2"/>
    <w:rsid w:val="00194C44"/>
    <w:rsid w:val="001974A9"/>
    <w:rsid w:val="00197E01"/>
    <w:rsid w:val="001A1679"/>
    <w:rsid w:val="001A28BC"/>
    <w:rsid w:val="001A36F4"/>
    <w:rsid w:val="001A60F7"/>
    <w:rsid w:val="001B0F90"/>
    <w:rsid w:val="001B3533"/>
    <w:rsid w:val="001B560C"/>
    <w:rsid w:val="001C1280"/>
    <w:rsid w:val="001C1865"/>
    <w:rsid w:val="001C1BA3"/>
    <w:rsid w:val="001C204A"/>
    <w:rsid w:val="001C2DAD"/>
    <w:rsid w:val="001C6E62"/>
    <w:rsid w:val="001C74F5"/>
    <w:rsid w:val="001C767A"/>
    <w:rsid w:val="001D04A9"/>
    <w:rsid w:val="001D1242"/>
    <w:rsid w:val="001D4ADB"/>
    <w:rsid w:val="001D6A73"/>
    <w:rsid w:val="001D6EDA"/>
    <w:rsid w:val="001E07EF"/>
    <w:rsid w:val="001E0B17"/>
    <w:rsid w:val="001E3CCC"/>
    <w:rsid w:val="001E7951"/>
    <w:rsid w:val="001F148F"/>
    <w:rsid w:val="001F37FB"/>
    <w:rsid w:val="001F62A7"/>
    <w:rsid w:val="001F7CC3"/>
    <w:rsid w:val="0020294C"/>
    <w:rsid w:val="002051A5"/>
    <w:rsid w:val="00205293"/>
    <w:rsid w:val="00210A96"/>
    <w:rsid w:val="00211953"/>
    <w:rsid w:val="00212FF7"/>
    <w:rsid w:val="00216068"/>
    <w:rsid w:val="00220AA9"/>
    <w:rsid w:val="00222445"/>
    <w:rsid w:val="002225F1"/>
    <w:rsid w:val="00222B2A"/>
    <w:rsid w:val="002243EE"/>
    <w:rsid w:val="00226480"/>
    <w:rsid w:val="00226B58"/>
    <w:rsid w:val="00231586"/>
    <w:rsid w:val="00232179"/>
    <w:rsid w:val="00234BF4"/>
    <w:rsid w:val="002350FE"/>
    <w:rsid w:val="0024141A"/>
    <w:rsid w:val="00246FDB"/>
    <w:rsid w:val="00247692"/>
    <w:rsid w:val="0025711A"/>
    <w:rsid w:val="00260E81"/>
    <w:rsid w:val="00262D56"/>
    <w:rsid w:val="00263423"/>
    <w:rsid w:val="002646D6"/>
    <w:rsid w:val="00264C8D"/>
    <w:rsid w:val="0026568E"/>
    <w:rsid w:val="00272313"/>
    <w:rsid w:val="00272605"/>
    <w:rsid w:val="00275DF5"/>
    <w:rsid w:val="0027638F"/>
    <w:rsid w:val="002822DF"/>
    <w:rsid w:val="0028512D"/>
    <w:rsid w:val="00285E01"/>
    <w:rsid w:val="002871AA"/>
    <w:rsid w:val="0028781D"/>
    <w:rsid w:val="002954DE"/>
    <w:rsid w:val="00296914"/>
    <w:rsid w:val="002A0275"/>
    <w:rsid w:val="002A0A5A"/>
    <w:rsid w:val="002A1B39"/>
    <w:rsid w:val="002A427E"/>
    <w:rsid w:val="002A60A0"/>
    <w:rsid w:val="002A665D"/>
    <w:rsid w:val="002A7189"/>
    <w:rsid w:val="002A72D9"/>
    <w:rsid w:val="002A78C8"/>
    <w:rsid w:val="002B2D5B"/>
    <w:rsid w:val="002B66A1"/>
    <w:rsid w:val="002C057F"/>
    <w:rsid w:val="002C1461"/>
    <w:rsid w:val="002C1A6B"/>
    <w:rsid w:val="002C24F6"/>
    <w:rsid w:val="002C2C58"/>
    <w:rsid w:val="002C315F"/>
    <w:rsid w:val="002C4EE0"/>
    <w:rsid w:val="002C621F"/>
    <w:rsid w:val="002D12A2"/>
    <w:rsid w:val="002D14F5"/>
    <w:rsid w:val="002D3F6A"/>
    <w:rsid w:val="002E0201"/>
    <w:rsid w:val="002E0EC8"/>
    <w:rsid w:val="002E7ED4"/>
    <w:rsid w:val="002F0886"/>
    <w:rsid w:val="002F0CEA"/>
    <w:rsid w:val="002F0DC6"/>
    <w:rsid w:val="002F11C8"/>
    <w:rsid w:val="002F38CC"/>
    <w:rsid w:val="002F4F44"/>
    <w:rsid w:val="002F51A5"/>
    <w:rsid w:val="002F71ED"/>
    <w:rsid w:val="002F733D"/>
    <w:rsid w:val="002F7B23"/>
    <w:rsid w:val="003008FD"/>
    <w:rsid w:val="00302E62"/>
    <w:rsid w:val="00303F83"/>
    <w:rsid w:val="003040E9"/>
    <w:rsid w:val="003047AA"/>
    <w:rsid w:val="00305E4B"/>
    <w:rsid w:val="00310361"/>
    <w:rsid w:val="003103B7"/>
    <w:rsid w:val="0031116D"/>
    <w:rsid w:val="003113B1"/>
    <w:rsid w:val="00312CEF"/>
    <w:rsid w:val="00315419"/>
    <w:rsid w:val="003217FD"/>
    <w:rsid w:val="00321C05"/>
    <w:rsid w:val="003229AD"/>
    <w:rsid w:val="00323AF8"/>
    <w:rsid w:val="00324E81"/>
    <w:rsid w:val="00327EF8"/>
    <w:rsid w:val="003310B6"/>
    <w:rsid w:val="003316A9"/>
    <w:rsid w:val="003318AD"/>
    <w:rsid w:val="00332512"/>
    <w:rsid w:val="0033284A"/>
    <w:rsid w:val="00334E6A"/>
    <w:rsid w:val="00335DC0"/>
    <w:rsid w:val="003372F6"/>
    <w:rsid w:val="003417E7"/>
    <w:rsid w:val="00341F86"/>
    <w:rsid w:val="003435F5"/>
    <w:rsid w:val="0034754D"/>
    <w:rsid w:val="00347A5B"/>
    <w:rsid w:val="003500E2"/>
    <w:rsid w:val="00351E29"/>
    <w:rsid w:val="00354A3A"/>
    <w:rsid w:val="00356098"/>
    <w:rsid w:val="00356BFD"/>
    <w:rsid w:val="00356E02"/>
    <w:rsid w:val="0035733D"/>
    <w:rsid w:val="003575AF"/>
    <w:rsid w:val="00362BA8"/>
    <w:rsid w:val="00363041"/>
    <w:rsid w:val="0037374A"/>
    <w:rsid w:val="00374287"/>
    <w:rsid w:val="00375B80"/>
    <w:rsid w:val="003857FF"/>
    <w:rsid w:val="003870B3"/>
    <w:rsid w:val="0039089F"/>
    <w:rsid w:val="003929A6"/>
    <w:rsid w:val="003934C1"/>
    <w:rsid w:val="0039391E"/>
    <w:rsid w:val="003976AA"/>
    <w:rsid w:val="003A096E"/>
    <w:rsid w:val="003A0E32"/>
    <w:rsid w:val="003A301F"/>
    <w:rsid w:val="003A477A"/>
    <w:rsid w:val="003A64D5"/>
    <w:rsid w:val="003A6CAD"/>
    <w:rsid w:val="003B01C3"/>
    <w:rsid w:val="003B1BCD"/>
    <w:rsid w:val="003B22B2"/>
    <w:rsid w:val="003B4C2C"/>
    <w:rsid w:val="003B4F14"/>
    <w:rsid w:val="003B51F4"/>
    <w:rsid w:val="003B5FEB"/>
    <w:rsid w:val="003B68DC"/>
    <w:rsid w:val="003B7CD3"/>
    <w:rsid w:val="003C11FF"/>
    <w:rsid w:val="003C29BA"/>
    <w:rsid w:val="003C2F59"/>
    <w:rsid w:val="003C5551"/>
    <w:rsid w:val="003C5AF9"/>
    <w:rsid w:val="003C63FE"/>
    <w:rsid w:val="003C713C"/>
    <w:rsid w:val="003D1A6F"/>
    <w:rsid w:val="003D4314"/>
    <w:rsid w:val="003D474B"/>
    <w:rsid w:val="003D52FE"/>
    <w:rsid w:val="003D67C6"/>
    <w:rsid w:val="003D7C2F"/>
    <w:rsid w:val="003E3260"/>
    <w:rsid w:val="003E40B7"/>
    <w:rsid w:val="003E503F"/>
    <w:rsid w:val="003E62DD"/>
    <w:rsid w:val="003E670F"/>
    <w:rsid w:val="003F40C1"/>
    <w:rsid w:val="003F7EB3"/>
    <w:rsid w:val="004001EF"/>
    <w:rsid w:val="004036E4"/>
    <w:rsid w:val="00403B6D"/>
    <w:rsid w:val="00403C31"/>
    <w:rsid w:val="00406A64"/>
    <w:rsid w:val="00406DDF"/>
    <w:rsid w:val="00410673"/>
    <w:rsid w:val="00412A38"/>
    <w:rsid w:val="00415569"/>
    <w:rsid w:val="00416509"/>
    <w:rsid w:val="00416D2F"/>
    <w:rsid w:val="0041702F"/>
    <w:rsid w:val="0041781F"/>
    <w:rsid w:val="00420629"/>
    <w:rsid w:val="004223E3"/>
    <w:rsid w:val="0042378E"/>
    <w:rsid w:val="00425E04"/>
    <w:rsid w:val="00431261"/>
    <w:rsid w:val="00431952"/>
    <w:rsid w:val="00432095"/>
    <w:rsid w:val="00433895"/>
    <w:rsid w:val="0043661F"/>
    <w:rsid w:val="00436C9B"/>
    <w:rsid w:val="00436E3B"/>
    <w:rsid w:val="00436ED9"/>
    <w:rsid w:val="00450B30"/>
    <w:rsid w:val="0045216D"/>
    <w:rsid w:val="0045290D"/>
    <w:rsid w:val="00453C0D"/>
    <w:rsid w:val="00454507"/>
    <w:rsid w:val="00456C4C"/>
    <w:rsid w:val="00460317"/>
    <w:rsid w:val="00460DCE"/>
    <w:rsid w:val="004610D8"/>
    <w:rsid w:val="00462783"/>
    <w:rsid w:val="00463544"/>
    <w:rsid w:val="004642C4"/>
    <w:rsid w:val="00465B6A"/>
    <w:rsid w:val="00465E08"/>
    <w:rsid w:val="00471CC1"/>
    <w:rsid w:val="0047689B"/>
    <w:rsid w:val="00476D9A"/>
    <w:rsid w:val="0048062A"/>
    <w:rsid w:val="00480D5A"/>
    <w:rsid w:val="00480FDE"/>
    <w:rsid w:val="004843BD"/>
    <w:rsid w:val="00484C27"/>
    <w:rsid w:val="00490B86"/>
    <w:rsid w:val="00491E21"/>
    <w:rsid w:val="004947C3"/>
    <w:rsid w:val="0049570C"/>
    <w:rsid w:val="004A1217"/>
    <w:rsid w:val="004A18A1"/>
    <w:rsid w:val="004A2DF1"/>
    <w:rsid w:val="004A7577"/>
    <w:rsid w:val="004A757F"/>
    <w:rsid w:val="004B269F"/>
    <w:rsid w:val="004B3D4B"/>
    <w:rsid w:val="004B52BE"/>
    <w:rsid w:val="004B5BEE"/>
    <w:rsid w:val="004B6EE5"/>
    <w:rsid w:val="004B7020"/>
    <w:rsid w:val="004B7958"/>
    <w:rsid w:val="004C0AE8"/>
    <w:rsid w:val="004C489D"/>
    <w:rsid w:val="004C54E8"/>
    <w:rsid w:val="004C75C3"/>
    <w:rsid w:val="004D018E"/>
    <w:rsid w:val="004D1684"/>
    <w:rsid w:val="004D1D2E"/>
    <w:rsid w:val="004D1FEC"/>
    <w:rsid w:val="004D278D"/>
    <w:rsid w:val="004D27B0"/>
    <w:rsid w:val="004D2A8C"/>
    <w:rsid w:val="004D2B1C"/>
    <w:rsid w:val="004D3893"/>
    <w:rsid w:val="004D56CD"/>
    <w:rsid w:val="004D703A"/>
    <w:rsid w:val="004D7C49"/>
    <w:rsid w:val="004E0D8E"/>
    <w:rsid w:val="004E22BC"/>
    <w:rsid w:val="004E3EA8"/>
    <w:rsid w:val="004E5339"/>
    <w:rsid w:val="004E5D37"/>
    <w:rsid w:val="004F00E1"/>
    <w:rsid w:val="004F1B60"/>
    <w:rsid w:val="004F4B58"/>
    <w:rsid w:val="004F7D46"/>
    <w:rsid w:val="005001F3"/>
    <w:rsid w:val="00500B0A"/>
    <w:rsid w:val="005109DA"/>
    <w:rsid w:val="00511712"/>
    <w:rsid w:val="0051349E"/>
    <w:rsid w:val="00522F7E"/>
    <w:rsid w:val="00523440"/>
    <w:rsid w:val="0052416C"/>
    <w:rsid w:val="00525C87"/>
    <w:rsid w:val="00525CA5"/>
    <w:rsid w:val="00525FE0"/>
    <w:rsid w:val="00526570"/>
    <w:rsid w:val="0053114E"/>
    <w:rsid w:val="0053461B"/>
    <w:rsid w:val="00535715"/>
    <w:rsid w:val="00535FB4"/>
    <w:rsid w:val="00537080"/>
    <w:rsid w:val="00540AC1"/>
    <w:rsid w:val="00540D22"/>
    <w:rsid w:val="00540E32"/>
    <w:rsid w:val="00541104"/>
    <w:rsid w:val="0054507C"/>
    <w:rsid w:val="005450EB"/>
    <w:rsid w:val="00554B59"/>
    <w:rsid w:val="005560D4"/>
    <w:rsid w:val="00556EE0"/>
    <w:rsid w:val="00563A4C"/>
    <w:rsid w:val="0056527C"/>
    <w:rsid w:val="0057055B"/>
    <w:rsid w:val="00575292"/>
    <w:rsid w:val="00581929"/>
    <w:rsid w:val="00581934"/>
    <w:rsid w:val="00581AA8"/>
    <w:rsid w:val="00584503"/>
    <w:rsid w:val="005853DC"/>
    <w:rsid w:val="00587A15"/>
    <w:rsid w:val="00590035"/>
    <w:rsid w:val="00590EB9"/>
    <w:rsid w:val="00596D37"/>
    <w:rsid w:val="00597BB9"/>
    <w:rsid w:val="00597DF5"/>
    <w:rsid w:val="00597F46"/>
    <w:rsid w:val="005A0B88"/>
    <w:rsid w:val="005A3E67"/>
    <w:rsid w:val="005A4D8F"/>
    <w:rsid w:val="005A6F43"/>
    <w:rsid w:val="005B0349"/>
    <w:rsid w:val="005B0B83"/>
    <w:rsid w:val="005B40CE"/>
    <w:rsid w:val="005B41F5"/>
    <w:rsid w:val="005B4584"/>
    <w:rsid w:val="005B7859"/>
    <w:rsid w:val="005C07A9"/>
    <w:rsid w:val="005C1412"/>
    <w:rsid w:val="005C4B1D"/>
    <w:rsid w:val="005C706B"/>
    <w:rsid w:val="005D0F8E"/>
    <w:rsid w:val="005D29F2"/>
    <w:rsid w:val="005D424F"/>
    <w:rsid w:val="005D690D"/>
    <w:rsid w:val="005D7237"/>
    <w:rsid w:val="005D7956"/>
    <w:rsid w:val="005E30BF"/>
    <w:rsid w:val="005E4AEE"/>
    <w:rsid w:val="005E62CE"/>
    <w:rsid w:val="005F01C5"/>
    <w:rsid w:val="005F3409"/>
    <w:rsid w:val="005F4402"/>
    <w:rsid w:val="005F4882"/>
    <w:rsid w:val="005F4EFF"/>
    <w:rsid w:val="005F5572"/>
    <w:rsid w:val="0060064F"/>
    <w:rsid w:val="006018B2"/>
    <w:rsid w:val="006023A4"/>
    <w:rsid w:val="00604AB6"/>
    <w:rsid w:val="00604B1D"/>
    <w:rsid w:val="00610358"/>
    <w:rsid w:val="00610977"/>
    <w:rsid w:val="00612C2D"/>
    <w:rsid w:val="006175AD"/>
    <w:rsid w:val="00621931"/>
    <w:rsid w:val="00623D81"/>
    <w:rsid w:val="00626DF6"/>
    <w:rsid w:val="00631598"/>
    <w:rsid w:val="0063282D"/>
    <w:rsid w:val="00633746"/>
    <w:rsid w:val="0063456F"/>
    <w:rsid w:val="00642206"/>
    <w:rsid w:val="00644A23"/>
    <w:rsid w:val="00645731"/>
    <w:rsid w:val="00645CA6"/>
    <w:rsid w:val="006462B3"/>
    <w:rsid w:val="00647FAE"/>
    <w:rsid w:val="00650836"/>
    <w:rsid w:val="00650B0A"/>
    <w:rsid w:val="00652412"/>
    <w:rsid w:val="00655ED4"/>
    <w:rsid w:val="0065698C"/>
    <w:rsid w:val="006572D9"/>
    <w:rsid w:val="00660CD8"/>
    <w:rsid w:val="00663DFB"/>
    <w:rsid w:val="006643EF"/>
    <w:rsid w:val="006643F9"/>
    <w:rsid w:val="00665FB6"/>
    <w:rsid w:val="0066641E"/>
    <w:rsid w:val="00671989"/>
    <w:rsid w:val="00672673"/>
    <w:rsid w:val="00673D75"/>
    <w:rsid w:val="0068284C"/>
    <w:rsid w:val="006837C4"/>
    <w:rsid w:val="006857A8"/>
    <w:rsid w:val="006868AD"/>
    <w:rsid w:val="00686E31"/>
    <w:rsid w:val="00693841"/>
    <w:rsid w:val="00695579"/>
    <w:rsid w:val="00695C9B"/>
    <w:rsid w:val="00696E90"/>
    <w:rsid w:val="006A2044"/>
    <w:rsid w:val="006A3CF7"/>
    <w:rsid w:val="006A4A29"/>
    <w:rsid w:val="006B0BF6"/>
    <w:rsid w:val="006B44C7"/>
    <w:rsid w:val="006B4668"/>
    <w:rsid w:val="006B5537"/>
    <w:rsid w:val="006B5FF7"/>
    <w:rsid w:val="006B6145"/>
    <w:rsid w:val="006B67CB"/>
    <w:rsid w:val="006C0994"/>
    <w:rsid w:val="006C2C0E"/>
    <w:rsid w:val="006C500F"/>
    <w:rsid w:val="006C5C72"/>
    <w:rsid w:val="006D040D"/>
    <w:rsid w:val="006D1D37"/>
    <w:rsid w:val="006D276F"/>
    <w:rsid w:val="006D3D23"/>
    <w:rsid w:val="006D433D"/>
    <w:rsid w:val="006D4779"/>
    <w:rsid w:val="006D49FA"/>
    <w:rsid w:val="006E0915"/>
    <w:rsid w:val="006E1E7E"/>
    <w:rsid w:val="006E4CEC"/>
    <w:rsid w:val="006F02FD"/>
    <w:rsid w:val="006F0671"/>
    <w:rsid w:val="006F318F"/>
    <w:rsid w:val="006F36DC"/>
    <w:rsid w:val="006F63F9"/>
    <w:rsid w:val="006F7F39"/>
    <w:rsid w:val="0070042E"/>
    <w:rsid w:val="00700642"/>
    <w:rsid w:val="007062E6"/>
    <w:rsid w:val="00706719"/>
    <w:rsid w:val="00711652"/>
    <w:rsid w:val="00715864"/>
    <w:rsid w:val="00716135"/>
    <w:rsid w:val="00717204"/>
    <w:rsid w:val="00720530"/>
    <w:rsid w:val="00721072"/>
    <w:rsid w:val="00723D27"/>
    <w:rsid w:val="007264A6"/>
    <w:rsid w:val="00730430"/>
    <w:rsid w:val="0073112E"/>
    <w:rsid w:val="007314A2"/>
    <w:rsid w:val="00731B5E"/>
    <w:rsid w:val="00731F8F"/>
    <w:rsid w:val="00732498"/>
    <w:rsid w:val="00732D35"/>
    <w:rsid w:val="00733919"/>
    <w:rsid w:val="007352A3"/>
    <w:rsid w:val="0074173E"/>
    <w:rsid w:val="00742C32"/>
    <w:rsid w:val="00742DB9"/>
    <w:rsid w:val="007454C2"/>
    <w:rsid w:val="007479C5"/>
    <w:rsid w:val="00750F08"/>
    <w:rsid w:val="00751236"/>
    <w:rsid w:val="00752E49"/>
    <w:rsid w:val="00753089"/>
    <w:rsid w:val="00757166"/>
    <w:rsid w:val="0076273C"/>
    <w:rsid w:val="00765385"/>
    <w:rsid w:val="00765CD2"/>
    <w:rsid w:val="00765FAB"/>
    <w:rsid w:val="00767738"/>
    <w:rsid w:val="007719D3"/>
    <w:rsid w:val="00780DD2"/>
    <w:rsid w:val="00781113"/>
    <w:rsid w:val="007815F0"/>
    <w:rsid w:val="007826E4"/>
    <w:rsid w:val="00783BB2"/>
    <w:rsid w:val="007841C1"/>
    <w:rsid w:val="00786C6B"/>
    <w:rsid w:val="00787431"/>
    <w:rsid w:val="00790D0A"/>
    <w:rsid w:val="00791FF9"/>
    <w:rsid w:val="0079341C"/>
    <w:rsid w:val="00793EE0"/>
    <w:rsid w:val="00796304"/>
    <w:rsid w:val="00797E0F"/>
    <w:rsid w:val="007A18C5"/>
    <w:rsid w:val="007A3EF3"/>
    <w:rsid w:val="007A5ACF"/>
    <w:rsid w:val="007A5B4D"/>
    <w:rsid w:val="007A5BC3"/>
    <w:rsid w:val="007A7FE5"/>
    <w:rsid w:val="007B2CC0"/>
    <w:rsid w:val="007B435D"/>
    <w:rsid w:val="007B5B7A"/>
    <w:rsid w:val="007B78D6"/>
    <w:rsid w:val="007C36A0"/>
    <w:rsid w:val="007C4C9D"/>
    <w:rsid w:val="007C72F7"/>
    <w:rsid w:val="007C7F0F"/>
    <w:rsid w:val="007D51AC"/>
    <w:rsid w:val="007D68CD"/>
    <w:rsid w:val="007D71E3"/>
    <w:rsid w:val="007E0314"/>
    <w:rsid w:val="007E072F"/>
    <w:rsid w:val="007E4C97"/>
    <w:rsid w:val="007E5162"/>
    <w:rsid w:val="007E69E4"/>
    <w:rsid w:val="007E773B"/>
    <w:rsid w:val="007F4D18"/>
    <w:rsid w:val="007F50A6"/>
    <w:rsid w:val="007F74F0"/>
    <w:rsid w:val="007F791D"/>
    <w:rsid w:val="007F798A"/>
    <w:rsid w:val="008013FB"/>
    <w:rsid w:val="00801D33"/>
    <w:rsid w:val="008023DD"/>
    <w:rsid w:val="00802C49"/>
    <w:rsid w:val="00803512"/>
    <w:rsid w:val="00805160"/>
    <w:rsid w:val="008056BB"/>
    <w:rsid w:val="00807A28"/>
    <w:rsid w:val="00807B38"/>
    <w:rsid w:val="00807D36"/>
    <w:rsid w:val="00807EAB"/>
    <w:rsid w:val="008108A8"/>
    <w:rsid w:val="008140A8"/>
    <w:rsid w:val="00814604"/>
    <w:rsid w:val="008207A5"/>
    <w:rsid w:val="00821E40"/>
    <w:rsid w:val="00824887"/>
    <w:rsid w:val="00826E37"/>
    <w:rsid w:val="00826F62"/>
    <w:rsid w:val="008271CB"/>
    <w:rsid w:val="008341D5"/>
    <w:rsid w:val="008341DB"/>
    <w:rsid w:val="00834829"/>
    <w:rsid w:val="008350B1"/>
    <w:rsid w:val="0084320A"/>
    <w:rsid w:val="008469BD"/>
    <w:rsid w:val="008505CB"/>
    <w:rsid w:val="0085267E"/>
    <w:rsid w:val="00854AD1"/>
    <w:rsid w:val="00854E76"/>
    <w:rsid w:val="00855994"/>
    <w:rsid w:val="00856299"/>
    <w:rsid w:val="008568B3"/>
    <w:rsid w:val="00857304"/>
    <w:rsid w:val="00857657"/>
    <w:rsid w:val="00861E72"/>
    <w:rsid w:val="00866D01"/>
    <w:rsid w:val="008674CD"/>
    <w:rsid w:val="00872E38"/>
    <w:rsid w:val="00877505"/>
    <w:rsid w:val="00885FC5"/>
    <w:rsid w:val="00887EC1"/>
    <w:rsid w:val="008901B3"/>
    <w:rsid w:val="008935DE"/>
    <w:rsid w:val="008946D8"/>
    <w:rsid w:val="00894794"/>
    <w:rsid w:val="00896920"/>
    <w:rsid w:val="008A11E7"/>
    <w:rsid w:val="008A1728"/>
    <w:rsid w:val="008A6848"/>
    <w:rsid w:val="008B1A74"/>
    <w:rsid w:val="008B26D0"/>
    <w:rsid w:val="008B3A4C"/>
    <w:rsid w:val="008B46FC"/>
    <w:rsid w:val="008B4953"/>
    <w:rsid w:val="008C0023"/>
    <w:rsid w:val="008C0246"/>
    <w:rsid w:val="008C1E1A"/>
    <w:rsid w:val="008C3165"/>
    <w:rsid w:val="008C3383"/>
    <w:rsid w:val="008C6802"/>
    <w:rsid w:val="008C6BAF"/>
    <w:rsid w:val="008D1C81"/>
    <w:rsid w:val="008D219D"/>
    <w:rsid w:val="008D2555"/>
    <w:rsid w:val="008D2B19"/>
    <w:rsid w:val="008D620F"/>
    <w:rsid w:val="008D6B35"/>
    <w:rsid w:val="008D7395"/>
    <w:rsid w:val="008D73DD"/>
    <w:rsid w:val="008E02AF"/>
    <w:rsid w:val="008E0E0E"/>
    <w:rsid w:val="008E1A0B"/>
    <w:rsid w:val="008E1C4D"/>
    <w:rsid w:val="008E2007"/>
    <w:rsid w:val="008F2867"/>
    <w:rsid w:val="008F5A62"/>
    <w:rsid w:val="009016D4"/>
    <w:rsid w:val="0090217F"/>
    <w:rsid w:val="00902623"/>
    <w:rsid w:val="00903356"/>
    <w:rsid w:val="0090407C"/>
    <w:rsid w:val="00904144"/>
    <w:rsid w:val="00906546"/>
    <w:rsid w:val="0091020F"/>
    <w:rsid w:val="009107B2"/>
    <w:rsid w:val="00911205"/>
    <w:rsid w:val="00913272"/>
    <w:rsid w:val="009161B8"/>
    <w:rsid w:val="00916A6F"/>
    <w:rsid w:val="00917EC9"/>
    <w:rsid w:val="00922F18"/>
    <w:rsid w:val="00922FAE"/>
    <w:rsid w:val="00926D57"/>
    <w:rsid w:val="00927EA0"/>
    <w:rsid w:val="00931628"/>
    <w:rsid w:val="00934CEC"/>
    <w:rsid w:val="0093535C"/>
    <w:rsid w:val="00937904"/>
    <w:rsid w:val="009411BB"/>
    <w:rsid w:val="009425CB"/>
    <w:rsid w:val="0094326E"/>
    <w:rsid w:val="0094341C"/>
    <w:rsid w:val="009437CC"/>
    <w:rsid w:val="00943FA9"/>
    <w:rsid w:val="009455F9"/>
    <w:rsid w:val="009478E1"/>
    <w:rsid w:val="009513E7"/>
    <w:rsid w:val="00952949"/>
    <w:rsid w:val="00952D87"/>
    <w:rsid w:val="00955A37"/>
    <w:rsid w:val="009661DB"/>
    <w:rsid w:val="00966593"/>
    <w:rsid w:val="00967725"/>
    <w:rsid w:val="00967DCD"/>
    <w:rsid w:val="0097098C"/>
    <w:rsid w:val="00971A91"/>
    <w:rsid w:val="009749C1"/>
    <w:rsid w:val="0097639A"/>
    <w:rsid w:val="00977D8A"/>
    <w:rsid w:val="00980F02"/>
    <w:rsid w:val="00982D3C"/>
    <w:rsid w:val="009937A1"/>
    <w:rsid w:val="00995646"/>
    <w:rsid w:val="00996296"/>
    <w:rsid w:val="00996E77"/>
    <w:rsid w:val="009A287C"/>
    <w:rsid w:val="009A2C1C"/>
    <w:rsid w:val="009A3001"/>
    <w:rsid w:val="009A30E6"/>
    <w:rsid w:val="009A4334"/>
    <w:rsid w:val="009A6379"/>
    <w:rsid w:val="009A6CC8"/>
    <w:rsid w:val="009B18FB"/>
    <w:rsid w:val="009B5CA5"/>
    <w:rsid w:val="009B5D95"/>
    <w:rsid w:val="009B61CB"/>
    <w:rsid w:val="009B6434"/>
    <w:rsid w:val="009B66EC"/>
    <w:rsid w:val="009B678F"/>
    <w:rsid w:val="009C0412"/>
    <w:rsid w:val="009C59C8"/>
    <w:rsid w:val="009C790A"/>
    <w:rsid w:val="009D2CF3"/>
    <w:rsid w:val="009D5311"/>
    <w:rsid w:val="009D7D24"/>
    <w:rsid w:val="009E20E3"/>
    <w:rsid w:val="009E34C2"/>
    <w:rsid w:val="009E36DC"/>
    <w:rsid w:val="009E5929"/>
    <w:rsid w:val="009E6999"/>
    <w:rsid w:val="009E6F76"/>
    <w:rsid w:val="009F02A6"/>
    <w:rsid w:val="009F1FB9"/>
    <w:rsid w:val="009F2B34"/>
    <w:rsid w:val="009F3B37"/>
    <w:rsid w:val="009F703A"/>
    <w:rsid w:val="00A03FBE"/>
    <w:rsid w:val="00A05325"/>
    <w:rsid w:val="00A127FF"/>
    <w:rsid w:val="00A1325A"/>
    <w:rsid w:val="00A16428"/>
    <w:rsid w:val="00A16C56"/>
    <w:rsid w:val="00A21941"/>
    <w:rsid w:val="00A223F5"/>
    <w:rsid w:val="00A25555"/>
    <w:rsid w:val="00A26721"/>
    <w:rsid w:val="00A27493"/>
    <w:rsid w:val="00A31535"/>
    <w:rsid w:val="00A31CCA"/>
    <w:rsid w:val="00A3603F"/>
    <w:rsid w:val="00A36534"/>
    <w:rsid w:val="00A37948"/>
    <w:rsid w:val="00A41824"/>
    <w:rsid w:val="00A42D27"/>
    <w:rsid w:val="00A46005"/>
    <w:rsid w:val="00A5085F"/>
    <w:rsid w:val="00A52672"/>
    <w:rsid w:val="00A6232E"/>
    <w:rsid w:val="00A62BA6"/>
    <w:rsid w:val="00A63368"/>
    <w:rsid w:val="00A6419B"/>
    <w:rsid w:val="00A7076E"/>
    <w:rsid w:val="00A70A91"/>
    <w:rsid w:val="00A72A38"/>
    <w:rsid w:val="00A72E31"/>
    <w:rsid w:val="00A74E8B"/>
    <w:rsid w:val="00A75F6B"/>
    <w:rsid w:val="00A76C59"/>
    <w:rsid w:val="00A80AA1"/>
    <w:rsid w:val="00A834B6"/>
    <w:rsid w:val="00A8622B"/>
    <w:rsid w:val="00A863E4"/>
    <w:rsid w:val="00A90FF9"/>
    <w:rsid w:val="00A92A18"/>
    <w:rsid w:val="00A9379B"/>
    <w:rsid w:val="00A94CDB"/>
    <w:rsid w:val="00A94E53"/>
    <w:rsid w:val="00A96D31"/>
    <w:rsid w:val="00AA1AAA"/>
    <w:rsid w:val="00AA72C2"/>
    <w:rsid w:val="00AB01FE"/>
    <w:rsid w:val="00AB2E72"/>
    <w:rsid w:val="00AB3469"/>
    <w:rsid w:val="00AB56A1"/>
    <w:rsid w:val="00AB5D69"/>
    <w:rsid w:val="00AB60FB"/>
    <w:rsid w:val="00AC09EF"/>
    <w:rsid w:val="00AC2DE0"/>
    <w:rsid w:val="00AC43A4"/>
    <w:rsid w:val="00AC46A0"/>
    <w:rsid w:val="00AC5C4B"/>
    <w:rsid w:val="00AC7298"/>
    <w:rsid w:val="00AC796F"/>
    <w:rsid w:val="00AD1E34"/>
    <w:rsid w:val="00AD3709"/>
    <w:rsid w:val="00AD3D52"/>
    <w:rsid w:val="00AE04BF"/>
    <w:rsid w:val="00AE1774"/>
    <w:rsid w:val="00AE6F8D"/>
    <w:rsid w:val="00AE7F71"/>
    <w:rsid w:val="00AF1C4E"/>
    <w:rsid w:val="00AF4111"/>
    <w:rsid w:val="00B016EC"/>
    <w:rsid w:val="00B01F7C"/>
    <w:rsid w:val="00B03841"/>
    <w:rsid w:val="00B03D63"/>
    <w:rsid w:val="00B048B7"/>
    <w:rsid w:val="00B05369"/>
    <w:rsid w:val="00B05E4C"/>
    <w:rsid w:val="00B06957"/>
    <w:rsid w:val="00B071A4"/>
    <w:rsid w:val="00B07FF1"/>
    <w:rsid w:val="00B11ADC"/>
    <w:rsid w:val="00B1370C"/>
    <w:rsid w:val="00B1486A"/>
    <w:rsid w:val="00B22F80"/>
    <w:rsid w:val="00B2552F"/>
    <w:rsid w:val="00B27AEA"/>
    <w:rsid w:val="00B27D68"/>
    <w:rsid w:val="00B30B01"/>
    <w:rsid w:val="00B33858"/>
    <w:rsid w:val="00B33962"/>
    <w:rsid w:val="00B33A28"/>
    <w:rsid w:val="00B33F62"/>
    <w:rsid w:val="00B35EBD"/>
    <w:rsid w:val="00B360B2"/>
    <w:rsid w:val="00B4037F"/>
    <w:rsid w:val="00B40E8A"/>
    <w:rsid w:val="00B45B3E"/>
    <w:rsid w:val="00B4606B"/>
    <w:rsid w:val="00B4701B"/>
    <w:rsid w:val="00B4771C"/>
    <w:rsid w:val="00B52370"/>
    <w:rsid w:val="00B531BA"/>
    <w:rsid w:val="00B54410"/>
    <w:rsid w:val="00B57274"/>
    <w:rsid w:val="00B60DD1"/>
    <w:rsid w:val="00B60DFA"/>
    <w:rsid w:val="00B60F85"/>
    <w:rsid w:val="00B61029"/>
    <w:rsid w:val="00B65562"/>
    <w:rsid w:val="00B7104B"/>
    <w:rsid w:val="00B717E4"/>
    <w:rsid w:val="00B71B9B"/>
    <w:rsid w:val="00B71F24"/>
    <w:rsid w:val="00B729F4"/>
    <w:rsid w:val="00B77804"/>
    <w:rsid w:val="00B81B94"/>
    <w:rsid w:val="00B81BB6"/>
    <w:rsid w:val="00B831B7"/>
    <w:rsid w:val="00B83206"/>
    <w:rsid w:val="00B84D73"/>
    <w:rsid w:val="00B87589"/>
    <w:rsid w:val="00B937B9"/>
    <w:rsid w:val="00B93B40"/>
    <w:rsid w:val="00B96ED9"/>
    <w:rsid w:val="00B97362"/>
    <w:rsid w:val="00BA082C"/>
    <w:rsid w:val="00BA0CC4"/>
    <w:rsid w:val="00BA0EB9"/>
    <w:rsid w:val="00BA289D"/>
    <w:rsid w:val="00BA350B"/>
    <w:rsid w:val="00BA40DC"/>
    <w:rsid w:val="00BA4231"/>
    <w:rsid w:val="00BA4C27"/>
    <w:rsid w:val="00BA67EA"/>
    <w:rsid w:val="00BA6A42"/>
    <w:rsid w:val="00BA7F15"/>
    <w:rsid w:val="00BB15C2"/>
    <w:rsid w:val="00BB29F4"/>
    <w:rsid w:val="00BB4834"/>
    <w:rsid w:val="00BB492C"/>
    <w:rsid w:val="00BB5CA8"/>
    <w:rsid w:val="00BB63B7"/>
    <w:rsid w:val="00BB74FC"/>
    <w:rsid w:val="00BB7AC6"/>
    <w:rsid w:val="00BB7EF2"/>
    <w:rsid w:val="00BC31DD"/>
    <w:rsid w:val="00BC35AC"/>
    <w:rsid w:val="00BC36CE"/>
    <w:rsid w:val="00BC3BA8"/>
    <w:rsid w:val="00BC3BEE"/>
    <w:rsid w:val="00BC4C5E"/>
    <w:rsid w:val="00BC5610"/>
    <w:rsid w:val="00BC5E88"/>
    <w:rsid w:val="00BC65EB"/>
    <w:rsid w:val="00BC7286"/>
    <w:rsid w:val="00BC7DB8"/>
    <w:rsid w:val="00BD0FF7"/>
    <w:rsid w:val="00BD4D4A"/>
    <w:rsid w:val="00BD72C0"/>
    <w:rsid w:val="00BD74F6"/>
    <w:rsid w:val="00BE245B"/>
    <w:rsid w:val="00BE54DB"/>
    <w:rsid w:val="00BE64D8"/>
    <w:rsid w:val="00BF2CAE"/>
    <w:rsid w:val="00BF346B"/>
    <w:rsid w:val="00BF548B"/>
    <w:rsid w:val="00C0048E"/>
    <w:rsid w:val="00C04476"/>
    <w:rsid w:val="00C0517C"/>
    <w:rsid w:val="00C06E76"/>
    <w:rsid w:val="00C103F9"/>
    <w:rsid w:val="00C113E5"/>
    <w:rsid w:val="00C11C68"/>
    <w:rsid w:val="00C1209A"/>
    <w:rsid w:val="00C14285"/>
    <w:rsid w:val="00C14F3F"/>
    <w:rsid w:val="00C16106"/>
    <w:rsid w:val="00C16566"/>
    <w:rsid w:val="00C17A01"/>
    <w:rsid w:val="00C201BC"/>
    <w:rsid w:val="00C21813"/>
    <w:rsid w:val="00C2337E"/>
    <w:rsid w:val="00C2385B"/>
    <w:rsid w:val="00C248DC"/>
    <w:rsid w:val="00C315B8"/>
    <w:rsid w:val="00C31B32"/>
    <w:rsid w:val="00C3461B"/>
    <w:rsid w:val="00C3656F"/>
    <w:rsid w:val="00C37C75"/>
    <w:rsid w:val="00C40A52"/>
    <w:rsid w:val="00C44BFA"/>
    <w:rsid w:val="00C455E0"/>
    <w:rsid w:val="00C500FC"/>
    <w:rsid w:val="00C5169E"/>
    <w:rsid w:val="00C53E25"/>
    <w:rsid w:val="00C55C2D"/>
    <w:rsid w:val="00C567CC"/>
    <w:rsid w:val="00C57503"/>
    <w:rsid w:val="00C61FB4"/>
    <w:rsid w:val="00C655C9"/>
    <w:rsid w:val="00C71290"/>
    <w:rsid w:val="00C72C95"/>
    <w:rsid w:val="00C77B05"/>
    <w:rsid w:val="00C804CF"/>
    <w:rsid w:val="00C80820"/>
    <w:rsid w:val="00C80B38"/>
    <w:rsid w:val="00C80B39"/>
    <w:rsid w:val="00C81F27"/>
    <w:rsid w:val="00C85AC3"/>
    <w:rsid w:val="00C87137"/>
    <w:rsid w:val="00C905E2"/>
    <w:rsid w:val="00C91125"/>
    <w:rsid w:val="00C92A04"/>
    <w:rsid w:val="00C97F42"/>
    <w:rsid w:val="00CA4691"/>
    <w:rsid w:val="00CB06A7"/>
    <w:rsid w:val="00CB2039"/>
    <w:rsid w:val="00CB6475"/>
    <w:rsid w:val="00CB6A8F"/>
    <w:rsid w:val="00CB79B6"/>
    <w:rsid w:val="00CC521C"/>
    <w:rsid w:val="00CC67FF"/>
    <w:rsid w:val="00CC6F26"/>
    <w:rsid w:val="00CD007C"/>
    <w:rsid w:val="00CD1D2B"/>
    <w:rsid w:val="00CD1E20"/>
    <w:rsid w:val="00CD49DD"/>
    <w:rsid w:val="00CD705B"/>
    <w:rsid w:val="00CD7953"/>
    <w:rsid w:val="00CE1116"/>
    <w:rsid w:val="00CE2EA1"/>
    <w:rsid w:val="00CE63C9"/>
    <w:rsid w:val="00CE71A0"/>
    <w:rsid w:val="00CE7757"/>
    <w:rsid w:val="00CE7974"/>
    <w:rsid w:val="00CF16D0"/>
    <w:rsid w:val="00CF2063"/>
    <w:rsid w:val="00CF4433"/>
    <w:rsid w:val="00CF5000"/>
    <w:rsid w:val="00CF5E37"/>
    <w:rsid w:val="00CF7809"/>
    <w:rsid w:val="00D00095"/>
    <w:rsid w:val="00D007D6"/>
    <w:rsid w:val="00D01FC4"/>
    <w:rsid w:val="00D056A0"/>
    <w:rsid w:val="00D0591C"/>
    <w:rsid w:val="00D14E24"/>
    <w:rsid w:val="00D153CC"/>
    <w:rsid w:val="00D16E53"/>
    <w:rsid w:val="00D23771"/>
    <w:rsid w:val="00D250D3"/>
    <w:rsid w:val="00D3009C"/>
    <w:rsid w:val="00D3114B"/>
    <w:rsid w:val="00D315E4"/>
    <w:rsid w:val="00D34862"/>
    <w:rsid w:val="00D367A0"/>
    <w:rsid w:val="00D41B31"/>
    <w:rsid w:val="00D41F9D"/>
    <w:rsid w:val="00D43480"/>
    <w:rsid w:val="00D4637E"/>
    <w:rsid w:val="00D4649B"/>
    <w:rsid w:val="00D52193"/>
    <w:rsid w:val="00D55D1E"/>
    <w:rsid w:val="00D6348F"/>
    <w:rsid w:val="00D7185A"/>
    <w:rsid w:val="00D74F5E"/>
    <w:rsid w:val="00D83594"/>
    <w:rsid w:val="00D861D8"/>
    <w:rsid w:val="00D86CE8"/>
    <w:rsid w:val="00D872FB"/>
    <w:rsid w:val="00D876F8"/>
    <w:rsid w:val="00D9206A"/>
    <w:rsid w:val="00DA2A71"/>
    <w:rsid w:val="00DB0E4B"/>
    <w:rsid w:val="00DB3F9C"/>
    <w:rsid w:val="00DB4BA5"/>
    <w:rsid w:val="00DB52AE"/>
    <w:rsid w:val="00DB54A0"/>
    <w:rsid w:val="00DB740B"/>
    <w:rsid w:val="00DC0504"/>
    <w:rsid w:val="00DC1358"/>
    <w:rsid w:val="00DC38E9"/>
    <w:rsid w:val="00DC402C"/>
    <w:rsid w:val="00DC5D82"/>
    <w:rsid w:val="00DC7583"/>
    <w:rsid w:val="00DD0BE6"/>
    <w:rsid w:val="00DD1579"/>
    <w:rsid w:val="00DD4666"/>
    <w:rsid w:val="00DD4750"/>
    <w:rsid w:val="00DD7DD7"/>
    <w:rsid w:val="00DE0B7B"/>
    <w:rsid w:val="00DE2AF1"/>
    <w:rsid w:val="00DE4B8A"/>
    <w:rsid w:val="00DE55B2"/>
    <w:rsid w:val="00DE67A4"/>
    <w:rsid w:val="00DF08D7"/>
    <w:rsid w:val="00DF0CDE"/>
    <w:rsid w:val="00DF170A"/>
    <w:rsid w:val="00DF1EE8"/>
    <w:rsid w:val="00DF39E1"/>
    <w:rsid w:val="00DF5E6A"/>
    <w:rsid w:val="00DF7435"/>
    <w:rsid w:val="00DF74D2"/>
    <w:rsid w:val="00E01F00"/>
    <w:rsid w:val="00E02A7E"/>
    <w:rsid w:val="00E03B4E"/>
    <w:rsid w:val="00E0483D"/>
    <w:rsid w:val="00E06312"/>
    <w:rsid w:val="00E1502D"/>
    <w:rsid w:val="00E1643D"/>
    <w:rsid w:val="00E2355D"/>
    <w:rsid w:val="00E245CF"/>
    <w:rsid w:val="00E2692F"/>
    <w:rsid w:val="00E26AD3"/>
    <w:rsid w:val="00E36907"/>
    <w:rsid w:val="00E4034F"/>
    <w:rsid w:val="00E40507"/>
    <w:rsid w:val="00E40863"/>
    <w:rsid w:val="00E40A0D"/>
    <w:rsid w:val="00E412EE"/>
    <w:rsid w:val="00E4156E"/>
    <w:rsid w:val="00E41E2E"/>
    <w:rsid w:val="00E452AC"/>
    <w:rsid w:val="00E46C54"/>
    <w:rsid w:val="00E511F0"/>
    <w:rsid w:val="00E54121"/>
    <w:rsid w:val="00E56F70"/>
    <w:rsid w:val="00E57DE4"/>
    <w:rsid w:val="00E57F4E"/>
    <w:rsid w:val="00E61F20"/>
    <w:rsid w:val="00E644D4"/>
    <w:rsid w:val="00E64EF2"/>
    <w:rsid w:val="00E675F7"/>
    <w:rsid w:val="00E70507"/>
    <w:rsid w:val="00E715AF"/>
    <w:rsid w:val="00E7199E"/>
    <w:rsid w:val="00E71F0B"/>
    <w:rsid w:val="00E726CF"/>
    <w:rsid w:val="00E728B8"/>
    <w:rsid w:val="00E7357B"/>
    <w:rsid w:val="00E750D0"/>
    <w:rsid w:val="00E77024"/>
    <w:rsid w:val="00E777FE"/>
    <w:rsid w:val="00E81BDC"/>
    <w:rsid w:val="00E83363"/>
    <w:rsid w:val="00E847C8"/>
    <w:rsid w:val="00E8591D"/>
    <w:rsid w:val="00E86A02"/>
    <w:rsid w:val="00E87160"/>
    <w:rsid w:val="00E9280C"/>
    <w:rsid w:val="00E92EFC"/>
    <w:rsid w:val="00EA1EB0"/>
    <w:rsid w:val="00EA40FF"/>
    <w:rsid w:val="00EA5246"/>
    <w:rsid w:val="00EA5CD6"/>
    <w:rsid w:val="00EA634E"/>
    <w:rsid w:val="00EB031B"/>
    <w:rsid w:val="00EB0BAC"/>
    <w:rsid w:val="00EB10F4"/>
    <w:rsid w:val="00EB17EF"/>
    <w:rsid w:val="00EB1D6B"/>
    <w:rsid w:val="00EB2003"/>
    <w:rsid w:val="00EB2B2D"/>
    <w:rsid w:val="00EB4B30"/>
    <w:rsid w:val="00EB605F"/>
    <w:rsid w:val="00EB69E4"/>
    <w:rsid w:val="00EB6DC6"/>
    <w:rsid w:val="00EB7CB3"/>
    <w:rsid w:val="00EC16AE"/>
    <w:rsid w:val="00EC1BE6"/>
    <w:rsid w:val="00EC4DCA"/>
    <w:rsid w:val="00EC7404"/>
    <w:rsid w:val="00ED40F8"/>
    <w:rsid w:val="00ED43FF"/>
    <w:rsid w:val="00ED6365"/>
    <w:rsid w:val="00ED6718"/>
    <w:rsid w:val="00ED7AFE"/>
    <w:rsid w:val="00EE087A"/>
    <w:rsid w:val="00EE1414"/>
    <w:rsid w:val="00EE1A4F"/>
    <w:rsid w:val="00EE48A3"/>
    <w:rsid w:val="00EE49CB"/>
    <w:rsid w:val="00EE544A"/>
    <w:rsid w:val="00EE6F62"/>
    <w:rsid w:val="00EF2730"/>
    <w:rsid w:val="00EF3BEA"/>
    <w:rsid w:val="00EF3D4F"/>
    <w:rsid w:val="00EF4620"/>
    <w:rsid w:val="00EF67D4"/>
    <w:rsid w:val="00EF6896"/>
    <w:rsid w:val="00F00038"/>
    <w:rsid w:val="00F0086F"/>
    <w:rsid w:val="00F01903"/>
    <w:rsid w:val="00F02893"/>
    <w:rsid w:val="00F02DBD"/>
    <w:rsid w:val="00F036A7"/>
    <w:rsid w:val="00F0448F"/>
    <w:rsid w:val="00F0556D"/>
    <w:rsid w:val="00F073AC"/>
    <w:rsid w:val="00F108BB"/>
    <w:rsid w:val="00F110B7"/>
    <w:rsid w:val="00F1178A"/>
    <w:rsid w:val="00F1509E"/>
    <w:rsid w:val="00F15B4B"/>
    <w:rsid w:val="00F23CD7"/>
    <w:rsid w:val="00F24FF5"/>
    <w:rsid w:val="00F26080"/>
    <w:rsid w:val="00F2681C"/>
    <w:rsid w:val="00F312FD"/>
    <w:rsid w:val="00F31954"/>
    <w:rsid w:val="00F31FCE"/>
    <w:rsid w:val="00F34B0A"/>
    <w:rsid w:val="00F35BA6"/>
    <w:rsid w:val="00F4078A"/>
    <w:rsid w:val="00F43AB9"/>
    <w:rsid w:val="00F44163"/>
    <w:rsid w:val="00F46FBB"/>
    <w:rsid w:val="00F47ED2"/>
    <w:rsid w:val="00F5095D"/>
    <w:rsid w:val="00F529B8"/>
    <w:rsid w:val="00F56416"/>
    <w:rsid w:val="00F56BA7"/>
    <w:rsid w:val="00F60D16"/>
    <w:rsid w:val="00F61716"/>
    <w:rsid w:val="00F62E21"/>
    <w:rsid w:val="00F62F52"/>
    <w:rsid w:val="00F636A1"/>
    <w:rsid w:val="00F661FA"/>
    <w:rsid w:val="00F670CE"/>
    <w:rsid w:val="00F6797B"/>
    <w:rsid w:val="00F7074A"/>
    <w:rsid w:val="00F71011"/>
    <w:rsid w:val="00F712BC"/>
    <w:rsid w:val="00F7204A"/>
    <w:rsid w:val="00F74103"/>
    <w:rsid w:val="00F7583E"/>
    <w:rsid w:val="00F85412"/>
    <w:rsid w:val="00F90B79"/>
    <w:rsid w:val="00F96BD6"/>
    <w:rsid w:val="00F97588"/>
    <w:rsid w:val="00FA08CF"/>
    <w:rsid w:val="00FA1F68"/>
    <w:rsid w:val="00FA2623"/>
    <w:rsid w:val="00FA4B98"/>
    <w:rsid w:val="00FA53C8"/>
    <w:rsid w:val="00FA59CC"/>
    <w:rsid w:val="00FA7653"/>
    <w:rsid w:val="00FB03F2"/>
    <w:rsid w:val="00FB0FCE"/>
    <w:rsid w:val="00FB1B05"/>
    <w:rsid w:val="00FB2BDD"/>
    <w:rsid w:val="00FB3A21"/>
    <w:rsid w:val="00FB3CA4"/>
    <w:rsid w:val="00FB50AF"/>
    <w:rsid w:val="00FC0295"/>
    <w:rsid w:val="00FC0540"/>
    <w:rsid w:val="00FC14C1"/>
    <w:rsid w:val="00FC2CE5"/>
    <w:rsid w:val="00FC3202"/>
    <w:rsid w:val="00FC52CD"/>
    <w:rsid w:val="00FD1D72"/>
    <w:rsid w:val="00FD2C7B"/>
    <w:rsid w:val="00FD3263"/>
    <w:rsid w:val="00FD3486"/>
    <w:rsid w:val="00FD51B7"/>
    <w:rsid w:val="00FE102B"/>
    <w:rsid w:val="00FE1F2F"/>
    <w:rsid w:val="00FE226E"/>
    <w:rsid w:val="00FE5CC1"/>
    <w:rsid w:val="00FF3DDE"/>
    <w:rsid w:val="00FF43A5"/>
    <w:rsid w:val="00FF7ACC"/>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3A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Theme="minorHAnsi" w:hAnsi="Times New Roman Bold" w:cs="Times New Roman"/>
        <w:b/>
        <w:bCs/>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71C"/>
    <w:pPr>
      <w:spacing w:line="360" w:lineRule="auto"/>
    </w:pPr>
    <w:rPr>
      <w:rFonts w:ascii="Times New Roman" w:hAnsi="Times New Roman"/>
      <w:b w:val="0"/>
    </w:rPr>
  </w:style>
  <w:style w:type="paragraph" w:styleId="Heading1">
    <w:name w:val="heading 1"/>
    <w:basedOn w:val="Normal"/>
    <w:next w:val="Normal"/>
    <w:link w:val="Heading1Char"/>
    <w:uiPriority w:val="9"/>
    <w:qFormat/>
    <w:rsid w:val="002C621F"/>
    <w:pPr>
      <w:keepNext/>
      <w:keepLines/>
      <w:spacing w:before="240"/>
      <w:outlineLvl w:val="0"/>
    </w:pPr>
    <w:rPr>
      <w:rFonts w:asciiTheme="majorHAnsi" w:eastAsiaTheme="majorEastAsia" w:hAnsiTheme="majorHAnsi" w:cstheme="majorBidi"/>
      <w:b/>
      <w:bCs w:val="0"/>
      <w:color w:val="2F5496" w:themeColor="accent1" w:themeShade="BF"/>
      <w:sz w:val="32"/>
      <w:szCs w:val="32"/>
      <w:lang w:val="en-GB"/>
    </w:rPr>
  </w:style>
  <w:style w:type="paragraph" w:styleId="Heading2">
    <w:name w:val="heading 2"/>
    <w:basedOn w:val="Normal"/>
    <w:next w:val="Normal"/>
    <w:link w:val="Heading2Char"/>
    <w:uiPriority w:val="9"/>
    <w:unhideWhenUsed/>
    <w:qFormat/>
    <w:rsid w:val="007F791D"/>
    <w:pPr>
      <w:keepNext/>
      <w:keepLines/>
      <w:spacing w:before="40"/>
      <w:outlineLvl w:val="1"/>
    </w:pPr>
    <w:rPr>
      <w:rFonts w:asciiTheme="majorHAnsi" w:eastAsiaTheme="majorEastAsia" w:hAnsiTheme="majorHAnsi" w:cstheme="majorBidi"/>
      <w:b/>
      <w:bCs w:val="0"/>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21F"/>
    <w:rPr>
      <w:rFonts w:asciiTheme="majorHAnsi" w:eastAsiaTheme="majorEastAsia" w:hAnsiTheme="majorHAnsi" w:cstheme="majorBidi"/>
      <w:b w:val="0"/>
      <w:bCs w:val="0"/>
      <w:color w:val="2F5496" w:themeColor="accent1" w:themeShade="BF"/>
      <w:sz w:val="32"/>
      <w:szCs w:val="32"/>
      <w:lang w:val="en-GB"/>
    </w:rPr>
  </w:style>
  <w:style w:type="character" w:customStyle="1" w:styleId="Heading2Char">
    <w:name w:val="Heading 2 Char"/>
    <w:basedOn w:val="DefaultParagraphFont"/>
    <w:link w:val="Heading2"/>
    <w:uiPriority w:val="9"/>
    <w:rsid w:val="007F791D"/>
    <w:rPr>
      <w:rFonts w:asciiTheme="majorHAnsi" w:eastAsiaTheme="majorEastAsia" w:hAnsiTheme="majorHAnsi" w:cstheme="majorBidi"/>
      <w:b w:val="0"/>
      <w:bCs w:val="0"/>
      <w:color w:val="2F5496" w:themeColor="accent1" w:themeShade="BF"/>
      <w:sz w:val="26"/>
      <w:szCs w:val="26"/>
      <w:lang w:val="en-GB"/>
    </w:rPr>
  </w:style>
  <w:style w:type="paragraph" w:customStyle="1" w:styleId="EndNoteBibliography">
    <w:name w:val="EndNote Bibliography"/>
    <w:basedOn w:val="Normal"/>
    <w:link w:val="EndNoteBibliographyChar"/>
    <w:rsid w:val="000B4A01"/>
    <w:pPr>
      <w:spacing w:line="240" w:lineRule="auto"/>
    </w:pPr>
    <w:rPr>
      <w:b/>
      <w:bCs w:val="0"/>
      <w:lang w:val="en-US"/>
    </w:rPr>
  </w:style>
  <w:style w:type="character" w:customStyle="1" w:styleId="EndNoteBibliographyChar">
    <w:name w:val="EndNote Bibliography Char"/>
    <w:basedOn w:val="DefaultParagraphFont"/>
    <w:link w:val="EndNoteBibliography"/>
    <w:rsid w:val="000B4A01"/>
    <w:rPr>
      <w:rFonts w:ascii="Times New Roman" w:hAnsi="Times New Roman"/>
      <w:bCs w:val="0"/>
      <w:lang w:val="en-US"/>
    </w:rPr>
  </w:style>
  <w:style w:type="character" w:styleId="Hyperlink">
    <w:name w:val="Hyperlink"/>
    <w:basedOn w:val="DefaultParagraphFont"/>
    <w:uiPriority w:val="99"/>
    <w:unhideWhenUsed/>
    <w:rsid w:val="000B4A01"/>
    <w:rPr>
      <w:color w:val="0563C1" w:themeColor="hyperlink"/>
      <w:u w:val="single"/>
    </w:rPr>
  </w:style>
  <w:style w:type="paragraph" w:customStyle="1" w:styleId="EndNoteBibliographyTitle">
    <w:name w:val="EndNote Bibliography Title"/>
    <w:basedOn w:val="Normal"/>
    <w:link w:val="EndNoteBibliographyTitleChar"/>
    <w:rsid w:val="00165BB4"/>
    <w:pPr>
      <w:jc w:val="center"/>
    </w:pPr>
    <w:rPr>
      <w:lang w:val="en-US"/>
    </w:rPr>
  </w:style>
  <w:style w:type="character" w:customStyle="1" w:styleId="EndNoteBibliographyTitleChar">
    <w:name w:val="EndNote Bibliography Title Char"/>
    <w:basedOn w:val="DefaultParagraphFont"/>
    <w:link w:val="EndNoteBibliographyTitle"/>
    <w:rsid w:val="00165BB4"/>
    <w:rPr>
      <w:rFonts w:ascii="Times New Roman" w:hAnsi="Times New Roman"/>
      <w:b w:val="0"/>
      <w:lang w:val="en-US"/>
    </w:rPr>
  </w:style>
  <w:style w:type="paragraph" w:styleId="Footer">
    <w:name w:val="footer"/>
    <w:basedOn w:val="Normal"/>
    <w:link w:val="FooterChar"/>
    <w:uiPriority w:val="99"/>
    <w:unhideWhenUsed/>
    <w:rsid w:val="009F703A"/>
    <w:pPr>
      <w:tabs>
        <w:tab w:val="center" w:pos="4513"/>
        <w:tab w:val="right" w:pos="9026"/>
      </w:tabs>
    </w:pPr>
  </w:style>
  <w:style w:type="character" w:customStyle="1" w:styleId="FooterChar">
    <w:name w:val="Footer Char"/>
    <w:basedOn w:val="DefaultParagraphFont"/>
    <w:link w:val="Footer"/>
    <w:uiPriority w:val="99"/>
    <w:rsid w:val="009F703A"/>
  </w:style>
  <w:style w:type="character" w:styleId="PageNumber">
    <w:name w:val="page number"/>
    <w:basedOn w:val="DefaultParagraphFont"/>
    <w:uiPriority w:val="99"/>
    <w:semiHidden/>
    <w:unhideWhenUsed/>
    <w:rsid w:val="009F703A"/>
  </w:style>
  <w:style w:type="paragraph" w:styleId="Header">
    <w:name w:val="header"/>
    <w:basedOn w:val="Normal"/>
    <w:link w:val="HeaderChar"/>
    <w:uiPriority w:val="99"/>
    <w:unhideWhenUsed/>
    <w:rsid w:val="009F703A"/>
    <w:pPr>
      <w:tabs>
        <w:tab w:val="center" w:pos="4513"/>
        <w:tab w:val="right" w:pos="9026"/>
      </w:tabs>
    </w:pPr>
  </w:style>
  <w:style w:type="character" w:customStyle="1" w:styleId="HeaderChar">
    <w:name w:val="Header Char"/>
    <w:basedOn w:val="DefaultParagraphFont"/>
    <w:link w:val="Header"/>
    <w:uiPriority w:val="99"/>
    <w:rsid w:val="009F703A"/>
  </w:style>
  <w:style w:type="character" w:customStyle="1" w:styleId="CommentTextChar">
    <w:name w:val="Comment Text Char"/>
    <w:basedOn w:val="DefaultParagraphFont"/>
    <w:link w:val="CommentText"/>
    <w:uiPriority w:val="99"/>
    <w:rsid w:val="00141875"/>
    <w:rPr>
      <w:sz w:val="20"/>
      <w:szCs w:val="20"/>
    </w:rPr>
  </w:style>
  <w:style w:type="paragraph" w:styleId="CommentText">
    <w:name w:val="annotation text"/>
    <w:basedOn w:val="Normal"/>
    <w:link w:val="CommentTextChar"/>
    <w:uiPriority w:val="99"/>
    <w:unhideWhenUsed/>
    <w:rsid w:val="00141875"/>
    <w:rPr>
      <w:sz w:val="20"/>
      <w:szCs w:val="20"/>
    </w:rPr>
  </w:style>
  <w:style w:type="character" w:customStyle="1" w:styleId="CommentSubjectChar">
    <w:name w:val="Comment Subject Char"/>
    <w:basedOn w:val="CommentTextChar"/>
    <w:link w:val="CommentSubject"/>
    <w:uiPriority w:val="99"/>
    <w:semiHidden/>
    <w:rsid w:val="00141875"/>
    <w:rPr>
      <w:sz w:val="20"/>
      <w:szCs w:val="20"/>
    </w:rPr>
  </w:style>
  <w:style w:type="paragraph" w:styleId="CommentSubject">
    <w:name w:val="annotation subject"/>
    <w:basedOn w:val="CommentText"/>
    <w:next w:val="CommentText"/>
    <w:link w:val="CommentSubjectChar"/>
    <w:uiPriority w:val="99"/>
    <w:semiHidden/>
    <w:unhideWhenUsed/>
    <w:rsid w:val="00141875"/>
  </w:style>
  <w:style w:type="character" w:customStyle="1" w:styleId="BalloonTextChar">
    <w:name w:val="Balloon Text Char"/>
    <w:basedOn w:val="DefaultParagraphFont"/>
    <w:link w:val="BalloonText"/>
    <w:uiPriority w:val="99"/>
    <w:semiHidden/>
    <w:rsid w:val="00141875"/>
    <w:rPr>
      <w:rFonts w:ascii="Lucida Grande" w:hAnsi="Lucida Grande" w:cs="Lucida Grande"/>
      <w:sz w:val="18"/>
      <w:szCs w:val="18"/>
    </w:rPr>
  </w:style>
  <w:style w:type="paragraph" w:styleId="BalloonText">
    <w:name w:val="Balloon Text"/>
    <w:basedOn w:val="Normal"/>
    <w:link w:val="BalloonTextChar"/>
    <w:uiPriority w:val="99"/>
    <w:semiHidden/>
    <w:unhideWhenUsed/>
    <w:rsid w:val="00141875"/>
    <w:rPr>
      <w:rFonts w:ascii="Lucida Grande" w:hAnsi="Lucida Grande" w:cs="Lucida Grande"/>
      <w:sz w:val="18"/>
      <w:szCs w:val="18"/>
    </w:rPr>
  </w:style>
  <w:style w:type="character" w:styleId="CommentReference">
    <w:name w:val="annotation reference"/>
    <w:basedOn w:val="DefaultParagraphFont"/>
    <w:uiPriority w:val="99"/>
    <w:semiHidden/>
    <w:unhideWhenUsed/>
    <w:rsid w:val="006B6145"/>
    <w:rPr>
      <w:sz w:val="16"/>
      <w:szCs w:val="16"/>
    </w:rPr>
  </w:style>
  <w:style w:type="character" w:styleId="LineNumber">
    <w:name w:val="line number"/>
    <w:basedOn w:val="DefaultParagraphFont"/>
    <w:uiPriority w:val="99"/>
    <w:semiHidden/>
    <w:unhideWhenUsed/>
    <w:rsid w:val="00263423"/>
  </w:style>
  <w:style w:type="paragraph" w:customStyle="1" w:styleId="SMHeading">
    <w:name w:val="SM Heading"/>
    <w:basedOn w:val="Heading1"/>
    <w:qFormat/>
    <w:rsid w:val="00F31FCE"/>
    <w:pPr>
      <w:keepLines w:val="0"/>
      <w:spacing w:after="60"/>
    </w:pPr>
    <w:rPr>
      <w:rFonts w:ascii="Times New Roman" w:eastAsia="Times New Roman" w:hAnsi="Times New Roman" w:cs="Times New Roman"/>
      <w:b w:val="0"/>
      <w:bCs/>
      <w:color w:val="auto"/>
      <w:kern w:val="32"/>
      <w:sz w:val="24"/>
      <w:szCs w:val="24"/>
      <w:lang w:val="en-US"/>
    </w:rPr>
  </w:style>
  <w:style w:type="paragraph" w:styleId="Revision">
    <w:name w:val="Revision"/>
    <w:hidden/>
    <w:uiPriority w:val="99"/>
    <w:semiHidden/>
    <w:rsid w:val="00FC0295"/>
  </w:style>
  <w:style w:type="paragraph" w:styleId="NoSpacing">
    <w:name w:val="No Spacing"/>
    <w:uiPriority w:val="1"/>
    <w:qFormat/>
    <w:rsid w:val="00B4771C"/>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370133">
      <w:bodyDiv w:val="1"/>
      <w:marLeft w:val="0"/>
      <w:marRight w:val="0"/>
      <w:marTop w:val="0"/>
      <w:marBottom w:val="0"/>
      <w:divBdr>
        <w:top w:val="none" w:sz="0" w:space="0" w:color="auto"/>
        <w:left w:val="none" w:sz="0" w:space="0" w:color="auto"/>
        <w:bottom w:val="none" w:sz="0" w:space="0" w:color="auto"/>
        <w:right w:val="none" w:sz="0" w:space="0" w:color="auto"/>
      </w:divBdr>
    </w:div>
    <w:div w:id="570391682">
      <w:bodyDiv w:val="1"/>
      <w:marLeft w:val="0"/>
      <w:marRight w:val="0"/>
      <w:marTop w:val="0"/>
      <w:marBottom w:val="0"/>
      <w:divBdr>
        <w:top w:val="none" w:sz="0" w:space="0" w:color="auto"/>
        <w:left w:val="none" w:sz="0" w:space="0" w:color="auto"/>
        <w:bottom w:val="none" w:sz="0" w:space="0" w:color="auto"/>
        <w:right w:val="none" w:sz="0" w:space="0" w:color="auto"/>
      </w:divBdr>
    </w:div>
    <w:div w:id="621545803">
      <w:bodyDiv w:val="1"/>
      <w:marLeft w:val="0"/>
      <w:marRight w:val="0"/>
      <w:marTop w:val="0"/>
      <w:marBottom w:val="0"/>
      <w:divBdr>
        <w:top w:val="none" w:sz="0" w:space="0" w:color="auto"/>
        <w:left w:val="none" w:sz="0" w:space="0" w:color="auto"/>
        <w:bottom w:val="none" w:sz="0" w:space="0" w:color="auto"/>
        <w:right w:val="none" w:sz="0" w:space="0" w:color="auto"/>
      </w:divBdr>
    </w:div>
    <w:div w:id="680199622">
      <w:bodyDiv w:val="1"/>
      <w:marLeft w:val="0"/>
      <w:marRight w:val="0"/>
      <w:marTop w:val="0"/>
      <w:marBottom w:val="0"/>
      <w:divBdr>
        <w:top w:val="none" w:sz="0" w:space="0" w:color="auto"/>
        <w:left w:val="none" w:sz="0" w:space="0" w:color="auto"/>
        <w:bottom w:val="none" w:sz="0" w:space="0" w:color="auto"/>
        <w:right w:val="none" w:sz="0" w:space="0" w:color="auto"/>
      </w:divBdr>
    </w:div>
    <w:div w:id="1113474674">
      <w:bodyDiv w:val="1"/>
      <w:marLeft w:val="0"/>
      <w:marRight w:val="0"/>
      <w:marTop w:val="0"/>
      <w:marBottom w:val="0"/>
      <w:divBdr>
        <w:top w:val="none" w:sz="0" w:space="0" w:color="auto"/>
        <w:left w:val="none" w:sz="0" w:space="0" w:color="auto"/>
        <w:bottom w:val="none" w:sz="0" w:space="0" w:color="auto"/>
        <w:right w:val="none" w:sz="0" w:space="0" w:color="auto"/>
      </w:divBdr>
    </w:div>
    <w:div w:id="1847816883">
      <w:bodyDiv w:val="1"/>
      <w:marLeft w:val="0"/>
      <w:marRight w:val="0"/>
      <w:marTop w:val="0"/>
      <w:marBottom w:val="0"/>
      <w:divBdr>
        <w:top w:val="none" w:sz="0" w:space="0" w:color="auto"/>
        <w:left w:val="none" w:sz="0" w:space="0" w:color="auto"/>
        <w:bottom w:val="none" w:sz="0" w:space="0" w:color="auto"/>
        <w:right w:val="none" w:sz="0" w:space="0" w:color="auto"/>
      </w:divBdr>
    </w:div>
    <w:div w:id="212857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yanailab/CEL-Seq-pipeline" TargetMode="Externa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s://osf.io/2nkr4/" TargetMode="Externa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DDA4F-3D4B-244A-BE7C-09B76DBF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15136</Words>
  <Characters>86279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cp:lastPrinted>2022-03-30T14:08:00Z</cp:lastPrinted>
  <dcterms:created xsi:type="dcterms:W3CDTF">2022-03-30T14:08:00Z</dcterms:created>
  <dcterms:modified xsi:type="dcterms:W3CDTF">2022-10-21T06:43:00Z</dcterms:modified>
</cp:coreProperties>
</file>