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8F00A" w14:textId="48DBC17C" w:rsidR="00E54632" w:rsidRPr="00A868EA" w:rsidRDefault="00E54632" w:rsidP="00E54632">
      <w:pPr>
        <w:rPr>
          <w:rFonts w:ascii="Times New Roman" w:hAnsi="Times New Roman" w:cs="Times New Roman"/>
          <w:sz w:val="24"/>
          <w:szCs w:val="24"/>
        </w:rPr>
      </w:pPr>
      <w:bookmarkStart w:id="0" w:name="_Hlk95317537"/>
      <w:r w:rsidRPr="00A868EA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Supplementary Figure S1</w:t>
      </w:r>
      <w:r w:rsidRPr="00A868EA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A868EA">
        <w:rPr>
          <w:rFonts w:ascii="Times New Roman" w:hAnsi="Times New Roman" w:cs="Times New Roman"/>
          <w:sz w:val="24"/>
          <w:szCs w:val="24"/>
        </w:rPr>
        <w:t>Analysis of the 31-nucleotide k-mer distribution among short paired-end reads from 0.5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68EA">
        <w:rPr>
          <w:rFonts w:ascii="Times New Roman" w:hAnsi="Times New Roman" w:cs="Times New Roman"/>
          <w:sz w:val="24"/>
          <w:szCs w:val="24"/>
        </w:rPr>
        <w:t xml:space="preserve">kb </w:t>
      </w:r>
      <w:r w:rsidRPr="00A868EA">
        <w:rPr>
          <w:rFonts w:ascii="Times New Roman" w:hAnsi="Times New Roman" w:cs="Times New Roman"/>
          <w:i/>
          <w:iCs/>
          <w:sz w:val="24"/>
          <w:szCs w:val="24"/>
        </w:rPr>
        <w:t>Diabrotica virgifera virgifera</w:t>
      </w:r>
      <w:r w:rsidRPr="00A868EA">
        <w:rPr>
          <w:rFonts w:ascii="Times New Roman" w:hAnsi="Times New Roman" w:cs="Times New Roman"/>
          <w:sz w:val="24"/>
          <w:szCs w:val="24"/>
        </w:rPr>
        <w:t xml:space="preserve"> genomic insert libraries</w:t>
      </w:r>
      <w:r w:rsidR="00AF389F">
        <w:rPr>
          <w:rFonts w:ascii="Times New Roman" w:hAnsi="Times New Roman" w:cs="Times New Roman"/>
          <w:sz w:val="24"/>
          <w:szCs w:val="24"/>
        </w:rPr>
        <w:t xml:space="preserve"> (SRA accessions: </w:t>
      </w:r>
      <w:r w:rsidR="00AF389F" w:rsidRPr="00AF389F">
        <w:rPr>
          <w:rFonts w:ascii="Times New Roman" w:hAnsi="Times New Roman" w:cs="Times New Roman"/>
          <w:sz w:val="24"/>
          <w:szCs w:val="24"/>
        </w:rPr>
        <w:t>SRR6985753</w:t>
      </w:r>
      <w:r w:rsidR="00AF389F">
        <w:rPr>
          <w:rFonts w:ascii="Times New Roman" w:hAnsi="Times New Roman" w:cs="Times New Roman"/>
          <w:sz w:val="24"/>
          <w:szCs w:val="24"/>
        </w:rPr>
        <w:t xml:space="preserve"> to</w:t>
      </w:r>
      <w:r w:rsidR="00AF389F" w:rsidRPr="00AF389F">
        <w:rPr>
          <w:rFonts w:ascii="Times New Roman" w:hAnsi="Times New Roman" w:cs="Times New Roman"/>
          <w:sz w:val="24"/>
          <w:szCs w:val="24"/>
        </w:rPr>
        <w:t xml:space="preserve"> </w:t>
      </w:r>
      <w:r w:rsidR="00AF389F" w:rsidRPr="00AF389F">
        <w:rPr>
          <w:rFonts w:ascii="Times New Roman" w:hAnsi="Times New Roman" w:cs="Times New Roman"/>
          <w:sz w:val="24"/>
          <w:szCs w:val="24"/>
        </w:rPr>
        <w:t>SRR698575</w:t>
      </w:r>
      <w:r w:rsidR="00AF389F" w:rsidRPr="00AF389F">
        <w:rPr>
          <w:rFonts w:ascii="Times New Roman" w:hAnsi="Times New Roman" w:cs="Times New Roman"/>
          <w:sz w:val="24"/>
          <w:szCs w:val="24"/>
        </w:rPr>
        <w:t>6)</w:t>
      </w:r>
      <w:r w:rsidRPr="00AF389F">
        <w:rPr>
          <w:rFonts w:ascii="Times New Roman" w:hAnsi="Times New Roman" w:cs="Times New Roman"/>
          <w:sz w:val="24"/>
          <w:szCs w:val="24"/>
        </w:rPr>
        <w:t>.</w:t>
      </w:r>
      <w:r w:rsidRPr="00A868EA">
        <w:rPr>
          <w:rFonts w:ascii="Times New Roman" w:hAnsi="Times New Roman" w:cs="Times New Roman"/>
          <w:sz w:val="24"/>
          <w:szCs w:val="24"/>
        </w:rPr>
        <w:t xml:space="preserve"> Distributions shown for </w:t>
      </w:r>
      <w:r w:rsidRPr="00A868EA">
        <w:rPr>
          <w:rFonts w:ascii="Times New Roman" w:hAnsi="Times New Roman" w:cs="Times New Roman"/>
          <w:b/>
          <w:bCs/>
          <w:sz w:val="24"/>
          <w:szCs w:val="24"/>
        </w:rPr>
        <w:t>A)</w:t>
      </w:r>
      <w:r w:rsidRPr="00A868E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868EA">
        <w:rPr>
          <w:rFonts w:ascii="Times New Roman" w:hAnsi="Times New Roman" w:cs="Times New Roman"/>
          <w:sz w:val="24"/>
          <w:szCs w:val="24"/>
        </w:rPr>
        <w:t xml:space="preserve">linear and </w:t>
      </w:r>
      <w:r w:rsidRPr="00A868EA">
        <w:rPr>
          <w:rFonts w:ascii="Times New Roman" w:hAnsi="Times New Roman" w:cs="Times New Roman"/>
          <w:b/>
          <w:bCs/>
          <w:sz w:val="24"/>
          <w:szCs w:val="24"/>
        </w:rPr>
        <w:t>B)</w:t>
      </w:r>
      <w:r w:rsidRPr="00A868EA">
        <w:rPr>
          <w:rFonts w:ascii="Times New Roman" w:hAnsi="Times New Roman" w:cs="Times New Roman"/>
          <w:sz w:val="24"/>
          <w:szCs w:val="24"/>
        </w:rPr>
        <w:t xml:space="preserve"> log plots. These provided minimum (min) and maximum (max) estimates for genome haploid (1N) length and proportions comprising unique and repeated sequences. Estimated mean heterozygosity and duplication level was 0.448% and 0.331%, respectively. Low coverage area &lt;10 under the red curve indicative of sequence error.</w:t>
      </w:r>
    </w:p>
    <w:p w14:paraId="4B6D73AB" w14:textId="77777777" w:rsidR="00E54632" w:rsidRDefault="00E54632" w:rsidP="00E54632">
      <w:pPr>
        <w:rPr>
          <w:rFonts w:cstheme="minorHAnsi"/>
        </w:rPr>
      </w:pPr>
      <w:r w:rsidRPr="00D018D6">
        <w:rPr>
          <w:rFonts w:ascii="Times New Roman" w:hAnsi="Times New Roman" w:cs="Times New Roman"/>
          <w:b/>
          <w:bCs/>
          <w:noProof/>
          <w:color w:val="4472C4" w:themeColor="accent1"/>
          <w:sz w:val="24"/>
          <w:szCs w:val="24"/>
        </w:rPr>
        <w:drawing>
          <wp:inline distT="0" distB="0" distL="0" distR="0" wp14:anchorId="69ED9EF4" wp14:editId="5BF7D8A5">
            <wp:extent cx="2641600" cy="2641600"/>
            <wp:effectExtent l="0" t="0" r="6350" b="6350"/>
            <wp:docPr id="26" name="Picture 25">
              <a:extLst xmlns:a="http://schemas.openxmlformats.org/drawingml/2006/main">
                <a:ext uri="{FF2B5EF4-FFF2-40B4-BE49-F238E27FC236}">
                  <a16:creationId xmlns:a16="http://schemas.microsoft.com/office/drawing/2014/main" id="{C046B368-E34D-4B4F-A631-915B10E26E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5">
                      <a:extLst>
                        <a:ext uri="{FF2B5EF4-FFF2-40B4-BE49-F238E27FC236}">
                          <a16:creationId xmlns:a16="http://schemas.microsoft.com/office/drawing/2014/main" id="{C046B368-E34D-4B4F-A631-915B10E26E4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3607" cy="2653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</w:rPr>
        <w:drawing>
          <wp:inline distT="0" distB="0" distL="0" distR="0" wp14:anchorId="4E3F2242" wp14:editId="67122287">
            <wp:extent cx="2607733" cy="2607733"/>
            <wp:effectExtent l="0" t="0" r="2540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4834" cy="261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1800"/>
        <w:gridCol w:w="2070"/>
      </w:tblGrid>
      <w:tr w:rsidR="00E54632" w14:paraId="01DC691C" w14:textId="77777777" w:rsidTr="003E2536">
        <w:tc>
          <w:tcPr>
            <w:tcW w:w="2605" w:type="dxa"/>
            <w:tcBorders>
              <w:top w:val="single" w:sz="8" w:space="0" w:color="auto"/>
              <w:bottom w:val="single" w:sz="12" w:space="0" w:color="auto"/>
            </w:tcBorders>
          </w:tcPr>
          <w:p w14:paraId="40FB3E43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>property</w:t>
            </w:r>
          </w:p>
        </w:tc>
        <w:tc>
          <w:tcPr>
            <w:tcW w:w="1800" w:type="dxa"/>
            <w:tcBorders>
              <w:top w:val="single" w:sz="8" w:space="0" w:color="auto"/>
              <w:bottom w:val="single" w:sz="12" w:space="0" w:color="auto"/>
            </w:tcBorders>
          </w:tcPr>
          <w:p w14:paraId="019073B3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>min</w:t>
            </w:r>
          </w:p>
        </w:tc>
        <w:tc>
          <w:tcPr>
            <w:tcW w:w="2070" w:type="dxa"/>
            <w:tcBorders>
              <w:top w:val="single" w:sz="8" w:space="0" w:color="auto"/>
              <w:bottom w:val="single" w:sz="12" w:space="0" w:color="auto"/>
            </w:tcBorders>
          </w:tcPr>
          <w:p w14:paraId="1DB347F6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>max</w:t>
            </w:r>
          </w:p>
        </w:tc>
      </w:tr>
      <w:tr w:rsidR="00E54632" w14:paraId="481CF9A8" w14:textId="77777777" w:rsidTr="003E2536">
        <w:tc>
          <w:tcPr>
            <w:tcW w:w="2605" w:type="dxa"/>
            <w:tcBorders>
              <w:top w:val="single" w:sz="12" w:space="0" w:color="auto"/>
            </w:tcBorders>
          </w:tcPr>
          <w:p w14:paraId="7FB913BF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>Homozygous (aa)</w:t>
            </w:r>
          </w:p>
        </w:tc>
        <w:tc>
          <w:tcPr>
            <w:tcW w:w="1800" w:type="dxa"/>
            <w:tcBorders>
              <w:top w:val="single" w:sz="12" w:space="0" w:color="auto"/>
            </w:tcBorders>
          </w:tcPr>
          <w:p w14:paraId="7A379443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>99.5357%</w:t>
            </w:r>
          </w:p>
        </w:tc>
        <w:tc>
          <w:tcPr>
            <w:tcW w:w="2070" w:type="dxa"/>
            <w:tcBorders>
              <w:top w:val="single" w:sz="12" w:space="0" w:color="auto"/>
            </w:tcBorders>
          </w:tcPr>
          <w:p w14:paraId="413FD00A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 xml:space="preserve">99.5686%  </w:t>
            </w:r>
          </w:p>
        </w:tc>
      </w:tr>
      <w:tr w:rsidR="00E54632" w14:paraId="7D34512F" w14:textId="77777777" w:rsidTr="003E2536">
        <w:tc>
          <w:tcPr>
            <w:tcW w:w="2605" w:type="dxa"/>
          </w:tcPr>
          <w:p w14:paraId="1AA27CB2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>Heterozygous (ab)</w:t>
            </w:r>
          </w:p>
        </w:tc>
        <w:tc>
          <w:tcPr>
            <w:tcW w:w="1800" w:type="dxa"/>
          </w:tcPr>
          <w:p w14:paraId="66968A42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>0.431413%</w:t>
            </w:r>
          </w:p>
        </w:tc>
        <w:tc>
          <w:tcPr>
            <w:tcW w:w="2070" w:type="dxa"/>
          </w:tcPr>
          <w:p w14:paraId="3842FEC3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>0.46431%</w:t>
            </w:r>
          </w:p>
        </w:tc>
      </w:tr>
      <w:tr w:rsidR="00E54632" w14:paraId="6A3769A2" w14:textId="77777777" w:rsidTr="003E2536">
        <w:tc>
          <w:tcPr>
            <w:tcW w:w="2605" w:type="dxa"/>
          </w:tcPr>
          <w:p w14:paraId="5B1B69D0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>Genome Haploid Length</w:t>
            </w:r>
          </w:p>
        </w:tc>
        <w:tc>
          <w:tcPr>
            <w:tcW w:w="1800" w:type="dxa"/>
          </w:tcPr>
          <w:p w14:paraId="45B74693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 xml:space="preserve">2,589,652,882 bp  </w:t>
            </w:r>
          </w:p>
        </w:tc>
        <w:tc>
          <w:tcPr>
            <w:tcW w:w="2070" w:type="dxa"/>
          </w:tcPr>
          <w:p w14:paraId="231B5277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 xml:space="preserve">2,601,335,724 bp  </w:t>
            </w:r>
          </w:p>
        </w:tc>
      </w:tr>
      <w:tr w:rsidR="00E54632" w14:paraId="2F29F641" w14:textId="77777777" w:rsidTr="003E2536">
        <w:tc>
          <w:tcPr>
            <w:tcW w:w="2605" w:type="dxa"/>
          </w:tcPr>
          <w:p w14:paraId="6ADC53DA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>Genome Repeat Length</w:t>
            </w:r>
          </w:p>
        </w:tc>
        <w:tc>
          <w:tcPr>
            <w:tcW w:w="1800" w:type="dxa"/>
          </w:tcPr>
          <w:p w14:paraId="2189B088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>1,590,100,175 bp</w:t>
            </w:r>
          </w:p>
        </w:tc>
        <w:tc>
          <w:tcPr>
            <w:tcW w:w="2070" w:type="dxa"/>
          </w:tcPr>
          <w:p w14:paraId="3A461F42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>1,597,273,681 bp</w:t>
            </w:r>
          </w:p>
        </w:tc>
      </w:tr>
      <w:tr w:rsidR="00E54632" w14:paraId="7BFC714C" w14:textId="77777777" w:rsidTr="003E2536">
        <w:tc>
          <w:tcPr>
            <w:tcW w:w="2605" w:type="dxa"/>
          </w:tcPr>
          <w:p w14:paraId="77D8D5D4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>Genome Unique Length</w:t>
            </w:r>
          </w:p>
        </w:tc>
        <w:tc>
          <w:tcPr>
            <w:tcW w:w="1800" w:type="dxa"/>
          </w:tcPr>
          <w:p w14:paraId="54902B63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>999,552,707 bp</w:t>
            </w:r>
          </w:p>
        </w:tc>
        <w:tc>
          <w:tcPr>
            <w:tcW w:w="2070" w:type="dxa"/>
          </w:tcPr>
          <w:p w14:paraId="39DD5B18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>1,004,062,043 bp</w:t>
            </w:r>
          </w:p>
        </w:tc>
      </w:tr>
      <w:tr w:rsidR="00E54632" w14:paraId="22EA7844" w14:textId="77777777" w:rsidTr="003E2536">
        <w:tc>
          <w:tcPr>
            <w:tcW w:w="2605" w:type="dxa"/>
          </w:tcPr>
          <w:p w14:paraId="1E9358B0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>Model Fit</w:t>
            </w:r>
          </w:p>
        </w:tc>
        <w:tc>
          <w:tcPr>
            <w:tcW w:w="1800" w:type="dxa"/>
          </w:tcPr>
          <w:p w14:paraId="15BE16F5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>43.1855%</w:t>
            </w:r>
          </w:p>
        </w:tc>
        <w:tc>
          <w:tcPr>
            <w:tcW w:w="2070" w:type="dxa"/>
          </w:tcPr>
          <w:p w14:paraId="38835F44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>99.035%</w:t>
            </w:r>
          </w:p>
        </w:tc>
      </w:tr>
      <w:tr w:rsidR="00E54632" w14:paraId="2535DD63" w14:textId="77777777" w:rsidTr="003E2536">
        <w:tc>
          <w:tcPr>
            <w:tcW w:w="2605" w:type="dxa"/>
            <w:tcBorders>
              <w:bottom w:val="single" w:sz="12" w:space="0" w:color="auto"/>
            </w:tcBorders>
          </w:tcPr>
          <w:p w14:paraId="181483E6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>Read Error Rate</w:t>
            </w:r>
          </w:p>
        </w:tc>
        <w:tc>
          <w:tcPr>
            <w:tcW w:w="1800" w:type="dxa"/>
            <w:tcBorders>
              <w:bottom w:val="single" w:sz="12" w:space="0" w:color="auto"/>
            </w:tcBorders>
          </w:tcPr>
          <w:p w14:paraId="6614D50F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>0.135869%</w:t>
            </w:r>
          </w:p>
        </w:tc>
        <w:tc>
          <w:tcPr>
            <w:tcW w:w="2070" w:type="dxa"/>
            <w:tcBorders>
              <w:bottom w:val="single" w:sz="12" w:space="0" w:color="auto"/>
            </w:tcBorders>
          </w:tcPr>
          <w:p w14:paraId="483E9DBB" w14:textId="77777777" w:rsidR="00E54632" w:rsidRDefault="00E54632" w:rsidP="003E2536">
            <w:pPr>
              <w:rPr>
                <w:rFonts w:cstheme="minorHAnsi"/>
              </w:rPr>
            </w:pPr>
            <w:r w:rsidRPr="009447FB">
              <w:rPr>
                <w:rFonts w:cstheme="minorHAnsi"/>
              </w:rPr>
              <w:t>0.135869%</w:t>
            </w:r>
          </w:p>
        </w:tc>
      </w:tr>
    </w:tbl>
    <w:p w14:paraId="1E7AD943" w14:textId="77777777" w:rsidR="00E54632" w:rsidRDefault="00E54632" w:rsidP="00E54632">
      <w:pPr>
        <w:spacing w:after="0" w:line="240" w:lineRule="auto"/>
        <w:rPr>
          <w:rFonts w:cstheme="minorHAnsi"/>
        </w:rPr>
      </w:pPr>
    </w:p>
    <w:p w14:paraId="0BD1DFA2" w14:textId="77777777" w:rsidR="007C109E" w:rsidRDefault="007C109E"/>
    <w:sectPr w:rsidR="007C10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09E"/>
    <w:rsid w:val="007C109E"/>
    <w:rsid w:val="00AF389F"/>
    <w:rsid w:val="00E5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9B7A1"/>
  <w15:chartTrackingRefBased/>
  <w15:docId w15:val="{EDB12F81-F627-4ABF-9065-68A47DEF8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6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4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Coates</dc:creator>
  <cp:keywords/>
  <dc:description/>
  <cp:lastModifiedBy>Brad Coates</cp:lastModifiedBy>
  <cp:revision>3</cp:revision>
  <dcterms:created xsi:type="dcterms:W3CDTF">2022-03-18T19:01:00Z</dcterms:created>
  <dcterms:modified xsi:type="dcterms:W3CDTF">2022-06-27T10:58:00Z</dcterms:modified>
</cp:coreProperties>
</file>